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5C" w:rsidRDefault="001A5F5C" w:rsidP="001A5F5C">
      <w:pPr>
        <w:pStyle w:val="a5"/>
        <w:spacing w:after="195" w:line="273" w:lineRule="auto"/>
        <w:ind w:firstLine="885"/>
        <w:jc w:val="center"/>
        <w:rPr>
          <w:rFonts w:ascii="微软雅黑" w:eastAsia="微软雅黑" w:hAnsi="微软雅黑"/>
          <w:color w:val="333333"/>
          <w:sz w:val="21"/>
          <w:szCs w:val="21"/>
        </w:rPr>
      </w:pPr>
      <w:bookmarkStart w:id="0" w:name="_GoBack"/>
      <w:r>
        <w:rPr>
          <w:rFonts w:ascii="方正小标宋_GBK" w:eastAsia="方正小标宋_GBK" w:hAnsi="微软雅黑" w:hint="eastAsia"/>
          <w:color w:val="333333"/>
          <w:sz w:val="44"/>
          <w:szCs w:val="44"/>
        </w:rPr>
        <w:t>财政部 税务总局 海关总署关于深化增值税改革有关政策的公告</w:t>
      </w:r>
      <w:bookmarkEnd w:id="0"/>
    </w:p>
    <w:p w:rsidR="001A5F5C" w:rsidRDefault="001A5F5C" w:rsidP="001A5F5C">
      <w:pPr>
        <w:pStyle w:val="a5"/>
        <w:spacing w:after="195" w:line="273" w:lineRule="auto"/>
        <w:ind w:firstLine="88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1A5F5C" w:rsidRDefault="001A5F5C" w:rsidP="001A5F5C">
      <w:pPr>
        <w:pStyle w:val="a5"/>
        <w:spacing w:after="195" w:line="273" w:lineRule="auto"/>
        <w:ind w:firstLine="645"/>
        <w:jc w:val="center"/>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财政部 税务总局 海关总署公告2019年第39号</w:t>
      </w:r>
    </w:p>
    <w:p w:rsidR="001A5F5C" w:rsidRDefault="001A5F5C" w:rsidP="001A5F5C">
      <w:pPr>
        <w:pStyle w:val="a5"/>
        <w:spacing w:after="195" w:line="273" w:lineRule="auto"/>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为贯彻落实党中央、国务院决策部署，推进增值税实质性减税，现将2019年增值税改革有关事项公告如下：</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一、增值税一般纳税人（以下称纳税人）发生增值税应税销售行为或者进口货物，原适用16%税率的，税率调整为13%；原适用10%税率的，税率调整为9%。</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二、纳税人购进农产品，原适用10%扣除率的，扣除率调整为9%。纳税人购进用于生产或者委托加工13%税率货物的农产品，按照10%的扣除率计算进项税额。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三、原适用16%税率且出口退税率为16%的出口货物劳务，出口退税率调整为13%;原适用10%税率且出口退税率为10%的出口货物、跨境应税行为，出口退税率调整为9%。</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零参与免抵退税计算。</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出口退税率的执行时间及出口货物劳务、发生跨境应税行为的时间，按照以下规定执行：报关出口的货物劳务（保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四、适用13%税率的境外旅客购物离境退税物品，退税率为11%；适用9%税率的境外旅客购物离境退税物品，退税率为8%。</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2019年6月30日前，按调整前税率征收增值税的，执行调整前的退税率；按调整后税率征收增值税的，执行调整后的退税率。</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退税率的执行时间，以退税物品增值税普通发票的开具日期为准。</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五、自2019年4月1日起，《营业税改征增值税试点有关事项的规定》（财税〔2016〕36号印发）第一条第（四）项第1点、第二条第（一）项第1点停止执行，纳税人取得不动产或者不动产在建工程的进项税额不再分2年抵扣。此前按照上述规定尚未抵扣完毕的待抵扣进项税额，可自2019年4月税款所属期起从销项税额中抵扣。</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六、纳税人购进国内旅客运输服务，其进项税额允许从销项税额中抵扣。</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（一）纳税人未取得增值税专用发票的，暂按照以下规定确定进项税额：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1.取得增值税电子普通发票的，为发票上注明的税额；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2.取得注明旅客身份信息的航空运输电子客票行程单的，为按照下列公式计算进项税额：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航空旅客运输进项税额=（票价+燃油附加费）÷（1+9%）×9%</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3.取得注明旅客身份信息的铁路车票的，为按照下列公式计算的进项税额：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铁路旅客运输进项税额=票面金额÷（1+9%）×9%</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4.取得注明旅客身份信息的公路、水路等其他客票的，按照下列公式计算进项税额：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公路、水路等其他旅客运输进项税额=票面金额÷（1+3%）×3%</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二）《营业税改征增值税试点实施办法》（财税〔2016〕36号印发）第二十七条第（六）项和《营业税改征增值税试点有关事项的规定》（财税〔2016〕36号印发）第二条第（一）项第5点中“购进的旅客运输服务、贷款服务、餐饮服务、居民日常服务和娱乐服务”修改为</w:t>
      </w:r>
      <w:r>
        <w:rPr>
          <w:rFonts w:ascii="仿宋_GB2312" w:eastAsia="仿宋_GB2312" w:hAnsi="微软雅黑" w:hint="eastAsia"/>
          <w:color w:val="333333"/>
          <w:sz w:val="32"/>
          <w:szCs w:val="32"/>
        </w:rPr>
        <w:lastRenderedPageBreak/>
        <w:t>“购进的贷款服务、餐饮服务、居民日常服务和娱乐服务”。</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七、自2019年4月1日至2021年12月31日，允许生产、生活性服务业纳税人按照当期可抵扣进项税额加计10%，抵减应纳税额（以下称加计抵减政策）。</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本公告所称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rsidR="001A5F5C" w:rsidRDefault="001A5F5C" w:rsidP="001A5F5C">
      <w:pPr>
        <w:pStyle w:val="a5"/>
        <w:spacing w:after="195" w:line="720" w:lineRule="atLeast"/>
        <w:ind w:firstLine="16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2019年3月31日前设立的纳税人，自2018年4月至2019年3月期间的销售额(经营期不满12个月的，按照实际经营期的销售额)符合上述规定条件的，自2019年4月1日起适用加计抵减政策。</w:t>
      </w:r>
    </w:p>
    <w:p w:rsidR="001A5F5C" w:rsidRDefault="001A5F5C" w:rsidP="001A5F5C">
      <w:pPr>
        <w:pStyle w:val="a5"/>
        <w:spacing w:after="195" w:line="72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2019年4月1日后设立的纳税人，自设立之日起3个月的销售额符合上述规定条件的，自登记为一般纳税人之日起适用加计抵减政策。</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纳税人确定适用加计抵减政策后，当年内不再调整，以后年度是否适用，根据上年度销售额计算确定。</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纳税人可计提但未计提的加计抵减额，可在确定适用加计抵减政策当期一并计提。</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二）纳税人应按照当期可抵扣进项税额的10%计提当期加计抵减额。按照现行规定不得从销项税额中抵扣的进项税额，不得计提加计抵减额；已计提加计抵减额的进项税额，按规定作进项税额转出的，应在进项税额转出当期，相应调减加计抵减额。计算公式如下：</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当期计提加计抵减额=当期可抵扣进项税额×10%</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当期可抵减加计抵减额=上期末加计抵减额余额+当期计提加计抵减额-当期调减加计抵减额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（三）纳税人应按照现行规定计算一般计税方法下的应纳税额（以下称抵减前的应纳税额）后，区分以下情形加计抵减：</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1.抵减前的应纳税额等于零的，当期可抵减加计抵减额全部结转下期抵减；</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2.抵减前的应纳税额大于零，且大于当期可抵减加计抵减额的，当期可抵减加计抵减额全额从抵减前的应纳税额中抵减；</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3.抵减前的应纳税额大于零，且小于或等于当期可抵减加计抵减额的，以当期可抵减加计抵减额抵减应纳税额至零。未抵减完的当期可抵减加计抵减额，结转下期继续抵减。</w:t>
      </w:r>
    </w:p>
    <w:p w:rsidR="001A5F5C" w:rsidRDefault="001A5F5C" w:rsidP="001A5F5C">
      <w:pPr>
        <w:pStyle w:val="a5"/>
        <w:spacing w:after="195" w:line="720" w:lineRule="atLeast"/>
        <w:ind w:firstLine="31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（四）纳税人出口货物劳务、发生跨境应税行为不适用加计抵减政策，其对应的进项税额不得计提加计抵减额。</w:t>
      </w:r>
    </w:p>
    <w:p w:rsidR="001A5F5C" w:rsidRDefault="001A5F5C" w:rsidP="001A5F5C">
      <w:pPr>
        <w:pStyle w:val="a5"/>
        <w:spacing w:after="195" w:line="72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纳税人兼营出口货物劳务、发生跨境应税行为且无法划分不得计提加计抵减额的进项税额,按照以下公式计算：</w:t>
      </w:r>
    </w:p>
    <w:p w:rsidR="001A5F5C" w:rsidRDefault="001A5F5C" w:rsidP="001A5F5C">
      <w:pPr>
        <w:pStyle w:val="a5"/>
        <w:spacing w:after="195" w:line="720" w:lineRule="atLeast"/>
        <w:ind w:firstLine="16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不得计提加计抵减额的进项税额＝当期无法划分的全部进项税额×当期出口货物劳务和发生跨境应税行为的销售额÷当期全部销售额</w:t>
      </w:r>
    </w:p>
    <w:p w:rsidR="001A5F5C" w:rsidRDefault="001A5F5C" w:rsidP="001A5F5C">
      <w:pPr>
        <w:pStyle w:val="a5"/>
        <w:spacing w:after="195" w:line="72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（五）纳税人应单独核算加计抵减额的计提、抵减、调减、结余等变动情况。骗取适用加计抵减政策或虚增加计抵减额的，按照《中华人民共和国税收征收管理法》等有关规定处理。</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（六）加计抵减政策执行到期后，纳税人不再计提加计抵减额，结余的加计抵减额停止抵减。</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八、自2019年4月1日起，试行增值税期末留抵税额退税制度。</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（一）同时符合以下条件的纳税人，可以向主管税务机关申请退还增量留抵税额：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1.自2019年4月税款所属期起，连续六个月（按季纳税的，连续两个季度）增量留抵税额均大于零，且第六个月增量留抵税额不低于50万元；</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2.纳税信用等级为A级或者B级；</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3.申请退税前36个月未发生骗取留抵退税、出口退税或虚开增值税专用发票情形的；</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4.申请退税前36个月未因偷税被税务机关处罚两次及以上的；</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5.自2019年4月1日起未享受即征即退、先征后返（退）政策的。</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（二）本公告所称增量留抵税额，是指与2019年3月底相比新增加的期末留抵税额。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（三）纳税人当期允许退还的增量留抵税额，按照以下公式计算：</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允许退还的增量留抵税额=增量留抵税额×进项构成比例×60%</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进项构成比例，为2019年4月至申请退税前一税款所属期内已抵扣的增值税专用发票（含税控机动车销售统一发票）、海关进口增值税专用缴款书、解缴税款完税凭证注明的增值税额占同期全部已抵扣进项税额的比重。</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（四）纳税人应在增值税纳税申报期内，向主管税务机关申请退还留抵税额。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（五）纳税人出口货物劳务、发生跨境应税行为，适用免抵退税办法的，办理免抵退税后，仍符合本公告规定条件的，可以申请退还留抵税额；适用免退税办法的，相关进项税额不得用于退还留抵税额。</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（六）纳税人取得退还的留抵税额后，应相应调减当期留抵税额。按照本条规定再次满足退税条件的，可以继续向主管税务机关申请退还留抵税额，但本条第（一）项第1点规定的连续期间，不得重复计算。</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（七）以虚增进项、虚假申报或其他欺骗手段，骗取留抵退税款的，由税务机关追缴其骗取的退税款，并按照《中华人民共和国税收征收管理法》等有关规定处理。</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（八）退还的增量留抵税额中央、地方分担机制另行通知。</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九、本公告自2019年4月1日起执行。</w:t>
      </w:r>
    </w:p>
    <w:p w:rsidR="001A5F5C" w:rsidRDefault="001A5F5C" w:rsidP="001A5F5C">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w:t>
      </w:r>
    </w:p>
    <w:p w:rsidR="001A5F5C" w:rsidRDefault="001A5F5C" w:rsidP="001A5F5C">
      <w:pPr>
        <w:pStyle w:val="a5"/>
        <w:spacing w:after="195" w:line="720" w:lineRule="atLeast"/>
        <w:ind w:left="1890" w:firstLine="645"/>
        <w:jc w:val="center"/>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特此公告。</w:t>
      </w:r>
    </w:p>
    <w:p w:rsidR="001A5F5C" w:rsidRDefault="001A5F5C" w:rsidP="001A5F5C">
      <w:pPr>
        <w:pStyle w:val="a5"/>
        <w:spacing w:after="195" w:line="720" w:lineRule="atLeast"/>
        <w:ind w:firstLine="271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财政部 税务总局 海关总署</w:t>
      </w:r>
    </w:p>
    <w:p w:rsidR="000172BE" w:rsidRPr="001A5F5C" w:rsidRDefault="000172BE"/>
    <w:sectPr w:rsidR="000172BE" w:rsidRPr="001A5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821" w:rsidRDefault="00A31821" w:rsidP="001A5F5C">
      <w:r>
        <w:separator/>
      </w:r>
    </w:p>
  </w:endnote>
  <w:endnote w:type="continuationSeparator" w:id="0">
    <w:p w:rsidR="00A31821" w:rsidRDefault="00A31821" w:rsidP="001A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821" w:rsidRDefault="00A31821" w:rsidP="001A5F5C">
      <w:r>
        <w:separator/>
      </w:r>
    </w:p>
  </w:footnote>
  <w:footnote w:type="continuationSeparator" w:id="0">
    <w:p w:rsidR="00A31821" w:rsidRDefault="00A31821" w:rsidP="001A5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93"/>
    <w:rsid w:val="000172BE"/>
    <w:rsid w:val="001A5F5C"/>
    <w:rsid w:val="003E3F93"/>
    <w:rsid w:val="00A3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DCFE2-8B28-4BA8-9521-AFCA0AA1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F5C"/>
    <w:rPr>
      <w:sz w:val="18"/>
      <w:szCs w:val="18"/>
    </w:rPr>
  </w:style>
  <w:style w:type="paragraph" w:styleId="a4">
    <w:name w:val="footer"/>
    <w:basedOn w:val="a"/>
    <w:link w:val="Char0"/>
    <w:uiPriority w:val="99"/>
    <w:unhideWhenUsed/>
    <w:rsid w:val="001A5F5C"/>
    <w:pPr>
      <w:tabs>
        <w:tab w:val="center" w:pos="4153"/>
        <w:tab w:val="right" w:pos="8306"/>
      </w:tabs>
      <w:snapToGrid w:val="0"/>
      <w:jc w:val="left"/>
    </w:pPr>
    <w:rPr>
      <w:sz w:val="18"/>
      <w:szCs w:val="18"/>
    </w:rPr>
  </w:style>
  <w:style w:type="character" w:customStyle="1" w:styleId="Char0">
    <w:name w:val="页脚 Char"/>
    <w:basedOn w:val="a0"/>
    <w:link w:val="a4"/>
    <w:uiPriority w:val="99"/>
    <w:rsid w:val="001A5F5C"/>
    <w:rPr>
      <w:sz w:val="18"/>
      <w:szCs w:val="18"/>
    </w:rPr>
  </w:style>
  <w:style w:type="paragraph" w:styleId="a5">
    <w:name w:val="Normal (Web)"/>
    <w:basedOn w:val="a"/>
    <w:uiPriority w:val="99"/>
    <w:semiHidden/>
    <w:unhideWhenUsed/>
    <w:rsid w:val="001A5F5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82051">
      <w:bodyDiv w:val="1"/>
      <w:marLeft w:val="0"/>
      <w:marRight w:val="0"/>
      <w:marTop w:val="0"/>
      <w:marBottom w:val="0"/>
      <w:divBdr>
        <w:top w:val="none" w:sz="0" w:space="0" w:color="auto"/>
        <w:left w:val="none" w:sz="0" w:space="0" w:color="auto"/>
        <w:bottom w:val="none" w:sz="0" w:space="0" w:color="auto"/>
        <w:right w:val="none" w:sz="0" w:space="0" w:color="auto"/>
      </w:divBdr>
      <w:divsChild>
        <w:div w:id="199979666">
          <w:marLeft w:val="0"/>
          <w:marRight w:val="0"/>
          <w:marTop w:val="0"/>
          <w:marBottom w:val="0"/>
          <w:divBdr>
            <w:top w:val="none" w:sz="0" w:space="0" w:color="auto"/>
            <w:left w:val="none" w:sz="0" w:space="0" w:color="auto"/>
            <w:bottom w:val="none" w:sz="0" w:space="0" w:color="auto"/>
            <w:right w:val="none" w:sz="0" w:space="0" w:color="auto"/>
          </w:divBdr>
          <w:divsChild>
            <w:div w:id="946423867">
              <w:marLeft w:val="0"/>
              <w:marRight w:val="0"/>
              <w:marTop w:val="0"/>
              <w:marBottom w:val="0"/>
              <w:divBdr>
                <w:top w:val="none" w:sz="0" w:space="0" w:color="auto"/>
                <w:left w:val="none" w:sz="0" w:space="0" w:color="auto"/>
                <w:bottom w:val="none" w:sz="0" w:space="0" w:color="auto"/>
                <w:right w:val="none" w:sz="0" w:space="0" w:color="auto"/>
              </w:divBdr>
              <w:divsChild>
                <w:div w:id="1614284835">
                  <w:marLeft w:val="0"/>
                  <w:marRight w:val="0"/>
                  <w:marTop w:val="0"/>
                  <w:marBottom w:val="0"/>
                  <w:divBdr>
                    <w:top w:val="none" w:sz="0" w:space="0" w:color="auto"/>
                    <w:left w:val="none" w:sz="0" w:space="0" w:color="auto"/>
                    <w:bottom w:val="none" w:sz="0" w:space="0" w:color="auto"/>
                    <w:right w:val="none" w:sz="0" w:space="0" w:color="auto"/>
                  </w:divBdr>
                  <w:divsChild>
                    <w:div w:id="1073628964">
                      <w:marLeft w:val="0"/>
                      <w:marRight w:val="0"/>
                      <w:marTop w:val="0"/>
                      <w:marBottom w:val="0"/>
                      <w:divBdr>
                        <w:top w:val="none" w:sz="0" w:space="0" w:color="auto"/>
                        <w:left w:val="none" w:sz="0" w:space="0" w:color="auto"/>
                        <w:bottom w:val="none" w:sz="0" w:space="0" w:color="auto"/>
                        <w:right w:val="none" w:sz="0" w:space="0" w:color="auto"/>
                      </w:divBdr>
                      <w:divsChild>
                        <w:div w:id="2272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507</Words>
  <Characters>2894</Characters>
  <Application>Microsoft Office Word</Application>
  <DocSecurity>0</DocSecurity>
  <Lines>24</Lines>
  <Paragraphs>6</Paragraphs>
  <ScaleCrop>false</ScaleCrop>
  <Company>china</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2019-04-01T07:55:00Z</dcterms:created>
  <dcterms:modified xsi:type="dcterms:W3CDTF">2019-04-01T07:55:00Z</dcterms:modified>
</cp:coreProperties>
</file>