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DC" w:rsidRDefault="00504FDC" w:rsidP="00504FDC">
      <w:pPr>
        <w:pStyle w:val="a5"/>
        <w:spacing w:after="195" w:line="273" w:lineRule="auto"/>
        <w:jc w:val="center"/>
        <w:rPr>
          <w:rFonts w:ascii="微软雅黑" w:eastAsia="微软雅黑" w:hAnsi="微软雅黑"/>
          <w:color w:val="333333"/>
          <w:sz w:val="21"/>
          <w:szCs w:val="21"/>
        </w:rPr>
      </w:pPr>
      <w:bookmarkStart w:id="0" w:name="_GoBack"/>
      <w:r>
        <w:rPr>
          <w:rFonts w:ascii="方正小标宋_GBK" w:eastAsia="方正小标宋_GBK" w:hAnsi="微软雅黑" w:hint="eastAsia"/>
          <w:color w:val="333333"/>
          <w:sz w:val="44"/>
          <w:szCs w:val="44"/>
        </w:rPr>
        <w:t>财政部 税务总局关于继续实行农产品批发市场 农贸市场房产税城镇土地使用税优惠政策的通知</w:t>
      </w:r>
      <w:bookmarkEnd w:id="0"/>
    </w:p>
    <w:p w:rsidR="00504FDC" w:rsidRDefault="00504FDC" w:rsidP="00504FDC">
      <w:pPr>
        <w:pStyle w:val="a5"/>
        <w:spacing w:after="195" w:line="273" w:lineRule="auto"/>
        <w:jc w:val="center"/>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财税〔2019〕12号</w:t>
      </w:r>
    </w:p>
    <w:p w:rsidR="00504FDC" w:rsidRDefault="00504FDC" w:rsidP="00504FD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各省、自治区、直辖市、计划单列市财政厅(局)、国家税务总局各省、自治区、直辖市、计划单列市税务局，新疆生产建设兵团财政局：</w:t>
      </w:r>
    </w:p>
    <w:p w:rsidR="00504FDC" w:rsidRDefault="00504FDC" w:rsidP="00504FD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为进一步支持农产品流通体系建设，决定继续对农产品批发市场、农贸市场给予房产税和城镇土地使用税优惠。现将有关政策通知如下：</w:t>
      </w:r>
    </w:p>
    <w:p w:rsidR="00504FDC" w:rsidRDefault="00504FDC" w:rsidP="00504FD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一、自2019年1月1日至2021年12月31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rsidR="00504FDC" w:rsidRDefault="00504FDC" w:rsidP="00504FDC">
      <w:pPr>
        <w:pStyle w:val="a5"/>
        <w:spacing w:after="195" w:line="720" w:lineRule="atLeast"/>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 xml:space="preserve">　 二、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rsidR="00504FDC" w:rsidRDefault="00504FDC" w:rsidP="00504FD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三、享受上述税收优惠的房产、土地，是指农产品批发市场、农贸市场直接为农产品交易提供服务的房产、土地。农产品批发市场、农贸市场的行政办公区、生活区，以及商业餐饮娱乐等非直接为农产品交易提供服务的房产、土地，不属于本通知规定的优惠范围,应按规定征收房产税和城镇土地使用税。</w:t>
      </w:r>
    </w:p>
    <w:p w:rsidR="00504FDC" w:rsidRDefault="00504FDC" w:rsidP="00504FD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四、企业享受本通知规定的免税政策，应按规定进行免税申报，并将不动产权属证明、载有房产原值的相关材料、租赁协议、房产土地用途证明等资料留存备查。</w:t>
      </w:r>
    </w:p>
    <w:p w:rsidR="00504FDC" w:rsidRDefault="00504FDC" w:rsidP="00504FDC">
      <w:pPr>
        <w:pStyle w:val="a5"/>
        <w:spacing w:after="195" w:line="720" w:lineRule="atLeast"/>
        <w:ind w:left="3360"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财政部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税务总局</w:t>
      </w:r>
    </w:p>
    <w:p w:rsidR="00504FDC" w:rsidRDefault="00504FDC" w:rsidP="00504FDC">
      <w:pPr>
        <w:pStyle w:val="a5"/>
        <w:spacing w:after="195" w:line="720" w:lineRule="atLeast"/>
        <w:ind w:left="3360"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2019年1月9日</w:t>
      </w:r>
    </w:p>
    <w:p w:rsidR="000172BE" w:rsidRPr="00504FDC" w:rsidRDefault="000172BE"/>
    <w:sectPr w:rsidR="000172BE" w:rsidRPr="00504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284" w:rsidRDefault="00C16284" w:rsidP="00504FDC">
      <w:r>
        <w:separator/>
      </w:r>
    </w:p>
  </w:endnote>
  <w:endnote w:type="continuationSeparator" w:id="0">
    <w:p w:rsidR="00C16284" w:rsidRDefault="00C16284" w:rsidP="0050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284" w:rsidRDefault="00C16284" w:rsidP="00504FDC">
      <w:r>
        <w:separator/>
      </w:r>
    </w:p>
  </w:footnote>
  <w:footnote w:type="continuationSeparator" w:id="0">
    <w:p w:rsidR="00C16284" w:rsidRDefault="00C16284" w:rsidP="00504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9"/>
    <w:rsid w:val="000172BE"/>
    <w:rsid w:val="00504FDC"/>
    <w:rsid w:val="008F2B19"/>
    <w:rsid w:val="00C1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ECF3-4D10-4E1D-A09D-33F1D089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F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FDC"/>
    <w:rPr>
      <w:sz w:val="18"/>
      <w:szCs w:val="18"/>
    </w:rPr>
  </w:style>
  <w:style w:type="paragraph" w:styleId="a4">
    <w:name w:val="footer"/>
    <w:basedOn w:val="a"/>
    <w:link w:val="Char0"/>
    <w:uiPriority w:val="99"/>
    <w:unhideWhenUsed/>
    <w:rsid w:val="00504FDC"/>
    <w:pPr>
      <w:tabs>
        <w:tab w:val="center" w:pos="4153"/>
        <w:tab w:val="right" w:pos="8306"/>
      </w:tabs>
      <w:snapToGrid w:val="0"/>
      <w:jc w:val="left"/>
    </w:pPr>
    <w:rPr>
      <w:sz w:val="18"/>
      <w:szCs w:val="18"/>
    </w:rPr>
  </w:style>
  <w:style w:type="character" w:customStyle="1" w:styleId="Char0">
    <w:name w:val="页脚 Char"/>
    <w:basedOn w:val="a0"/>
    <w:link w:val="a4"/>
    <w:uiPriority w:val="99"/>
    <w:rsid w:val="00504FDC"/>
    <w:rPr>
      <w:sz w:val="18"/>
      <w:szCs w:val="18"/>
    </w:rPr>
  </w:style>
  <w:style w:type="paragraph" w:styleId="a5">
    <w:name w:val="Normal (Web)"/>
    <w:basedOn w:val="a"/>
    <w:uiPriority w:val="99"/>
    <w:semiHidden/>
    <w:unhideWhenUsed/>
    <w:rsid w:val="00504FD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200082">
      <w:bodyDiv w:val="1"/>
      <w:marLeft w:val="0"/>
      <w:marRight w:val="0"/>
      <w:marTop w:val="0"/>
      <w:marBottom w:val="0"/>
      <w:divBdr>
        <w:top w:val="none" w:sz="0" w:space="0" w:color="auto"/>
        <w:left w:val="none" w:sz="0" w:space="0" w:color="auto"/>
        <w:bottom w:val="none" w:sz="0" w:space="0" w:color="auto"/>
        <w:right w:val="none" w:sz="0" w:space="0" w:color="auto"/>
      </w:divBdr>
      <w:divsChild>
        <w:div w:id="168909385">
          <w:marLeft w:val="0"/>
          <w:marRight w:val="0"/>
          <w:marTop w:val="0"/>
          <w:marBottom w:val="0"/>
          <w:divBdr>
            <w:top w:val="none" w:sz="0" w:space="0" w:color="auto"/>
            <w:left w:val="none" w:sz="0" w:space="0" w:color="auto"/>
            <w:bottom w:val="none" w:sz="0" w:space="0" w:color="auto"/>
            <w:right w:val="none" w:sz="0" w:space="0" w:color="auto"/>
          </w:divBdr>
          <w:divsChild>
            <w:div w:id="808016662">
              <w:marLeft w:val="0"/>
              <w:marRight w:val="0"/>
              <w:marTop w:val="0"/>
              <w:marBottom w:val="0"/>
              <w:divBdr>
                <w:top w:val="none" w:sz="0" w:space="0" w:color="auto"/>
                <w:left w:val="none" w:sz="0" w:space="0" w:color="auto"/>
                <w:bottom w:val="none" w:sz="0" w:space="0" w:color="auto"/>
                <w:right w:val="none" w:sz="0" w:space="0" w:color="auto"/>
              </w:divBdr>
              <w:divsChild>
                <w:div w:id="776098883">
                  <w:marLeft w:val="0"/>
                  <w:marRight w:val="0"/>
                  <w:marTop w:val="0"/>
                  <w:marBottom w:val="0"/>
                  <w:divBdr>
                    <w:top w:val="none" w:sz="0" w:space="0" w:color="auto"/>
                    <w:left w:val="none" w:sz="0" w:space="0" w:color="auto"/>
                    <w:bottom w:val="none" w:sz="0" w:space="0" w:color="auto"/>
                    <w:right w:val="none" w:sz="0" w:space="0" w:color="auto"/>
                  </w:divBdr>
                  <w:divsChild>
                    <w:div w:id="1068501050">
                      <w:marLeft w:val="0"/>
                      <w:marRight w:val="0"/>
                      <w:marTop w:val="0"/>
                      <w:marBottom w:val="0"/>
                      <w:divBdr>
                        <w:top w:val="none" w:sz="0" w:space="0" w:color="auto"/>
                        <w:left w:val="none" w:sz="0" w:space="0" w:color="auto"/>
                        <w:bottom w:val="none" w:sz="0" w:space="0" w:color="auto"/>
                        <w:right w:val="none" w:sz="0" w:space="0" w:color="auto"/>
                      </w:divBdr>
                      <w:divsChild>
                        <w:div w:id="18590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585</Characters>
  <Application>Microsoft Office Word</Application>
  <DocSecurity>0</DocSecurity>
  <Lines>4</Lines>
  <Paragraphs>1</Paragraphs>
  <ScaleCrop>false</ScaleCrop>
  <Company>china</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2019-04-01T07:51:00Z</dcterms:created>
  <dcterms:modified xsi:type="dcterms:W3CDTF">2019-04-01T07:51:00Z</dcterms:modified>
</cp:coreProperties>
</file>