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center"/>
        <w:rPr>
          <w:rFonts w:ascii="方正小标宋_GBK" w:eastAsia="方正小标宋_GBK" w:hAnsi="宋体" w:cs="宋体" w:hint="eastAsia"/>
          <w:color w:val="333333"/>
          <w:kern w:val="0"/>
          <w:sz w:val="44"/>
          <w:szCs w:val="44"/>
        </w:rPr>
      </w:pPr>
      <w:r w:rsidRPr="00D93D46">
        <w:rPr>
          <w:rFonts w:ascii="方正小标宋_GBK" w:eastAsia="方正小标宋_GBK" w:hAnsi="微软雅黑" w:hint="eastAsia"/>
          <w:color w:val="333333"/>
          <w:sz w:val="44"/>
          <w:szCs w:val="44"/>
        </w:rPr>
        <w:t>下调增值税税率政策自2019年4月</w:t>
      </w:r>
      <w:bookmarkStart w:id="0" w:name="_GoBack"/>
      <w:bookmarkEnd w:id="0"/>
      <w:r w:rsidRPr="00D93D46">
        <w:rPr>
          <w:rFonts w:ascii="方正小标宋_GBK" w:eastAsia="方正小标宋_GBK" w:hAnsi="微软雅黑" w:hint="eastAsia"/>
          <w:color w:val="333333"/>
          <w:sz w:val="44"/>
          <w:szCs w:val="44"/>
        </w:rPr>
        <w:t>1日起正式实施</w:t>
      </w:r>
    </w:p>
    <w:p w:rsid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3月21日，财政部、国家税务总局、海关总署联合发布《关于深化增值税改革有关政策的公告》，明确今年减税降费的重要措施，下调增值税税率政策将于4月1日起正式实施，并公布了进一步扩大进项税抵扣范围,对政策实施后纳税人新增的留抵税额，按有关规定予以退还；相应调整部分货物服务出口退税率、购进农产品适用的扣除率等相应的深化增值税改革配套举措。此次改革并非单纯的下调税率，而是注重与税制改革相衔接，注重突出普惠性，通过完善税制向建立现代增值税制度的目标迈进，并为下一步税率三档并二档预留了空间。</w:t>
      </w: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公告明确，增值税一般纳税人发生增值税应税销售行为或者进口货物，原适用16%税率的，税率调整为13%，主要涉及制造业等行业；原适用10%税率的，税率调整为9%，主要涉及交通运输业、邮政业、建筑业、房地产业、基础电信服务和农产品等货物。此外，纳税人购进农产品，原适用10%扣除率的，扣除率调整为9%。纳税人购进用于生产或者委托加工13%税率货物的农产品，按照10%的扣除率计算进项税额。增值税是我国第一大税种，制造业等行业增值税税率由16%降至13%，将为</w:t>
      </w: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>制造业减负增力，有利于增强企业效益、活力、创新力，为制造业的转型升级提供源源动力，同时，减税效应通过抵扣机制层层传导，也惠及到上下游行业。</w:t>
      </w: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公告明确部分货物出口退税率政策，适用16%税率且出口退税率为16%的出口货物劳务，出口退税率调整为13%；原适用10%税率且出口退税率为10%的出口货物、跨境应税行为，出口退税率调整为9%。同时，适用13%税率的境外旅客购物离境退税物品，退税率为11%；适用9%税率的境外旅客购物离境退税物品，退税率为8%。</w:t>
      </w: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公告明确扩大进项税抵扣范围，将国内旅客运输服务纳入抵扣范围，同时将纳税人取得不动产支付的进项税由目前分两年抵扣（第一年抵扣60%，第二年抵扣40%），改为一次性全额抵扣。这意味着此前不能抵扣的公司员工出差机票、火车票、汽车票等都可以纳入抵扣范围。而不动产改为一次性全额抵扣，进一步增加了企业当期可抵扣进项税。</w:t>
      </w: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公告明确在生产性、生活性服务业引入加计抵减政策。对6%这一档增值税税率虽保持不变，但为防止因进项抵扣减少而税负上升，公告明确，自2019年4月1日至2021年12月31日，允许生产、生活性服务业纳税人按照当期可抵扣进项税额加计10%，抵减应纳税额。这是我国新探索出的一种临时性优惠方式，即便税率不变行业税负也确保只减不增。</w:t>
      </w: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lastRenderedPageBreak/>
        <w:t xml:space="preserve">　 公告同时明确试行增值税期末留抵税额退税制度。符合相关条件的纳税人，可向主管税务机关申请退还增量留抵税额，增量留抵税额为与2019年3月底相比新增加的期末留抵税额。此举有利于激发企业更大发展活力。</w:t>
      </w:r>
    </w:p>
    <w:p w:rsidR="00D93D46" w:rsidRPr="00D93D46" w:rsidRDefault="00D93D46" w:rsidP="00D93D46">
      <w:pPr>
        <w:widowControl/>
        <w:shd w:val="clear" w:color="auto" w:fill="FFFFFF"/>
        <w:spacing w:before="100" w:beforeAutospacing="1" w:after="100" w:afterAutospacing="1" w:line="59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4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这次减税，着眼“放水养鱼”、增强发展后劲并考虑财政可持续，是减轻企业负担、激发市场活力的重大举措，也是完善税制、优化收入分配格局的重要改革，具有稳当前、利长远的多重功效。本次推出的深化增值税改革措施，可以让减税政策有效衔接落地，更好降低实体经济成本，为企业进一步投入技术创新增添动力。大规模减税措施的推出，将进一步创造更加优良、更具吸引力和竞争力的营商环境。</w:t>
      </w:r>
    </w:p>
    <w:p w:rsidR="000172BE" w:rsidRPr="00D93D46" w:rsidRDefault="000172BE"/>
    <w:sectPr w:rsidR="000172BE" w:rsidRPr="00D9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C9" w:rsidRDefault="003F4AC9" w:rsidP="00D93D46">
      <w:r>
        <w:separator/>
      </w:r>
    </w:p>
  </w:endnote>
  <w:endnote w:type="continuationSeparator" w:id="0">
    <w:p w:rsidR="003F4AC9" w:rsidRDefault="003F4AC9" w:rsidP="00D9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C9" w:rsidRDefault="003F4AC9" w:rsidP="00D93D46">
      <w:r>
        <w:separator/>
      </w:r>
    </w:p>
  </w:footnote>
  <w:footnote w:type="continuationSeparator" w:id="0">
    <w:p w:rsidR="003F4AC9" w:rsidRDefault="003F4AC9" w:rsidP="00D9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C"/>
    <w:rsid w:val="000172BE"/>
    <w:rsid w:val="003F4AC9"/>
    <w:rsid w:val="004F084C"/>
    <w:rsid w:val="00D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D6C7A-62FA-431C-957E-56E28286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8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1121</Characters>
  <Application>Microsoft Office Word</Application>
  <DocSecurity>0</DocSecurity>
  <Lines>9</Lines>
  <Paragraphs>2</Paragraphs>
  <ScaleCrop>false</ScaleCrop>
  <Company>china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2019-04-01T08:00:00Z</dcterms:created>
  <dcterms:modified xsi:type="dcterms:W3CDTF">2019-04-01T08:01:00Z</dcterms:modified>
</cp:coreProperties>
</file>