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附件1-1</w:t>
      </w:r>
    </w:p>
    <w:p>
      <w:pPr>
        <w:jc w:val="center"/>
        <w:rPr>
          <w:rFonts w:hint="eastAsia" w:ascii="方正小标宋_GBK" w:hAnsi="方正小标宋_GBK" w:eastAsia="方正小标宋_GBK" w:cs="方正小标宋_GBK"/>
          <w:spacing w:val="-20"/>
          <w:sz w:val="32"/>
          <w:szCs w:val="32"/>
        </w:rPr>
      </w:pPr>
      <w:r>
        <w:rPr>
          <w:rFonts w:hint="eastAsia" w:ascii="方正小标宋_GBK" w:hAnsi="方正小标宋_GBK" w:eastAsia="方正小标宋_GBK" w:cs="方正小标宋_GBK"/>
          <w:b w:val="0"/>
          <w:bCs w:val="0"/>
          <w:spacing w:val="-20"/>
          <w:kern w:val="0"/>
          <w:sz w:val="36"/>
          <w:szCs w:val="36"/>
        </w:rPr>
        <w:t>昆明市零售连锁企业</w:t>
      </w:r>
      <w:r>
        <w:rPr>
          <w:rFonts w:hint="eastAsia" w:ascii="方正小标宋_GBK" w:hAnsi="方正小标宋_GBK" w:eastAsia="方正小标宋_GBK" w:cs="方正小标宋_GBK"/>
          <w:b w:val="0"/>
          <w:bCs w:val="0"/>
          <w:spacing w:val="-20"/>
          <w:kern w:val="0"/>
          <w:sz w:val="36"/>
          <w:szCs w:val="36"/>
          <w:lang w:eastAsia="zh-CN"/>
        </w:rPr>
        <w:t>《</w:t>
      </w:r>
      <w:r>
        <w:rPr>
          <w:rFonts w:hint="eastAsia" w:ascii="方正小标宋_GBK" w:hAnsi="方正小标宋_GBK" w:eastAsia="方正小标宋_GBK" w:cs="方正小标宋_GBK"/>
          <w:b w:val="0"/>
          <w:bCs w:val="0"/>
          <w:spacing w:val="-20"/>
          <w:sz w:val="36"/>
          <w:szCs w:val="36"/>
        </w:rPr>
        <w:t>药品经营许可</w:t>
      </w:r>
      <w:r>
        <w:rPr>
          <w:rFonts w:hint="eastAsia" w:ascii="方正小标宋_GBK" w:hAnsi="方正小标宋_GBK" w:eastAsia="方正小标宋_GBK" w:cs="方正小标宋_GBK"/>
          <w:b w:val="0"/>
          <w:bCs w:val="0"/>
          <w:spacing w:val="-20"/>
          <w:sz w:val="36"/>
          <w:szCs w:val="36"/>
          <w:lang w:val="en-US" w:eastAsia="zh-CN"/>
        </w:rPr>
        <w:t>证</w:t>
      </w:r>
      <w:r>
        <w:rPr>
          <w:rFonts w:hint="eastAsia" w:ascii="方正小标宋_GBK" w:hAnsi="方正小标宋_GBK" w:eastAsia="方正小标宋_GBK" w:cs="方正小标宋_GBK"/>
          <w:b w:val="0"/>
          <w:bCs w:val="0"/>
          <w:spacing w:val="-20"/>
          <w:kern w:val="0"/>
          <w:sz w:val="36"/>
          <w:szCs w:val="36"/>
          <w:lang w:eastAsia="zh-CN"/>
        </w:rPr>
        <w:t>》</w:t>
      </w:r>
      <w:r>
        <w:rPr>
          <w:rFonts w:hint="eastAsia" w:ascii="方正小标宋_GBK" w:hAnsi="方正小标宋_GBK" w:eastAsia="方正小标宋_GBK" w:cs="方正小标宋_GBK"/>
          <w:b w:val="0"/>
          <w:bCs w:val="0"/>
          <w:spacing w:val="-20"/>
          <w:sz w:val="36"/>
          <w:szCs w:val="36"/>
        </w:rPr>
        <w:t>告知承</w:t>
      </w:r>
      <w:r>
        <w:rPr>
          <w:rFonts w:hint="eastAsia" w:ascii="方正小标宋_GBK" w:hAnsi="方正小标宋_GBK" w:eastAsia="方正小标宋_GBK" w:cs="方正小标宋_GBK"/>
          <w:spacing w:val="-20"/>
          <w:sz w:val="36"/>
          <w:szCs w:val="36"/>
        </w:rPr>
        <w:t>诺书</w:t>
      </w:r>
      <w:r>
        <w:rPr>
          <w:rFonts w:hint="eastAsia" w:ascii="方正小标宋_GBK" w:hAnsi="方正小标宋_GBK" w:eastAsia="方正小标宋_GBK" w:cs="方正小标宋_GBK"/>
          <w:spacing w:val="-20"/>
          <w:sz w:val="32"/>
          <w:szCs w:val="32"/>
          <w:lang w:eastAsia="zh-CN"/>
        </w:rPr>
        <w:t>（试行）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仿宋" w:hAnsi="仿宋" w:eastAsia="仿宋"/>
          <w:sz w:val="32"/>
          <w:szCs w:val="32"/>
        </w:rPr>
      </w:pPr>
      <w:r>
        <w:rPr>
          <w:rFonts w:hint="eastAsia" w:ascii="仿宋" w:hAnsi="仿宋" w:eastAsia="仿宋"/>
          <w:sz w:val="32"/>
          <w:szCs w:val="32"/>
        </w:rPr>
        <w:t>（适用“告知承诺书”许可）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仿宋" w:hAnsi="仿宋" w:eastAsia="仿宋"/>
          <w:sz w:val="30"/>
          <w:szCs w:val="30"/>
        </w:rPr>
      </w:pP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本申请人已了解“申请人承诺制”责任，自愿选择“申请人告知承诺制”审批模式，并对照</w:t>
      </w:r>
      <w:r>
        <w:rPr>
          <w:rFonts w:hint="eastAsia" w:ascii="仿宋_GB2312" w:hAnsi="仿宋_GB2312" w:eastAsia="仿宋_GB2312" w:cs="仿宋_GB2312"/>
          <w:b/>
          <w:bCs/>
          <w:sz w:val="24"/>
          <w:szCs w:val="24"/>
          <w:lang w:eastAsia="zh-CN"/>
        </w:rPr>
        <w:t>《</w:t>
      </w:r>
      <w:r>
        <w:rPr>
          <w:rFonts w:hint="eastAsia" w:ascii="仿宋" w:hAnsi="仿宋" w:eastAsia="仿宋" w:cs="仿宋"/>
          <w:b/>
          <w:bCs/>
          <w:kern w:val="0"/>
          <w:sz w:val="24"/>
          <w:szCs w:val="24"/>
        </w:rPr>
        <w:t>昆明市零售连锁企业药品经营许可“告知承诺制”企业自查表（试行）</w:t>
      </w:r>
      <w:r>
        <w:rPr>
          <w:rFonts w:hint="eastAsia" w:ascii="仿宋" w:hAnsi="仿宋" w:eastAsia="仿宋" w:cs="仿宋"/>
          <w:b/>
          <w:bCs/>
          <w:kern w:val="0"/>
          <w:sz w:val="24"/>
          <w:szCs w:val="24"/>
          <w:lang w:eastAsia="zh-CN"/>
        </w:rPr>
        <w:t>》（</w:t>
      </w:r>
      <w:r>
        <w:rPr>
          <w:rFonts w:hint="eastAsia" w:ascii="仿宋_GB2312" w:hAnsi="仿宋_GB2312" w:eastAsia="仿宋_GB2312" w:cs="仿宋_GB2312"/>
          <w:b/>
          <w:bCs/>
          <w:sz w:val="24"/>
          <w:szCs w:val="24"/>
        </w:rPr>
        <w:t>新办/</w:t>
      </w:r>
      <w:r>
        <w:rPr>
          <w:rFonts w:hint="eastAsia" w:ascii="仿宋_GB2312" w:hAnsi="仿宋_GB2312" w:eastAsia="仿宋_GB2312" w:cs="仿宋_GB2312"/>
          <w:b/>
          <w:bCs/>
          <w:sz w:val="24"/>
          <w:szCs w:val="24"/>
          <w:lang w:val="en-US" w:eastAsia="zh-CN"/>
        </w:rPr>
        <w:t>变更/换发</w:t>
      </w:r>
      <w:r>
        <w:rPr>
          <w:rFonts w:hint="eastAsia" w:ascii="仿宋" w:hAnsi="仿宋" w:eastAsia="仿宋" w:cs="仿宋"/>
          <w:b/>
          <w:bCs/>
          <w:kern w:val="0"/>
          <w:sz w:val="24"/>
          <w:szCs w:val="24"/>
          <w:lang w:eastAsia="zh-CN"/>
        </w:rPr>
        <w:t>）</w:t>
      </w:r>
      <w:r>
        <w:rPr>
          <w:rFonts w:hint="eastAsia" w:ascii="仿宋_GB2312" w:hAnsi="仿宋_GB2312" w:eastAsia="仿宋_GB2312" w:cs="仿宋_GB2312"/>
          <w:sz w:val="24"/>
          <w:szCs w:val="24"/>
        </w:rPr>
        <w:t>进行全面自查，结果符合相关要求，现就有关事宜郑重承诺如下：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此次申请的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事项中所提交的所有文件、证件均真实、合法、有效。若该事项需要现场检查，所涉及需现场检查的各项条件均符合要求，检查中所提供的各种资料均真实、合法、有效，并愿意随时接受现场检查。</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零售连锁企业门店取得《药品经营许可证》后，</w:t>
      </w:r>
      <w:r>
        <w:rPr>
          <w:rFonts w:hint="eastAsia" w:ascii="仿宋_GB2312" w:hAnsi="仿宋_GB2312" w:eastAsia="仿宋_GB2312" w:cs="仿宋_GB2312"/>
          <w:sz w:val="24"/>
          <w:szCs w:val="24"/>
          <w:lang w:val="en-US" w:eastAsia="zh-CN"/>
        </w:rPr>
        <w:t>将</w:t>
      </w:r>
      <w:r>
        <w:rPr>
          <w:rFonts w:hint="eastAsia" w:ascii="仿宋_GB2312" w:hAnsi="仿宋_GB2312" w:eastAsia="仿宋_GB2312" w:cs="仿宋_GB2312"/>
          <w:sz w:val="24"/>
          <w:szCs w:val="24"/>
        </w:rPr>
        <w:t>按照《药品经营质量管理规范》（总局令第28号）和《药品经营质量管理规范现场检查指导原则（修订稿）》要求规范</w:t>
      </w:r>
      <w:r>
        <w:rPr>
          <w:rFonts w:hint="eastAsia" w:ascii="仿宋_GB2312" w:hAnsi="仿宋_GB2312" w:eastAsia="仿宋_GB2312" w:cs="仿宋_GB2312"/>
          <w:sz w:val="24"/>
          <w:szCs w:val="24"/>
          <w:lang w:val="en-US" w:eastAsia="zh-CN"/>
        </w:rPr>
        <w:t>经营</w:t>
      </w:r>
      <w:r>
        <w:rPr>
          <w:rFonts w:hint="eastAsia" w:ascii="仿宋_GB2312" w:hAnsi="仿宋_GB2312" w:eastAsia="仿宋_GB2312" w:cs="仿宋_GB2312"/>
          <w:sz w:val="24"/>
          <w:szCs w:val="24"/>
        </w:rPr>
        <w:t>药品，并严格</w:t>
      </w:r>
      <w:r>
        <w:rPr>
          <w:rFonts w:hint="eastAsia" w:ascii="仿宋_GB2312" w:hAnsi="仿宋_GB2312" w:eastAsia="仿宋_GB2312" w:cs="仿宋_GB2312"/>
          <w:sz w:val="24"/>
          <w:szCs w:val="24"/>
          <w:lang w:val="en-US" w:eastAsia="zh-CN"/>
        </w:rPr>
        <w:t>遵守</w:t>
      </w:r>
      <w:r>
        <w:rPr>
          <w:rFonts w:hint="eastAsia" w:ascii="仿宋_GB2312" w:hAnsi="仿宋_GB2312" w:eastAsia="仿宋_GB2312" w:cs="仿宋_GB2312"/>
          <w:sz w:val="24"/>
          <w:szCs w:val="24"/>
        </w:rPr>
        <w:t>《药品管理法》。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rPr>
        <w:t>、若所提交的资料存在虚假、违法、无效的事实，或该事项所涉及需现场检查的条件不符合要求，均属违约行为。本申请人将对此恶意造假行为所造成的后果承担相应的法律责任，并同意接受以下处理：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1.市场监督管理</w:t>
      </w:r>
      <w:r>
        <w:rPr>
          <w:rFonts w:hint="eastAsia" w:ascii="仿宋_GB2312" w:hAnsi="仿宋_GB2312" w:eastAsia="仿宋_GB2312" w:cs="仿宋_GB2312"/>
          <w:sz w:val="24"/>
          <w:szCs w:val="24"/>
          <w:lang w:eastAsia="zh-CN"/>
        </w:rPr>
        <w:t>部门</w:t>
      </w:r>
      <w:r>
        <w:rPr>
          <w:rFonts w:hint="eastAsia" w:ascii="仿宋_GB2312" w:hAnsi="仿宋_GB2312" w:eastAsia="仿宋_GB2312" w:cs="仿宋_GB2312"/>
          <w:sz w:val="24"/>
          <w:szCs w:val="24"/>
        </w:rPr>
        <w:t>撤销药品经营许可；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2.市场监督管理</w:t>
      </w:r>
      <w:r>
        <w:rPr>
          <w:rFonts w:hint="eastAsia" w:ascii="仿宋_GB2312" w:hAnsi="仿宋_GB2312" w:eastAsia="仿宋_GB2312" w:cs="仿宋_GB2312"/>
          <w:sz w:val="24"/>
          <w:szCs w:val="24"/>
          <w:lang w:eastAsia="zh-CN"/>
        </w:rPr>
        <w:t>部门</w:t>
      </w:r>
      <w:r>
        <w:rPr>
          <w:rFonts w:hint="eastAsia" w:ascii="仿宋_GB2312" w:hAnsi="仿宋_GB2312" w:eastAsia="仿宋_GB2312" w:cs="仿宋_GB2312"/>
          <w:sz w:val="24"/>
          <w:szCs w:val="24"/>
        </w:rPr>
        <w:t>5年内不受理本申请人的该行政许可事项申请；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3.市场监督管理</w:t>
      </w:r>
      <w:r>
        <w:rPr>
          <w:rFonts w:hint="eastAsia" w:ascii="仿宋_GB2312" w:hAnsi="仿宋_GB2312" w:eastAsia="仿宋_GB2312" w:cs="仿宋_GB2312"/>
          <w:sz w:val="24"/>
          <w:szCs w:val="24"/>
          <w:lang w:eastAsia="zh-CN"/>
        </w:rPr>
        <w:t>部门</w:t>
      </w:r>
      <w:r>
        <w:rPr>
          <w:rFonts w:hint="eastAsia" w:ascii="仿宋_GB2312" w:hAnsi="仿宋_GB2312" w:eastAsia="仿宋_GB2312" w:cs="仿宋_GB2312"/>
          <w:sz w:val="24"/>
          <w:szCs w:val="24"/>
        </w:rPr>
        <w:t>将在政务网站等媒体上公示本申请人的失信行为，包括法定代表人（负责人）对此次失信行为的情况。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24"/>
          <w:szCs w:val="24"/>
        </w:rPr>
        <w:t>申请人（公章）：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法定代表人（负责人）（签名）：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p>
      <w:pPr>
        <w:rPr>
          <w:rFonts w:hint="eastAsia" w:ascii="仿宋_GB2312" w:hAnsi="仿宋_GB2312" w:eastAsia="仿宋_GB2312" w:cs="仿宋_GB2312"/>
          <w:sz w:val="21"/>
          <w:szCs w:val="21"/>
        </w:rPr>
      </w:pPr>
    </w:p>
    <w:p>
      <w:pP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本承诺书一式三份，交市场监管局两份，企业保留一份。</w:t>
      </w:r>
      <w:r>
        <w:rPr>
          <w:rFonts w:hint="eastAsia" w:ascii="仿宋_GB2312" w:hAnsi="仿宋_GB2312" w:eastAsia="仿宋_GB2312" w:cs="仿宋_GB2312"/>
          <w:b w:val="0"/>
          <w:bCs w:val="0"/>
          <w:sz w:val="21"/>
          <w:szCs w:val="21"/>
          <w:lang w:eastAsia="zh-CN"/>
        </w:rPr>
        <w:t>）</w:t>
      </w:r>
    </w:p>
    <w:p>
      <w:pPr>
        <w:rPr>
          <w:rFonts w:hint="eastAsia" w:ascii="仿宋_GB2312" w:hAnsi="仿宋_GB2312" w:eastAsia="仿宋_GB2312" w:cs="仿宋_GB2312"/>
          <w:b w:val="0"/>
          <w:bCs w:val="0"/>
          <w:sz w:val="28"/>
          <w:szCs w:val="28"/>
          <w:lang w:eastAsia="zh-CN"/>
        </w:rPr>
        <w:sectPr>
          <w:pgSz w:w="11906" w:h="16838"/>
          <w:pgMar w:top="1440" w:right="1800" w:bottom="1440" w:left="1800" w:header="851" w:footer="992" w:gutter="0"/>
          <w:cols w:space="425" w:num="1"/>
          <w:docGrid w:type="lines" w:linePitch="312" w:charSpace="0"/>
        </w:sectPr>
      </w:pP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1-2</w:t>
      </w:r>
    </w:p>
    <w:p>
      <w:pPr>
        <w:widowControl/>
        <w:spacing w:line="560" w:lineRule="exact"/>
        <w:ind w:left="0" w:leftChars="0" w:firstLine="0" w:firstLineChars="0"/>
        <w:jc w:val="center"/>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rPr>
        <w:t>昆明市零售连锁企业药品经营许可“告知承诺制”企业自查表</w:t>
      </w:r>
      <w:r>
        <w:rPr>
          <w:rFonts w:hint="eastAsia" w:ascii="方正小标宋_GBK" w:hAnsi="方正小标宋_GBK" w:eastAsia="方正小标宋_GBK" w:cs="方正小标宋_GBK"/>
          <w:b w:val="0"/>
          <w:bCs w:val="0"/>
          <w:kern w:val="0"/>
          <w:sz w:val="44"/>
          <w:szCs w:val="44"/>
          <w:lang w:eastAsia="zh-CN"/>
        </w:rPr>
        <w:t>（试行）</w:t>
      </w:r>
    </w:p>
    <w:p>
      <w:pPr>
        <w:widowControl/>
        <w:spacing w:line="360" w:lineRule="auto"/>
        <w:rPr>
          <w:rFonts w:hint="eastAsia" w:ascii="宋体" w:hAnsi="宋体" w:eastAsia="宋体" w:cs="宋体"/>
          <w:kern w:val="0"/>
          <w:sz w:val="24"/>
          <w:szCs w:val="24"/>
          <w:u w:val="single"/>
        </w:rPr>
      </w:pPr>
      <w:r>
        <w:rPr>
          <w:rFonts w:hint="eastAsia" w:ascii="宋体" w:hAnsi="宋体" w:eastAsia="宋体" w:cs="宋体"/>
          <w:kern w:val="0"/>
          <w:sz w:val="24"/>
          <w:szCs w:val="24"/>
        </w:rPr>
        <w:t xml:space="preserve">企业名称：                                           注册地址：                               </w:t>
      </w:r>
    </w:p>
    <w:p>
      <w:pPr>
        <w:widowControl/>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申请事项（勾选）：□新办  □变更  □换发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企业法人代表签字：                 </w:t>
      </w:r>
    </w:p>
    <w:p>
      <w:pPr>
        <w:spacing w:line="360" w:lineRule="auto"/>
        <w:rPr>
          <w:rFonts w:hint="eastAsia" w:ascii="宋体" w:hAnsi="宋体" w:eastAsia="宋体" w:cs="宋体"/>
          <w:sz w:val="24"/>
          <w:szCs w:val="24"/>
        </w:rPr>
      </w:pPr>
      <w:r>
        <w:rPr>
          <w:rFonts w:hint="eastAsia" w:ascii="宋体" w:hAnsi="宋体" w:eastAsia="宋体" w:cs="宋体"/>
          <w:sz w:val="24"/>
          <w:szCs w:val="24"/>
        </w:rPr>
        <w:t>经办人：                联系电话：                      自查日期：</w:t>
      </w:r>
    </w:p>
    <w:tbl>
      <w:tblPr>
        <w:tblStyle w:val="5"/>
        <w:tblW w:w="141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
        <w:gridCol w:w="9587"/>
        <w:gridCol w:w="1239"/>
        <w:gridCol w:w="1079"/>
        <w:gridCol w:w="1171"/>
        <w:gridCol w:w="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4" w:type="dxa"/>
            <w:vMerge w:val="restart"/>
            <w:tcBorders>
              <w:top w:val="single" w:color="000000" w:sz="4" w:space="0"/>
              <w:left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0"/>
                <w:sz w:val="24"/>
                <w:szCs w:val="24"/>
              </w:rPr>
              <w:t>序号</w:t>
            </w:r>
          </w:p>
        </w:tc>
        <w:tc>
          <w:tcPr>
            <w:tcW w:w="9587" w:type="dxa"/>
            <w:vMerge w:val="restart"/>
            <w:tcBorders>
              <w:top w:val="single" w:color="000000" w:sz="4" w:space="0"/>
              <w:left w:val="nil"/>
              <w:right w:val="single" w:color="000000" w:sz="4" w:space="0"/>
            </w:tcBorders>
            <w:vAlign w:val="center"/>
          </w:tcPr>
          <w:p>
            <w:pPr>
              <w:spacing w:line="300" w:lineRule="exact"/>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0"/>
                <w:sz w:val="24"/>
                <w:szCs w:val="24"/>
              </w:rPr>
              <w:t>自查项目</w:t>
            </w:r>
          </w:p>
        </w:tc>
        <w:tc>
          <w:tcPr>
            <w:tcW w:w="1239" w:type="dxa"/>
            <w:vMerge w:val="restart"/>
            <w:tcBorders>
              <w:top w:val="single" w:color="000000" w:sz="4" w:space="0"/>
              <w:left w:val="nil"/>
              <w:right w:val="single" w:color="000000" w:sz="4" w:space="0"/>
            </w:tcBorders>
            <w:vAlign w:val="center"/>
          </w:tcPr>
          <w:p>
            <w:pPr>
              <w:spacing w:line="300" w:lineRule="exact"/>
              <w:ind w:left="0" w:leftChars="0" w:firstLine="0" w:firstLineChars="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标准</w:t>
            </w:r>
          </w:p>
          <w:p>
            <w:pPr>
              <w:spacing w:line="300" w:lineRule="exact"/>
              <w:ind w:left="0" w:leftChars="0" w:firstLine="0" w:firstLineChars="0"/>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0"/>
                <w:sz w:val="24"/>
                <w:szCs w:val="24"/>
              </w:rPr>
              <w:t>要求</w:t>
            </w:r>
          </w:p>
        </w:tc>
        <w:tc>
          <w:tcPr>
            <w:tcW w:w="2250" w:type="dxa"/>
            <w:gridSpan w:val="2"/>
            <w:tcBorders>
              <w:top w:val="single" w:color="000000" w:sz="4" w:space="0"/>
              <w:left w:val="nil"/>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val="0"/>
                <w:color w:val="auto"/>
                <w:sz w:val="24"/>
                <w:szCs w:val="24"/>
              </w:rPr>
              <w:t>自查结论</w:t>
            </w:r>
            <w:r>
              <w:rPr>
                <w:rFonts w:hint="eastAsia" w:ascii="仿宋_GB2312" w:hAnsi="仿宋_GB2312" w:eastAsia="仿宋_GB2312" w:cs="仿宋_GB2312"/>
                <w:b/>
                <w:bCs w:val="0"/>
                <w:color w:val="auto"/>
                <w:sz w:val="24"/>
                <w:szCs w:val="24"/>
                <w:lang w:eastAsia="zh-CN"/>
              </w:rPr>
              <w:t>（打“√”）</w:t>
            </w:r>
          </w:p>
        </w:tc>
        <w:tc>
          <w:tcPr>
            <w:tcW w:w="594" w:type="dxa"/>
            <w:vMerge w:val="restart"/>
            <w:tcBorders>
              <w:top w:val="single" w:color="000000" w:sz="4" w:space="0"/>
              <w:left w:val="nil"/>
              <w:right w:val="single" w:color="000000" w:sz="4" w:space="0"/>
            </w:tcBorders>
            <w:vAlign w:val="center"/>
          </w:tcPr>
          <w:p>
            <w:pPr>
              <w:spacing w:line="300" w:lineRule="exact"/>
              <w:jc w:val="center"/>
              <w:rPr>
                <w:rFonts w:hint="eastAsia" w:ascii="仿宋_GB2312" w:hAnsi="仿宋_GB2312" w:eastAsia="仿宋_GB2312" w:cs="仿宋_GB2312"/>
                <w:b/>
                <w:bCs/>
                <w:kern w:val="2"/>
                <w:sz w:val="21"/>
                <w:szCs w:val="21"/>
              </w:rPr>
            </w:pPr>
            <w:r>
              <w:rPr>
                <w:rFonts w:hint="eastAsia" w:ascii="仿宋_GB2312" w:hAnsi="仿宋_GB2312" w:eastAsia="仿宋_GB2312" w:cs="仿宋_GB2312"/>
                <w:b/>
                <w:bCs/>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454" w:type="dxa"/>
            <w:vMerge w:val="continue"/>
            <w:tcBorders>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b/>
                <w:bCs/>
                <w:kern w:val="0"/>
                <w:sz w:val="24"/>
                <w:szCs w:val="24"/>
              </w:rPr>
            </w:pPr>
          </w:p>
        </w:tc>
        <w:tc>
          <w:tcPr>
            <w:tcW w:w="9587" w:type="dxa"/>
            <w:vMerge w:val="continue"/>
            <w:tcBorders>
              <w:left w:val="nil"/>
              <w:bottom w:val="single" w:color="000000" w:sz="4" w:space="0"/>
              <w:right w:val="single" w:color="000000" w:sz="4" w:space="0"/>
            </w:tcBorders>
          </w:tcPr>
          <w:p>
            <w:pPr>
              <w:snapToGrid w:val="0"/>
              <w:spacing w:line="300" w:lineRule="exact"/>
              <w:rPr>
                <w:rFonts w:hint="eastAsia" w:ascii="仿宋_GB2312" w:hAnsi="仿宋_GB2312" w:eastAsia="仿宋_GB2312" w:cs="仿宋_GB2312"/>
                <w:kern w:val="0"/>
                <w:sz w:val="24"/>
                <w:szCs w:val="24"/>
              </w:rPr>
            </w:pPr>
          </w:p>
        </w:tc>
        <w:tc>
          <w:tcPr>
            <w:tcW w:w="1239" w:type="dxa"/>
            <w:vMerge w:val="continue"/>
            <w:tcBorders>
              <w:left w:val="nil"/>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kern w:val="0"/>
                <w:sz w:val="24"/>
                <w:szCs w:val="24"/>
              </w:rPr>
            </w:pPr>
          </w:p>
        </w:tc>
        <w:tc>
          <w:tcPr>
            <w:tcW w:w="1079" w:type="dxa"/>
            <w:tcBorders>
              <w:top w:val="single" w:color="000000" w:sz="4" w:space="0"/>
              <w:left w:val="nil"/>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b/>
                <w:bCs w:val="0"/>
                <w:sz w:val="24"/>
                <w:szCs w:val="24"/>
                <w:lang w:eastAsia="zh-CN"/>
              </w:rPr>
              <w:t>符合</w:t>
            </w:r>
          </w:p>
        </w:tc>
        <w:tc>
          <w:tcPr>
            <w:tcW w:w="1171" w:type="dxa"/>
            <w:tcBorders>
              <w:top w:val="single" w:color="000000" w:sz="4" w:space="0"/>
              <w:left w:val="nil"/>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b/>
                <w:bCs/>
                <w:kern w:val="2"/>
                <w:sz w:val="24"/>
                <w:szCs w:val="24"/>
                <w:lang w:eastAsia="zh-CN"/>
              </w:rPr>
              <w:t>不符合</w:t>
            </w:r>
          </w:p>
        </w:tc>
        <w:tc>
          <w:tcPr>
            <w:tcW w:w="594" w:type="dxa"/>
            <w:vMerge w:val="continue"/>
            <w:tcBorders>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trPr>
        <w:tc>
          <w:tcPr>
            <w:tcW w:w="454" w:type="dxa"/>
            <w:vMerge w:val="restart"/>
            <w:tcBorders>
              <w:top w:val="nil"/>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总</w:t>
            </w:r>
          </w:p>
          <w:p>
            <w:pPr>
              <w:spacing w:line="300" w:lineRule="exact"/>
              <w:jc w:val="center"/>
              <w:rPr>
                <w:rFonts w:hint="eastAsia" w:ascii="仿宋_GB2312" w:hAnsi="仿宋_GB2312" w:eastAsia="仿宋_GB2312" w:cs="仿宋_GB2312"/>
                <w:b/>
                <w:bCs/>
                <w:kern w:val="0"/>
                <w:sz w:val="21"/>
                <w:szCs w:val="21"/>
              </w:rPr>
            </w:pPr>
          </w:p>
          <w:p>
            <w:pPr>
              <w:spacing w:line="300" w:lineRule="exact"/>
              <w:jc w:val="center"/>
              <w:rPr>
                <w:rFonts w:hint="eastAsia" w:ascii="仿宋_GB2312" w:hAnsi="仿宋_GB2312" w:eastAsia="仿宋_GB2312" w:cs="仿宋_GB2312"/>
                <w:b/>
                <w:bCs/>
                <w:kern w:val="0"/>
                <w:sz w:val="21"/>
                <w:szCs w:val="21"/>
              </w:rPr>
            </w:pPr>
          </w:p>
          <w:p>
            <w:pPr>
              <w:spacing w:line="300" w:lineRule="exact"/>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b/>
                <w:bCs/>
                <w:kern w:val="0"/>
                <w:sz w:val="21"/>
                <w:szCs w:val="21"/>
              </w:rPr>
              <w:t>则</w:t>
            </w:r>
          </w:p>
        </w:tc>
        <w:tc>
          <w:tcPr>
            <w:tcW w:w="9587" w:type="dxa"/>
            <w:tcBorders>
              <w:top w:val="single" w:color="000000" w:sz="4" w:space="0"/>
              <w:left w:val="nil"/>
              <w:bottom w:val="single" w:color="000000" w:sz="4" w:space="0"/>
              <w:right w:val="single" w:color="000000" w:sz="4" w:space="0"/>
            </w:tcBorders>
          </w:tcPr>
          <w:p>
            <w:pPr>
              <w:snapToGrid w:val="0"/>
              <w:spacing w:line="300" w:lineRule="exact"/>
              <w:rPr>
                <w:rFonts w:hint="eastAsia" w:ascii="仿宋_GB2312" w:hAnsi="仿宋_GB2312" w:eastAsia="仿宋_GB2312" w:cs="仿宋_GB2312"/>
                <w:color w:val="FF0000"/>
                <w:kern w:val="0"/>
                <w:sz w:val="21"/>
                <w:szCs w:val="21"/>
              </w:rPr>
            </w:pPr>
            <w:r>
              <w:rPr>
                <w:rFonts w:hint="eastAsia" w:ascii="仿宋_GB2312" w:hAnsi="仿宋_GB2312" w:eastAsia="仿宋_GB2312" w:cs="仿宋_GB2312"/>
                <w:kern w:val="0"/>
                <w:sz w:val="21"/>
                <w:szCs w:val="21"/>
              </w:rPr>
              <w:t>一、零售连锁企业应由公司总部、配送中心（仓库）和若干个门店组成，在总部统一领导管理下，采取统一企业标识、统一企业管理、统一质量控制、统一人员管理、统一财务管理、统一采购配送、统一网络管理、统一服务承诺。</w:t>
            </w:r>
          </w:p>
        </w:tc>
        <w:tc>
          <w:tcPr>
            <w:tcW w:w="1239" w:type="dxa"/>
            <w:tcBorders>
              <w:top w:val="single" w:color="000000" w:sz="4" w:space="0"/>
              <w:left w:val="nil"/>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应符合标准要求</w:t>
            </w:r>
          </w:p>
        </w:tc>
        <w:tc>
          <w:tcPr>
            <w:tcW w:w="1079" w:type="dxa"/>
            <w:tcBorders>
              <w:top w:val="single" w:color="000000" w:sz="4" w:space="0"/>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1171" w:type="dxa"/>
            <w:tcBorders>
              <w:top w:val="single" w:color="000000" w:sz="4" w:space="0"/>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594" w:type="dxa"/>
            <w:tcBorders>
              <w:top w:val="single" w:color="000000" w:sz="4" w:space="0"/>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4"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9587" w:type="dxa"/>
            <w:tcBorders>
              <w:top w:val="single" w:color="000000" w:sz="4" w:space="0"/>
              <w:left w:val="nil"/>
              <w:bottom w:val="single" w:color="000000" w:sz="4" w:space="0"/>
              <w:right w:val="single" w:color="000000" w:sz="4" w:space="0"/>
            </w:tcBorders>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b w:val="0"/>
                <w:i w:val="0"/>
                <w:caps w:val="0"/>
                <w:color w:val="333333"/>
                <w:spacing w:val="0"/>
                <w:sz w:val="21"/>
                <w:szCs w:val="21"/>
              </w:rPr>
            </w:pPr>
            <w:r>
              <w:rPr>
                <w:rFonts w:hint="eastAsia" w:ascii="仿宋_GB2312" w:hAnsi="仿宋_GB2312" w:eastAsia="仿宋_GB2312" w:cs="仿宋_GB2312"/>
                <w:kern w:val="0"/>
                <w:sz w:val="21"/>
                <w:szCs w:val="21"/>
              </w:rPr>
              <w:t>二、</w:t>
            </w:r>
            <w:r>
              <w:rPr>
                <w:rFonts w:hint="eastAsia" w:ascii="仿宋_GB2312" w:hAnsi="仿宋_GB2312" w:eastAsia="仿宋_GB2312" w:cs="仿宋_GB2312"/>
                <w:b w:val="0"/>
                <w:i w:val="0"/>
                <w:caps w:val="0"/>
                <w:color w:val="333333"/>
                <w:spacing w:val="0"/>
                <w:sz w:val="21"/>
                <w:szCs w:val="21"/>
                <w:shd w:val="clear" w:fill="FFFFFF"/>
              </w:rPr>
              <w:t>从事药品零售的，应先核定经营类别，确定申办人经营处方药或非处方药、乙类非处方药的资格，并在经营范围中予以明确，再核定具体经营范围。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21"/>
                <w:szCs w:val="21"/>
              </w:rPr>
            </w:pPr>
            <w:r>
              <w:rPr>
                <w:rFonts w:hint="eastAsia" w:ascii="仿宋_GB2312" w:hAnsi="仿宋_GB2312" w:eastAsia="仿宋_GB2312" w:cs="仿宋_GB2312"/>
                <w:b w:val="0"/>
                <w:i w:val="0"/>
                <w:caps w:val="0"/>
                <w:color w:val="333333"/>
                <w:spacing w:val="0"/>
                <w:sz w:val="21"/>
                <w:szCs w:val="21"/>
                <w:shd w:val="clear" w:fill="FFFFFF"/>
              </w:rPr>
              <w:t>医疗用毒性药品、麻醉药品、精神药品、放射性药品和预防性生物制品的核定按照国家特殊药品管理和预防性生物制品管理的有关规定执行。</w:t>
            </w:r>
          </w:p>
          <w:p>
            <w:pPr>
              <w:snapToGrid w:val="0"/>
              <w:spacing w:line="300" w:lineRule="exact"/>
              <w:ind w:firstLine="480" w:firstLineChars="2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零售连锁企业和门店经营范围为：中药饮片、中药饮片</w:t>
            </w:r>
            <w:r>
              <w:rPr>
                <w:rFonts w:hint="eastAsia" w:ascii="仿宋_GB2312" w:hAnsi="仿宋_GB2312" w:eastAsia="仿宋_GB2312" w:cs="仿宋_GB2312"/>
                <w:kern w:val="0"/>
                <w:sz w:val="21"/>
                <w:szCs w:val="21"/>
                <w:lang w:val="en-US" w:eastAsia="zh-CN"/>
              </w:rPr>
              <w:t>〔预包（定）装〕</w:t>
            </w:r>
            <w:r>
              <w:rPr>
                <w:rFonts w:hint="eastAsia" w:ascii="仿宋_GB2312" w:hAnsi="仿宋_GB2312" w:eastAsia="仿宋_GB2312" w:cs="仿宋_GB2312"/>
                <w:kern w:val="0"/>
                <w:sz w:val="21"/>
                <w:szCs w:val="21"/>
              </w:rPr>
              <w:t>、中成药、化学药制剂、抗生素、生化药品、生物制品（不含疫苗）、肽类激素（仅限于胰岛素）。其他特殊管理的药品，应按照国家有关管理规定核定。门店的经营范围不得超过总部的经营范围。</w:t>
            </w:r>
          </w:p>
        </w:tc>
        <w:tc>
          <w:tcPr>
            <w:tcW w:w="1239" w:type="dxa"/>
            <w:tcBorders>
              <w:top w:val="single" w:color="000000" w:sz="4" w:space="0"/>
              <w:left w:val="nil"/>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应符合标准要求</w:t>
            </w:r>
          </w:p>
        </w:tc>
        <w:tc>
          <w:tcPr>
            <w:tcW w:w="1079" w:type="dxa"/>
            <w:tcBorders>
              <w:top w:val="single" w:color="000000" w:sz="4" w:space="0"/>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1171" w:type="dxa"/>
            <w:tcBorders>
              <w:top w:val="single" w:color="000000" w:sz="4" w:space="0"/>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594" w:type="dxa"/>
            <w:tcBorders>
              <w:top w:val="single" w:color="000000" w:sz="4" w:space="0"/>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4" w:type="dxa"/>
            <w:vMerge w:val="restart"/>
            <w:tcBorders>
              <w:top w:val="nil"/>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b/>
                <w:bCs/>
                <w:kern w:val="0"/>
                <w:sz w:val="21"/>
                <w:szCs w:val="21"/>
              </w:rPr>
            </w:pPr>
          </w:p>
          <w:p>
            <w:pPr>
              <w:spacing w:line="300" w:lineRule="exact"/>
              <w:jc w:val="center"/>
              <w:rPr>
                <w:rFonts w:hint="eastAsia" w:ascii="仿宋_GB2312" w:hAnsi="仿宋_GB2312" w:eastAsia="仿宋_GB2312" w:cs="仿宋_GB2312"/>
                <w:b/>
                <w:bCs/>
                <w:kern w:val="0"/>
                <w:sz w:val="21"/>
                <w:szCs w:val="21"/>
              </w:rPr>
            </w:pPr>
          </w:p>
          <w:p>
            <w:pPr>
              <w:spacing w:line="300" w:lineRule="exact"/>
              <w:jc w:val="center"/>
              <w:rPr>
                <w:rFonts w:hint="eastAsia" w:ascii="仿宋_GB2312" w:hAnsi="仿宋_GB2312" w:eastAsia="仿宋_GB2312" w:cs="仿宋_GB2312"/>
                <w:b/>
                <w:bCs/>
                <w:kern w:val="0"/>
                <w:sz w:val="21"/>
                <w:szCs w:val="21"/>
              </w:rPr>
            </w:pPr>
          </w:p>
          <w:p>
            <w:pPr>
              <w:spacing w:line="30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机</w:t>
            </w:r>
          </w:p>
          <w:p>
            <w:pPr>
              <w:spacing w:line="300" w:lineRule="exact"/>
              <w:jc w:val="center"/>
              <w:rPr>
                <w:rFonts w:hint="eastAsia" w:ascii="仿宋_GB2312" w:hAnsi="仿宋_GB2312" w:eastAsia="仿宋_GB2312" w:cs="仿宋_GB2312"/>
                <w:b/>
                <w:bCs/>
                <w:kern w:val="0"/>
                <w:sz w:val="21"/>
                <w:szCs w:val="21"/>
              </w:rPr>
            </w:pPr>
          </w:p>
          <w:p>
            <w:pPr>
              <w:spacing w:line="300" w:lineRule="exact"/>
              <w:jc w:val="center"/>
              <w:rPr>
                <w:rFonts w:hint="eastAsia" w:ascii="仿宋_GB2312" w:hAnsi="仿宋_GB2312" w:eastAsia="仿宋_GB2312" w:cs="仿宋_GB2312"/>
                <w:b/>
                <w:bCs/>
                <w:kern w:val="0"/>
                <w:sz w:val="21"/>
                <w:szCs w:val="21"/>
              </w:rPr>
            </w:pPr>
          </w:p>
          <w:p>
            <w:pPr>
              <w:spacing w:line="300" w:lineRule="exact"/>
              <w:rPr>
                <w:rFonts w:hint="eastAsia" w:ascii="仿宋_GB2312" w:hAnsi="仿宋_GB2312" w:eastAsia="仿宋_GB2312" w:cs="仿宋_GB2312"/>
                <w:b/>
                <w:bCs/>
                <w:kern w:val="0"/>
                <w:sz w:val="21"/>
                <w:szCs w:val="21"/>
              </w:rPr>
            </w:pPr>
          </w:p>
          <w:p>
            <w:pPr>
              <w:spacing w:line="30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构</w:t>
            </w:r>
          </w:p>
          <w:p>
            <w:pPr>
              <w:spacing w:line="300" w:lineRule="exact"/>
              <w:jc w:val="center"/>
              <w:rPr>
                <w:rFonts w:hint="eastAsia" w:ascii="仿宋_GB2312" w:hAnsi="仿宋_GB2312" w:eastAsia="仿宋_GB2312" w:cs="仿宋_GB2312"/>
                <w:b/>
                <w:bCs/>
                <w:kern w:val="0"/>
                <w:sz w:val="21"/>
                <w:szCs w:val="21"/>
              </w:rPr>
            </w:pPr>
          </w:p>
          <w:p>
            <w:pPr>
              <w:spacing w:line="300" w:lineRule="exact"/>
              <w:jc w:val="center"/>
              <w:rPr>
                <w:rFonts w:hint="eastAsia" w:ascii="仿宋_GB2312" w:hAnsi="仿宋_GB2312" w:eastAsia="仿宋_GB2312" w:cs="仿宋_GB2312"/>
                <w:b/>
                <w:bCs/>
                <w:kern w:val="0"/>
                <w:sz w:val="21"/>
                <w:szCs w:val="21"/>
              </w:rPr>
            </w:pPr>
          </w:p>
          <w:p>
            <w:pPr>
              <w:spacing w:line="300" w:lineRule="exact"/>
              <w:jc w:val="center"/>
              <w:rPr>
                <w:rFonts w:hint="eastAsia" w:ascii="仿宋_GB2312" w:hAnsi="仿宋_GB2312" w:eastAsia="仿宋_GB2312" w:cs="仿宋_GB2312"/>
                <w:b/>
                <w:bCs/>
                <w:kern w:val="0"/>
                <w:sz w:val="21"/>
                <w:szCs w:val="21"/>
              </w:rPr>
            </w:pPr>
          </w:p>
          <w:p>
            <w:pPr>
              <w:spacing w:line="30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与</w:t>
            </w:r>
          </w:p>
          <w:p>
            <w:pPr>
              <w:spacing w:line="300" w:lineRule="exact"/>
              <w:jc w:val="center"/>
              <w:rPr>
                <w:rFonts w:hint="eastAsia" w:ascii="仿宋_GB2312" w:hAnsi="仿宋_GB2312" w:eastAsia="仿宋_GB2312" w:cs="仿宋_GB2312"/>
                <w:b/>
                <w:bCs/>
                <w:kern w:val="0"/>
                <w:sz w:val="21"/>
                <w:szCs w:val="21"/>
              </w:rPr>
            </w:pPr>
          </w:p>
          <w:p>
            <w:pPr>
              <w:spacing w:line="300" w:lineRule="exact"/>
              <w:jc w:val="center"/>
              <w:rPr>
                <w:rFonts w:hint="eastAsia" w:ascii="仿宋_GB2312" w:hAnsi="仿宋_GB2312" w:eastAsia="仿宋_GB2312" w:cs="仿宋_GB2312"/>
                <w:b/>
                <w:bCs/>
                <w:kern w:val="0"/>
                <w:sz w:val="21"/>
                <w:szCs w:val="21"/>
              </w:rPr>
            </w:pPr>
          </w:p>
          <w:p>
            <w:pPr>
              <w:spacing w:line="300" w:lineRule="exact"/>
              <w:jc w:val="center"/>
              <w:rPr>
                <w:rFonts w:hint="eastAsia" w:ascii="仿宋_GB2312" w:hAnsi="仿宋_GB2312" w:eastAsia="仿宋_GB2312" w:cs="仿宋_GB2312"/>
                <w:b/>
                <w:bCs/>
                <w:kern w:val="0"/>
                <w:sz w:val="21"/>
                <w:szCs w:val="21"/>
              </w:rPr>
            </w:pPr>
          </w:p>
          <w:p>
            <w:pPr>
              <w:spacing w:line="30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人</w:t>
            </w:r>
          </w:p>
          <w:p>
            <w:pPr>
              <w:spacing w:line="300" w:lineRule="exact"/>
              <w:jc w:val="center"/>
              <w:rPr>
                <w:rFonts w:hint="eastAsia" w:ascii="仿宋_GB2312" w:hAnsi="仿宋_GB2312" w:eastAsia="仿宋_GB2312" w:cs="仿宋_GB2312"/>
                <w:b/>
                <w:bCs/>
                <w:kern w:val="0"/>
                <w:sz w:val="21"/>
                <w:szCs w:val="21"/>
              </w:rPr>
            </w:pPr>
          </w:p>
          <w:p>
            <w:pPr>
              <w:spacing w:line="300" w:lineRule="exact"/>
              <w:jc w:val="center"/>
              <w:rPr>
                <w:rFonts w:hint="eastAsia" w:ascii="仿宋_GB2312" w:hAnsi="仿宋_GB2312" w:eastAsia="仿宋_GB2312" w:cs="仿宋_GB2312"/>
                <w:b/>
                <w:bCs/>
                <w:kern w:val="0"/>
                <w:sz w:val="21"/>
                <w:szCs w:val="21"/>
              </w:rPr>
            </w:pPr>
          </w:p>
          <w:p>
            <w:pPr>
              <w:spacing w:line="30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员</w:t>
            </w:r>
          </w:p>
          <w:p>
            <w:pPr>
              <w:spacing w:line="300" w:lineRule="exact"/>
              <w:rPr>
                <w:rFonts w:hint="eastAsia" w:ascii="仿宋_GB2312" w:hAnsi="仿宋_GB2312" w:eastAsia="仿宋_GB2312" w:cs="仿宋_GB2312"/>
                <w:kern w:val="2"/>
                <w:sz w:val="21"/>
                <w:szCs w:val="21"/>
              </w:rPr>
            </w:pPr>
          </w:p>
        </w:tc>
        <w:tc>
          <w:tcPr>
            <w:tcW w:w="9587" w:type="dxa"/>
            <w:tcBorders>
              <w:top w:val="single" w:color="000000" w:sz="4" w:space="0"/>
              <w:left w:val="nil"/>
              <w:bottom w:val="single" w:color="000000" w:sz="4" w:space="0"/>
              <w:right w:val="single" w:color="000000" w:sz="4" w:space="0"/>
            </w:tcBorders>
          </w:tcPr>
          <w:p>
            <w:pPr>
              <w:numPr>
                <w:ilvl w:val="0"/>
                <w:numId w:val="2"/>
              </w:numPr>
              <w:snapToGrid w:val="0"/>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门店应符合以下设置要求：</w:t>
            </w:r>
          </w:p>
          <w:p>
            <w:pPr>
              <w:snapToGrid w:val="0"/>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（一）药品经营企业的法定代表人、主要负责人对本企业的药品经营活动全面负责。</w:t>
            </w:r>
          </w:p>
          <w:p>
            <w:pPr>
              <w:snapToGrid w:val="0"/>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（二）门店应为非法人分支机构或与连锁企业总部为同一法定代表人。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b w:val="0"/>
                <w:i w:val="0"/>
                <w:caps w:val="0"/>
                <w:color w:val="333333"/>
                <w:spacing w:val="0"/>
                <w:sz w:val="21"/>
                <w:szCs w:val="21"/>
              </w:rPr>
            </w:pPr>
            <w:r>
              <w:rPr>
                <w:rFonts w:hint="eastAsia" w:ascii="仿宋_GB2312" w:hAnsi="仿宋_GB2312" w:eastAsia="仿宋_GB2312" w:cs="仿宋_GB2312"/>
                <w:kern w:val="0"/>
                <w:sz w:val="21"/>
                <w:szCs w:val="21"/>
              </w:rPr>
              <w:t>（三）门店</w:t>
            </w:r>
            <w:r>
              <w:rPr>
                <w:rFonts w:hint="eastAsia" w:ascii="仿宋_GB2312" w:hAnsi="仿宋_GB2312" w:eastAsia="仿宋_GB2312" w:cs="仿宋_GB2312"/>
                <w:b w:val="0"/>
                <w:i w:val="0"/>
                <w:caps w:val="0"/>
                <w:color w:val="333333"/>
                <w:spacing w:val="0"/>
                <w:sz w:val="21"/>
                <w:szCs w:val="21"/>
                <w:shd w:val="clear" w:fill="FFFFFF"/>
              </w:rPr>
              <w:t>经营处方药、甲类非处方药的药品零售企业，必须配有执业药师或者其他依法经过资格认定的药学技术人员。质量负责人应有1年以上（含1年）药品经营质量管理工作经验。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21"/>
                <w:szCs w:val="21"/>
              </w:rPr>
            </w:pPr>
            <w:r>
              <w:rPr>
                <w:rFonts w:hint="eastAsia" w:ascii="仿宋_GB2312" w:hAnsi="仿宋_GB2312" w:eastAsia="仿宋_GB2312" w:cs="仿宋_GB2312"/>
                <w:b w:val="0"/>
                <w:i w:val="0"/>
                <w:caps w:val="0"/>
                <w:color w:val="333333"/>
                <w:spacing w:val="0"/>
                <w:sz w:val="21"/>
                <w:szCs w:val="21"/>
                <w:shd w:val="clear" w:fill="FFFFFF"/>
              </w:rPr>
              <w:t>经营乙类非处方药的药品零售企业，以及农村乡镇以下地区设立药品零售企业的，应当按照《药品管理法实施条例》第15条的规定配备业务人员，有条件的应当配备执业药师。企业营业时间，以上人员应当在岗。</w:t>
            </w:r>
          </w:p>
          <w:p>
            <w:pPr>
              <w:numPr>
                <w:ilvl w:val="0"/>
                <w:numId w:val="0"/>
              </w:numPr>
              <w:snapToGrid w:val="0"/>
              <w:spacing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b w:val="0"/>
                <w:bCs w:val="0"/>
                <w:sz w:val="21"/>
                <w:szCs w:val="21"/>
                <w:lang w:eastAsia="zh-CN"/>
              </w:rPr>
              <w:t>（四）企业负责人、</w:t>
            </w:r>
            <w:r>
              <w:rPr>
                <w:rFonts w:hint="eastAsia" w:ascii="仿宋_GB2312" w:hAnsi="仿宋_GB2312" w:eastAsia="仿宋_GB2312" w:cs="仿宋_GB2312"/>
                <w:b w:val="0"/>
                <w:bCs w:val="0"/>
                <w:sz w:val="21"/>
                <w:szCs w:val="21"/>
              </w:rPr>
              <w:t>门店</w:t>
            </w:r>
            <w:r>
              <w:rPr>
                <w:rFonts w:hint="eastAsia" w:ascii="仿宋_GB2312" w:hAnsi="仿宋_GB2312" w:eastAsia="仿宋_GB2312" w:cs="仿宋_GB2312"/>
                <w:b w:val="0"/>
                <w:bCs w:val="0"/>
                <w:sz w:val="21"/>
                <w:szCs w:val="21"/>
                <w:lang w:eastAsia="zh-CN"/>
              </w:rPr>
              <w:t>质量</w:t>
            </w:r>
            <w:r>
              <w:rPr>
                <w:rFonts w:hint="eastAsia" w:ascii="仿宋_GB2312" w:hAnsi="仿宋_GB2312" w:eastAsia="仿宋_GB2312" w:cs="仿宋_GB2312"/>
                <w:b w:val="0"/>
                <w:bCs w:val="0"/>
                <w:sz w:val="21"/>
                <w:szCs w:val="21"/>
              </w:rPr>
              <w:t>负责人</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kern w:val="0"/>
                <w:sz w:val="21"/>
                <w:szCs w:val="21"/>
                <w:lang w:eastAsia="zh-CN"/>
              </w:rPr>
              <w:t>质量管理、</w:t>
            </w:r>
            <w:r>
              <w:rPr>
                <w:rFonts w:hint="eastAsia" w:ascii="仿宋_GB2312" w:hAnsi="仿宋_GB2312" w:eastAsia="仿宋_GB2312" w:cs="仿宋_GB2312"/>
                <w:kern w:val="0"/>
                <w:sz w:val="21"/>
                <w:szCs w:val="21"/>
              </w:rPr>
              <w:t>验收</w:t>
            </w:r>
            <w:r>
              <w:rPr>
                <w:rFonts w:hint="eastAsia" w:ascii="仿宋_GB2312" w:hAnsi="仿宋_GB2312" w:eastAsia="仿宋_GB2312" w:cs="仿宋_GB2312"/>
                <w:kern w:val="0"/>
                <w:sz w:val="21"/>
                <w:szCs w:val="21"/>
                <w:lang w:eastAsia="zh-CN"/>
              </w:rPr>
              <w:t>、养护</w:t>
            </w:r>
            <w:r>
              <w:rPr>
                <w:rFonts w:hint="eastAsia" w:ascii="仿宋_GB2312" w:hAnsi="仿宋_GB2312" w:eastAsia="仿宋_GB2312" w:cs="仿宋_GB2312"/>
                <w:kern w:val="0"/>
                <w:sz w:val="21"/>
                <w:szCs w:val="21"/>
              </w:rPr>
              <w:t>人员</w:t>
            </w:r>
            <w:r>
              <w:rPr>
                <w:rFonts w:hint="eastAsia" w:ascii="仿宋_GB2312" w:hAnsi="仿宋_GB2312" w:eastAsia="仿宋_GB2312" w:cs="仿宋_GB2312"/>
                <w:kern w:val="0"/>
                <w:sz w:val="21"/>
                <w:szCs w:val="21"/>
                <w:lang w:eastAsia="zh-CN"/>
              </w:rPr>
              <w:t>，中药饮片调剂人员，门店营业员资质应符合</w:t>
            </w:r>
            <w:r>
              <w:rPr>
                <w:rFonts w:hint="eastAsia" w:ascii="仿宋_GB2312" w:hAnsi="仿宋_GB2312" w:eastAsia="仿宋_GB2312" w:cs="仿宋_GB2312"/>
                <w:sz w:val="21"/>
                <w:szCs w:val="21"/>
                <w:lang w:eastAsia="zh-CN"/>
              </w:rPr>
              <w:t>《云南省药品零售连锁企业验收标准（试行）》的相关要求。</w:t>
            </w:r>
          </w:p>
          <w:p>
            <w:pPr>
              <w:numPr>
                <w:ilvl w:val="0"/>
                <w:numId w:val="0"/>
              </w:numPr>
              <w:snapToGrid w:val="0"/>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（五）</w:t>
            </w:r>
            <w:r>
              <w:rPr>
                <w:rFonts w:hint="eastAsia" w:ascii="仿宋_GB2312" w:hAnsi="仿宋_GB2312" w:eastAsia="仿宋_GB2312" w:cs="仿宋_GB2312"/>
                <w:kern w:val="0"/>
                <w:sz w:val="21"/>
                <w:szCs w:val="21"/>
              </w:rPr>
              <w:t>门店各岗位人员应当接受相关法律法规及药品专业知识与技能的岗前培训和继续培训，以符合《药品经营质量管理规范》（总局令第28号）的要求。</w:t>
            </w:r>
          </w:p>
          <w:p>
            <w:pPr>
              <w:numPr>
                <w:ilvl w:val="0"/>
                <w:numId w:val="0"/>
              </w:numPr>
              <w:snapToGrid w:val="0"/>
              <w:spacing w:line="30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kern w:val="0"/>
                <w:sz w:val="21"/>
                <w:szCs w:val="21"/>
              </w:rPr>
              <w:t>（</w:t>
            </w:r>
            <w:r>
              <w:rPr>
                <w:rFonts w:hint="eastAsia" w:ascii="仿宋_GB2312" w:hAnsi="仿宋_GB2312" w:eastAsia="仿宋_GB2312" w:cs="仿宋_GB2312"/>
                <w:kern w:val="0"/>
                <w:sz w:val="21"/>
                <w:szCs w:val="21"/>
                <w:lang w:eastAsia="zh-CN"/>
              </w:rPr>
              <w:t>六</w:t>
            </w:r>
            <w:r>
              <w:rPr>
                <w:rFonts w:hint="eastAsia" w:ascii="仿宋_GB2312" w:hAnsi="仿宋_GB2312" w:eastAsia="仿宋_GB2312" w:cs="仿宋_GB2312"/>
                <w:kern w:val="0"/>
                <w:sz w:val="21"/>
                <w:szCs w:val="21"/>
              </w:rPr>
              <w:t>）企业采取远程审方形式销售处方药、提供药事服务的，应符合《云南省药品零售连锁企业远程药事服务及审方系统指导原则》(试行)的规定。</w:t>
            </w:r>
            <w:r>
              <w:rPr>
                <w:rFonts w:hint="eastAsia" w:ascii="仿宋_GB2312" w:hAnsi="仿宋_GB2312" w:eastAsia="仿宋_GB2312" w:cs="仿宋_GB2312"/>
                <w:b w:val="0"/>
                <w:bCs w:val="0"/>
                <w:sz w:val="21"/>
                <w:szCs w:val="21"/>
              </w:rPr>
              <w:t>且经过药学专业知识培训，熟悉有关药品管理的法律法规。</w:t>
            </w:r>
          </w:p>
          <w:p>
            <w:pPr>
              <w:snapToGrid w:val="0"/>
              <w:spacing w:line="300" w:lineRule="exact"/>
              <w:ind w:firstLine="480" w:firstLineChars="200"/>
              <w:rPr>
                <w:rFonts w:hint="eastAsia" w:ascii="仿宋_GB2312" w:hAnsi="仿宋_GB2312" w:eastAsia="仿宋_GB2312" w:cs="仿宋_GB2312"/>
                <w:kern w:val="0"/>
                <w:sz w:val="21"/>
                <w:szCs w:val="21"/>
              </w:rPr>
            </w:pPr>
          </w:p>
        </w:tc>
        <w:tc>
          <w:tcPr>
            <w:tcW w:w="1239" w:type="dxa"/>
            <w:tcBorders>
              <w:top w:val="single" w:color="000000" w:sz="4" w:space="0"/>
              <w:left w:val="nil"/>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kern w:val="0"/>
                <w:sz w:val="21"/>
                <w:szCs w:val="21"/>
              </w:rPr>
            </w:pPr>
          </w:p>
          <w:p>
            <w:pPr>
              <w:spacing w:line="300" w:lineRule="exact"/>
              <w:jc w:val="center"/>
              <w:rPr>
                <w:rFonts w:hint="eastAsia" w:ascii="仿宋_GB2312" w:hAnsi="仿宋_GB2312" w:eastAsia="仿宋_GB2312" w:cs="仿宋_GB2312"/>
                <w:kern w:val="0"/>
                <w:sz w:val="21"/>
                <w:szCs w:val="21"/>
              </w:rPr>
            </w:pPr>
          </w:p>
          <w:p>
            <w:pPr>
              <w:spacing w:line="300" w:lineRule="exact"/>
              <w:jc w:val="center"/>
              <w:rPr>
                <w:rFonts w:hint="eastAsia" w:ascii="仿宋_GB2312" w:hAnsi="仿宋_GB2312" w:eastAsia="仿宋_GB2312" w:cs="仿宋_GB2312"/>
                <w:kern w:val="0"/>
                <w:sz w:val="21"/>
                <w:szCs w:val="21"/>
              </w:rPr>
            </w:pPr>
          </w:p>
          <w:p>
            <w:pPr>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应符合标准要求</w:t>
            </w:r>
          </w:p>
        </w:tc>
        <w:tc>
          <w:tcPr>
            <w:tcW w:w="1079" w:type="dxa"/>
            <w:tcBorders>
              <w:top w:val="single" w:color="000000" w:sz="4" w:space="0"/>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1171" w:type="dxa"/>
            <w:tcBorders>
              <w:top w:val="single" w:color="000000" w:sz="4" w:space="0"/>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594" w:type="dxa"/>
            <w:tcBorders>
              <w:top w:val="single" w:color="000000" w:sz="4" w:space="0"/>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3" w:hRule="atLeast"/>
        </w:trPr>
        <w:tc>
          <w:tcPr>
            <w:tcW w:w="454"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9587" w:type="dxa"/>
            <w:tcBorders>
              <w:top w:val="single" w:color="000000" w:sz="4" w:space="0"/>
              <w:left w:val="nil"/>
              <w:bottom w:val="single" w:color="auto" w:sz="4" w:space="0"/>
              <w:right w:val="single" w:color="000000" w:sz="4" w:space="0"/>
            </w:tcBorders>
          </w:tcPr>
          <w:p>
            <w:pPr>
              <w:snapToGrid w:val="0"/>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四、企业直接接触药品的人员应每年进行健康检查，并建立档案，患有传染病或其他可能污染药品的疾病的人员，不得从事直接接触药品的工作。</w:t>
            </w:r>
          </w:p>
        </w:tc>
        <w:tc>
          <w:tcPr>
            <w:tcW w:w="1239" w:type="dxa"/>
            <w:tcBorders>
              <w:top w:val="single" w:color="000000" w:sz="4" w:space="0"/>
              <w:left w:val="nil"/>
              <w:bottom w:val="single" w:color="auto" w:sz="4" w:space="0"/>
              <w:right w:val="single" w:color="000000" w:sz="4" w:space="0"/>
            </w:tcBorders>
            <w:vAlign w:val="center"/>
          </w:tcPr>
          <w:p>
            <w:pPr>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应符合标准要求</w:t>
            </w:r>
          </w:p>
        </w:tc>
        <w:tc>
          <w:tcPr>
            <w:tcW w:w="1079" w:type="dxa"/>
            <w:tcBorders>
              <w:top w:val="single" w:color="000000"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1171" w:type="dxa"/>
            <w:tcBorders>
              <w:top w:val="single" w:color="000000"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594" w:type="dxa"/>
            <w:tcBorders>
              <w:top w:val="single" w:color="000000"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454"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9587" w:type="dxa"/>
            <w:tcBorders>
              <w:top w:val="single" w:color="auto" w:sz="4" w:space="0"/>
              <w:left w:val="nil"/>
              <w:bottom w:val="single" w:color="auto" w:sz="4" w:space="0"/>
              <w:right w:val="single" w:color="000000" w:sz="4" w:space="0"/>
            </w:tcBorders>
          </w:tcPr>
          <w:p>
            <w:pPr>
              <w:snapToGrid w:val="0"/>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五、企业应制定对员工进行药品相关的法律、法规和专业知识培训计划，建立培训档案,培训档案中应当记录培训时间、地点、内容及接受培训的人员。</w:t>
            </w:r>
          </w:p>
        </w:tc>
        <w:tc>
          <w:tcPr>
            <w:tcW w:w="1239" w:type="dxa"/>
            <w:tcBorders>
              <w:top w:val="single" w:color="auto" w:sz="4" w:space="0"/>
              <w:left w:val="nil"/>
              <w:bottom w:val="single" w:color="auto" w:sz="4" w:space="0"/>
              <w:right w:val="single" w:color="000000" w:sz="4" w:space="0"/>
            </w:tcBorders>
            <w:vAlign w:val="center"/>
          </w:tcPr>
          <w:p>
            <w:pPr>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应符合标准要求</w:t>
            </w:r>
          </w:p>
        </w:tc>
        <w:tc>
          <w:tcPr>
            <w:tcW w:w="1079"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1171"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594"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454"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9587" w:type="dxa"/>
            <w:tcBorders>
              <w:top w:val="single" w:color="auto" w:sz="4" w:space="0"/>
              <w:left w:val="nil"/>
              <w:bottom w:val="single" w:color="auto" w:sz="4" w:space="0"/>
              <w:right w:val="single" w:color="000000" w:sz="4" w:space="0"/>
            </w:tcBorders>
          </w:tcPr>
          <w:p>
            <w:pPr>
              <w:snapToGrid w:val="0"/>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六、</w:t>
            </w:r>
            <w:r>
              <w:rPr>
                <w:rFonts w:hint="eastAsia" w:ascii="仿宋_GB2312" w:hAnsi="仿宋_GB2312" w:eastAsia="仿宋_GB2312" w:cs="仿宋_GB2312"/>
                <w:kern w:val="0"/>
                <w:sz w:val="21"/>
                <w:szCs w:val="21"/>
                <w:lang w:eastAsia="zh-CN"/>
              </w:rPr>
              <w:t>企业法定代表人、企业</w:t>
            </w:r>
            <w:r>
              <w:rPr>
                <w:rFonts w:hint="eastAsia" w:ascii="仿宋_GB2312" w:hAnsi="仿宋_GB2312" w:eastAsia="仿宋_GB2312" w:cs="仿宋_GB2312"/>
                <w:kern w:val="0"/>
                <w:sz w:val="21"/>
                <w:szCs w:val="21"/>
              </w:rPr>
              <w:t>负责人、质量负责人无《药品管理法》规定的不能从事药品经营活动人员的情形。</w:t>
            </w:r>
          </w:p>
        </w:tc>
        <w:tc>
          <w:tcPr>
            <w:tcW w:w="1239" w:type="dxa"/>
            <w:tcBorders>
              <w:top w:val="single" w:color="auto" w:sz="4" w:space="0"/>
              <w:left w:val="nil"/>
              <w:bottom w:val="single" w:color="auto" w:sz="4" w:space="0"/>
              <w:right w:val="single" w:color="000000" w:sz="4" w:space="0"/>
            </w:tcBorders>
            <w:vAlign w:val="center"/>
          </w:tcPr>
          <w:p>
            <w:pPr>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应符合标准要求</w:t>
            </w:r>
          </w:p>
        </w:tc>
        <w:tc>
          <w:tcPr>
            <w:tcW w:w="1079"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1171"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594"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atLeast"/>
        </w:trPr>
        <w:tc>
          <w:tcPr>
            <w:tcW w:w="454" w:type="dxa"/>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场</w:t>
            </w:r>
          </w:p>
          <w:p>
            <w:pPr>
              <w:spacing w:line="30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所</w:t>
            </w:r>
          </w:p>
          <w:p>
            <w:pPr>
              <w:spacing w:line="300" w:lineRule="exact"/>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b/>
                <w:bCs/>
                <w:kern w:val="0"/>
                <w:sz w:val="21"/>
                <w:szCs w:val="21"/>
              </w:rPr>
              <w:t>设施环境</w:t>
            </w:r>
          </w:p>
        </w:tc>
        <w:tc>
          <w:tcPr>
            <w:tcW w:w="9587" w:type="dxa"/>
            <w:tcBorders>
              <w:top w:val="single" w:color="auto" w:sz="4" w:space="0"/>
              <w:left w:val="nil"/>
              <w:bottom w:val="single" w:color="auto" w:sz="4" w:space="0"/>
              <w:right w:val="single" w:color="000000" w:sz="4" w:space="0"/>
            </w:tcBorders>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b w:val="0"/>
                <w:i w:val="0"/>
                <w:caps w:val="0"/>
                <w:color w:val="333333"/>
                <w:spacing w:val="0"/>
                <w:sz w:val="21"/>
                <w:szCs w:val="21"/>
              </w:rPr>
            </w:pPr>
            <w:r>
              <w:rPr>
                <w:rFonts w:hint="eastAsia" w:ascii="仿宋_GB2312" w:hAnsi="仿宋_GB2312" w:eastAsia="仿宋_GB2312" w:cs="仿宋_GB2312"/>
                <w:kern w:val="0"/>
                <w:sz w:val="21"/>
                <w:szCs w:val="21"/>
                <w:lang w:eastAsia="zh-CN"/>
              </w:rPr>
              <w:t>七</w:t>
            </w:r>
            <w:r>
              <w:rPr>
                <w:rFonts w:hint="eastAsia" w:ascii="仿宋_GB2312" w:hAnsi="仿宋_GB2312" w:eastAsia="仿宋_GB2312" w:cs="仿宋_GB2312"/>
                <w:kern w:val="0"/>
                <w:sz w:val="21"/>
                <w:szCs w:val="21"/>
              </w:rPr>
              <w:t>、</w:t>
            </w:r>
            <w:r>
              <w:rPr>
                <w:rFonts w:hint="eastAsia" w:ascii="仿宋_GB2312" w:hAnsi="仿宋_GB2312" w:eastAsia="仿宋_GB2312" w:cs="仿宋_GB2312"/>
                <w:b w:val="0"/>
                <w:i w:val="0"/>
                <w:caps w:val="0"/>
                <w:color w:val="333333"/>
                <w:spacing w:val="0"/>
                <w:sz w:val="21"/>
                <w:szCs w:val="21"/>
                <w:shd w:val="clear" w:fill="FFFFFF"/>
              </w:rPr>
              <w:t>具有与所经营药品相适应的营业场所、设备、仓储设施以及卫生环境。在超市等其他商业企业内设立零售药店的，必须具有独立的区域。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b w:val="0"/>
                <w:i w:val="0"/>
                <w:caps w:val="0"/>
                <w:color w:val="333333"/>
                <w:spacing w:val="0"/>
                <w:sz w:val="21"/>
                <w:szCs w:val="21"/>
              </w:rPr>
            </w:pPr>
            <w:r>
              <w:rPr>
                <w:rFonts w:hint="eastAsia" w:ascii="仿宋_GB2312" w:hAnsi="仿宋_GB2312" w:eastAsia="仿宋_GB2312" w:cs="仿宋_GB2312"/>
                <w:kern w:val="0"/>
                <w:sz w:val="21"/>
                <w:szCs w:val="21"/>
                <w:lang w:eastAsia="zh-CN"/>
              </w:rPr>
              <w:t>（一）</w:t>
            </w:r>
            <w:r>
              <w:rPr>
                <w:rFonts w:hint="eastAsia" w:ascii="仿宋_GB2312" w:hAnsi="仿宋_GB2312" w:eastAsia="仿宋_GB2312" w:cs="仿宋_GB2312"/>
                <w:b w:val="0"/>
                <w:i w:val="0"/>
                <w:caps w:val="0"/>
                <w:color w:val="333333"/>
                <w:spacing w:val="0"/>
                <w:sz w:val="21"/>
                <w:szCs w:val="21"/>
                <w:shd w:val="clear" w:fill="FFFFFF"/>
              </w:rPr>
              <w:t>能够配备满足当地消费者所需药品的能力，并能保证24小时供应。</w:t>
            </w:r>
          </w:p>
          <w:p>
            <w:pPr>
              <w:snapToGrid w:val="0"/>
              <w:spacing w:line="300" w:lineRule="exact"/>
              <w:ind w:firstLine="480" w:firstLineChars="200"/>
              <w:rPr>
                <w:rFonts w:hint="eastAsia" w:ascii="仿宋_GB2312" w:hAnsi="仿宋_GB2312" w:eastAsia="仿宋_GB2312" w:cs="仿宋_GB2312"/>
                <w:b w:val="0"/>
                <w:i w:val="0"/>
                <w:caps w:val="0"/>
                <w:color w:val="333333"/>
                <w:spacing w:val="0"/>
                <w:sz w:val="21"/>
                <w:szCs w:val="21"/>
                <w:shd w:val="clear" w:fill="FFFFFF"/>
              </w:rPr>
            </w:pPr>
            <w:r>
              <w:rPr>
                <w:rFonts w:hint="eastAsia" w:ascii="仿宋_GB2312" w:hAnsi="仿宋_GB2312" w:eastAsia="仿宋_GB2312" w:cs="仿宋_GB2312"/>
                <w:b w:val="0"/>
                <w:i w:val="0"/>
                <w:caps w:val="0"/>
                <w:color w:val="333333"/>
                <w:spacing w:val="0"/>
                <w:sz w:val="21"/>
                <w:szCs w:val="21"/>
                <w:shd w:val="clear" w:fill="FFFFFF"/>
              </w:rPr>
              <w:t>国家对经营麻醉药品、精神药品、医疗用毒性药品、预防性生物制品另有规定的，从其规定。</w:t>
            </w:r>
          </w:p>
          <w:p>
            <w:pPr>
              <w:numPr>
                <w:ilvl w:val="0"/>
                <w:numId w:val="0"/>
              </w:numPr>
              <w:snapToGrid w:val="0"/>
              <w:spacing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lang w:eastAsia="zh-CN"/>
              </w:rPr>
              <w:t>（二）</w:t>
            </w:r>
            <w:r>
              <w:rPr>
                <w:rFonts w:hint="eastAsia" w:ascii="仿宋_GB2312" w:hAnsi="仿宋_GB2312" w:eastAsia="仿宋_GB2312" w:cs="仿宋_GB2312"/>
                <w:kern w:val="0"/>
                <w:sz w:val="21"/>
                <w:szCs w:val="21"/>
              </w:rPr>
              <w:t>门店场所与设施设备应符合</w:t>
            </w:r>
            <w:r>
              <w:rPr>
                <w:rFonts w:hint="eastAsia" w:ascii="仿宋_GB2312" w:hAnsi="仿宋_GB2312" w:eastAsia="仿宋_GB2312" w:cs="仿宋_GB2312"/>
                <w:sz w:val="21"/>
                <w:szCs w:val="21"/>
                <w:lang w:eastAsia="zh-CN"/>
              </w:rPr>
              <w:t>《云南省药品零售连锁企业验收标准（试行）》的相关要求。</w:t>
            </w:r>
          </w:p>
          <w:p>
            <w:pPr>
              <w:snapToGrid w:val="0"/>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（三）门店药品的陈列与储存应当符合《药品经营质量管理规范》（总局令第28号）和《药品经营质量管理规范现场检查指导原则》（修订稿）的要求。</w:t>
            </w:r>
          </w:p>
        </w:tc>
        <w:tc>
          <w:tcPr>
            <w:tcW w:w="1239" w:type="dxa"/>
            <w:tcBorders>
              <w:top w:val="single" w:color="auto" w:sz="4" w:space="0"/>
              <w:left w:val="nil"/>
              <w:bottom w:val="single" w:color="auto" w:sz="4" w:space="0"/>
              <w:right w:val="single" w:color="000000" w:sz="4" w:space="0"/>
            </w:tcBorders>
            <w:vAlign w:val="center"/>
          </w:tcPr>
          <w:p>
            <w:pPr>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应符合标准要求</w:t>
            </w:r>
          </w:p>
        </w:tc>
        <w:tc>
          <w:tcPr>
            <w:tcW w:w="1079"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1171"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594"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19" w:hRule="atLeast"/>
        </w:trPr>
        <w:tc>
          <w:tcPr>
            <w:tcW w:w="454" w:type="dxa"/>
            <w:vMerge w:val="restart"/>
            <w:tcBorders>
              <w:top w:val="nil"/>
              <w:left w:val="single" w:color="auto"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b/>
                <w:bCs/>
                <w:kern w:val="0"/>
                <w:sz w:val="21"/>
                <w:szCs w:val="21"/>
              </w:rPr>
              <w:t>管控制度</w:t>
            </w:r>
          </w:p>
        </w:tc>
        <w:tc>
          <w:tcPr>
            <w:tcW w:w="9587" w:type="dxa"/>
            <w:tcBorders>
              <w:top w:val="single" w:color="auto" w:sz="4" w:space="0"/>
              <w:left w:val="nil"/>
              <w:bottom w:val="single" w:color="auto" w:sz="4" w:space="0"/>
              <w:right w:val="single" w:color="000000" w:sz="4" w:space="0"/>
            </w:tcBorders>
          </w:tcPr>
          <w:p>
            <w:pPr>
              <w:snapToGrid w:val="0"/>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八、药品零售连锁企业总部应当按照《药品经营质量管理规范》（总局令第28号）及相关附录的要求，建立统一的网络管理（计算机管理系统），对总部、配送中心与门店进行统一的质量管控。</w:t>
            </w:r>
          </w:p>
          <w:p>
            <w:pPr>
              <w:spacing w:line="300" w:lineRule="exact"/>
              <w:ind w:firstLine="240" w:firstLineChars="1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系统应当实现总部、配送中心与门店间的信息传输、数据共享、票据管理功能，实时互联互通，对药品购进、收货、验收、储存、配送等各环节经营质量实行全过程控制；能全面控制门店各环节质量管理。</w:t>
            </w:r>
          </w:p>
          <w:p>
            <w:pPr>
              <w:snapToGrid w:val="0"/>
              <w:spacing w:line="300" w:lineRule="exact"/>
              <w:ind w:firstLine="240" w:firstLineChars="1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系统应当提供</w:t>
            </w:r>
            <w:r>
              <w:rPr>
                <w:rFonts w:hint="eastAsia" w:ascii="仿宋_GB2312" w:hAnsi="仿宋_GB2312" w:eastAsia="仿宋_GB2312" w:cs="仿宋_GB2312"/>
                <w:color w:val="222222"/>
                <w:kern w:val="0"/>
                <w:sz w:val="21"/>
                <w:szCs w:val="21"/>
              </w:rPr>
              <w:t>真实、完整的购销记录，保证药品的追溯体系建立健全。</w:t>
            </w:r>
          </w:p>
        </w:tc>
        <w:tc>
          <w:tcPr>
            <w:tcW w:w="1239" w:type="dxa"/>
            <w:vMerge w:val="restart"/>
            <w:tcBorders>
              <w:top w:val="nil"/>
              <w:left w:val="nil"/>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应符合标准要求</w:t>
            </w:r>
          </w:p>
        </w:tc>
        <w:tc>
          <w:tcPr>
            <w:tcW w:w="1079" w:type="dxa"/>
            <w:tcBorders>
              <w:top w:val="nil"/>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1171" w:type="dxa"/>
            <w:tcBorders>
              <w:top w:val="nil"/>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594" w:type="dxa"/>
            <w:vMerge w:val="restart"/>
            <w:tcBorders>
              <w:top w:val="nil"/>
              <w:left w:val="nil"/>
              <w:bottom w:val="single" w:color="000000" w:sz="4" w:space="0"/>
              <w:right w:val="single" w:color="000000" w:sz="4" w:space="0"/>
            </w:tcBorders>
          </w:tcPr>
          <w:p>
            <w:pPr>
              <w:spacing w:line="300" w:lineRule="exac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trPr>
        <w:tc>
          <w:tcPr>
            <w:tcW w:w="454" w:type="dxa"/>
            <w:vMerge w:val="continue"/>
            <w:tcBorders>
              <w:top w:val="nil"/>
              <w:left w:val="single" w:color="auto"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9587" w:type="dxa"/>
            <w:tcBorders>
              <w:top w:val="single" w:color="auto" w:sz="4" w:space="0"/>
              <w:left w:val="nil"/>
              <w:bottom w:val="single" w:color="auto" w:sz="4" w:space="0"/>
              <w:right w:val="single" w:color="000000" w:sz="4" w:space="0"/>
            </w:tcBorders>
            <w:vAlign w:val="center"/>
          </w:tcPr>
          <w:p>
            <w:pPr>
              <w:snapToGrid w:val="0"/>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九、</w:t>
            </w:r>
            <w:r>
              <w:rPr>
                <w:rFonts w:hint="eastAsia" w:ascii="仿宋_GB2312" w:hAnsi="仿宋_GB2312" w:eastAsia="仿宋_GB2312" w:cs="仿宋_GB2312"/>
                <w:color w:val="222222"/>
                <w:kern w:val="0"/>
                <w:sz w:val="21"/>
                <w:szCs w:val="21"/>
              </w:rPr>
              <w:t>国家对药品实行处方药与非处方药分类管理制度。门店销售药品应当按照国家相关的管理办法执行。</w:t>
            </w:r>
          </w:p>
        </w:tc>
        <w:tc>
          <w:tcPr>
            <w:tcW w:w="1239" w:type="dxa"/>
            <w:vMerge w:val="continue"/>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0"/>
                <w:sz w:val="21"/>
                <w:szCs w:val="21"/>
              </w:rPr>
            </w:pPr>
          </w:p>
        </w:tc>
        <w:tc>
          <w:tcPr>
            <w:tcW w:w="1079" w:type="dxa"/>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1171" w:type="dxa"/>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594" w:type="dxa"/>
            <w:vMerge w:val="continue"/>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2" w:hRule="atLeast"/>
        </w:trPr>
        <w:tc>
          <w:tcPr>
            <w:tcW w:w="454" w:type="dxa"/>
            <w:vMerge w:val="continue"/>
            <w:tcBorders>
              <w:top w:val="nil"/>
              <w:left w:val="single" w:color="auto"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9587" w:type="dxa"/>
            <w:tcBorders>
              <w:top w:val="single" w:color="auto" w:sz="4" w:space="0"/>
              <w:left w:val="nil"/>
              <w:bottom w:val="single" w:color="auto" w:sz="4" w:space="0"/>
              <w:right w:val="single" w:color="000000" w:sz="4" w:space="0"/>
            </w:tcBorders>
          </w:tcPr>
          <w:p>
            <w:pPr>
              <w:snapToGrid w:val="0"/>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十、门店零售药品应当准确无误，并正确说明</w:t>
            </w:r>
            <w:r>
              <w:rPr>
                <w:rFonts w:hint="eastAsia" w:ascii="仿宋_GB2312" w:hAnsi="仿宋_GB2312" w:eastAsia="仿宋_GB2312" w:cs="仿宋_GB2312"/>
                <w:color w:val="222222"/>
                <w:kern w:val="0"/>
                <w:sz w:val="21"/>
                <w:szCs w:val="21"/>
              </w:rPr>
              <w:t>用法、用量和注意事项；调配处方应当经过核对，对处方所列药品不得擅自更改或者代用。对有配伍禁忌或者超剂量的处方，应当拒绝调配；必要时，经处方医师更正或者重新签字，方可调配。</w:t>
            </w:r>
          </w:p>
        </w:tc>
        <w:tc>
          <w:tcPr>
            <w:tcW w:w="1239" w:type="dxa"/>
            <w:vMerge w:val="continue"/>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0"/>
                <w:sz w:val="21"/>
                <w:szCs w:val="21"/>
              </w:rPr>
            </w:pPr>
          </w:p>
        </w:tc>
        <w:tc>
          <w:tcPr>
            <w:tcW w:w="1079" w:type="dxa"/>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1171" w:type="dxa"/>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594" w:type="dxa"/>
            <w:vMerge w:val="continue"/>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1" w:hRule="atLeast"/>
        </w:trPr>
        <w:tc>
          <w:tcPr>
            <w:tcW w:w="454" w:type="dxa"/>
            <w:vMerge w:val="continue"/>
            <w:tcBorders>
              <w:top w:val="nil"/>
              <w:left w:val="single" w:color="auto"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9587" w:type="dxa"/>
            <w:tcBorders>
              <w:top w:val="single" w:color="auto" w:sz="4" w:space="0"/>
              <w:left w:val="nil"/>
              <w:bottom w:val="single" w:color="auto" w:sz="4" w:space="0"/>
              <w:right w:val="single" w:color="000000" w:sz="4" w:space="0"/>
            </w:tcBorders>
          </w:tcPr>
          <w:p>
            <w:pPr>
              <w:snapToGrid w:val="0"/>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十一、连锁门店不得自行采购药品。</w:t>
            </w:r>
          </w:p>
        </w:tc>
        <w:tc>
          <w:tcPr>
            <w:tcW w:w="1239" w:type="dxa"/>
            <w:vMerge w:val="continue"/>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0"/>
                <w:sz w:val="21"/>
                <w:szCs w:val="21"/>
              </w:rPr>
            </w:pPr>
          </w:p>
        </w:tc>
        <w:tc>
          <w:tcPr>
            <w:tcW w:w="1079" w:type="dxa"/>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1171" w:type="dxa"/>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594" w:type="dxa"/>
            <w:vMerge w:val="continue"/>
            <w:tcBorders>
              <w:top w:val="nil"/>
              <w:left w:val="nil"/>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454" w:type="dxa"/>
            <w:vMerge w:val="continue"/>
            <w:tcBorders>
              <w:top w:val="nil"/>
              <w:left w:val="single" w:color="auto"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kern w:val="2"/>
                <w:sz w:val="21"/>
                <w:szCs w:val="21"/>
              </w:rPr>
            </w:pPr>
          </w:p>
        </w:tc>
        <w:tc>
          <w:tcPr>
            <w:tcW w:w="9587" w:type="dxa"/>
            <w:tcBorders>
              <w:top w:val="single" w:color="auto" w:sz="4" w:space="0"/>
              <w:left w:val="nil"/>
              <w:bottom w:val="single" w:color="auto" w:sz="4" w:space="0"/>
              <w:right w:val="single" w:color="000000" w:sz="4" w:space="0"/>
            </w:tcBorders>
          </w:tcPr>
          <w:p>
            <w:pPr>
              <w:snapToGrid w:val="0"/>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十二、零售连锁企业应制定符合《药品经营质量管理规范》（总局令第28号）和《药品经营质量管理规范现场检查指导原则》（修订稿）要求的质量管理制度。</w:t>
            </w:r>
          </w:p>
        </w:tc>
        <w:tc>
          <w:tcPr>
            <w:tcW w:w="1239" w:type="dxa"/>
            <w:tcBorders>
              <w:top w:val="single" w:color="auto" w:sz="4" w:space="0"/>
              <w:left w:val="nil"/>
              <w:bottom w:val="single" w:color="auto" w:sz="4" w:space="0"/>
              <w:right w:val="single" w:color="000000" w:sz="4" w:space="0"/>
            </w:tcBorders>
            <w:vAlign w:val="center"/>
          </w:tcPr>
          <w:p>
            <w:pPr>
              <w:spacing w:line="3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应符合标准要求</w:t>
            </w:r>
          </w:p>
        </w:tc>
        <w:tc>
          <w:tcPr>
            <w:tcW w:w="1079"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1171" w:type="dxa"/>
            <w:tcBorders>
              <w:top w:val="single" w:color="auto" w:sz="4" w:space="0"/>
              <w:left w:val="nil"/>
              <w:bottom w:val="single" w:color="auto" w:sz="4" w:space="0"/>
              <w:right w:val="single" w:color="000000" w:sz="4" w:space="0"/>
            </w:tcBorders>
          </w:tcPr>
          <w:p>
            <w:pPr>
              <w:spacing w:line="300" w:lineRule="exact"/>
              <w:rPr>
                <w:rFonts w:hint="eastAsia" w:ascii="仿宋_GB2312" w:hAnsi="仿宋_GB2312" w:eastAsia="仿宋_GB2312" w:cs="仿宋_GB2312"/>
                <w:kern w:val="2"/>
                <w:sz w:val="21"/>
                <w:szCs w:val="21"/>
              </w:rPr>
            </w:pPr>
          </w:p>
        </w:tc>
        <w:tc>
          <w:tcPr>
            <w:tcW w:w="594" w:type="dxa"/>
            <w:tcBorders>
              <w:top w:val="single" w:color="auto" w:sz="4" w:space="0"/>
              <w:left w:val="nil"/>
              <w:bottom w:val="single" w:color="auto" w:sz="4" w:space="0"/>
              <w:right w:val="single" w:color="000000" w:sz="4" w:space="0"/>
            </w:tcBorders>
          </w:tcPr>
          <w:p>
            <w:pPr>
              <w:rPr>
                <w:rFonts w:hint="eastAsia" w:ascii="仿宋_GB2312" w:hAnsi="仿宋_GB2312" w:eastAsia="仿宋_GB2312" w:cs="仿宋_GB2312"/>
                <w:kern w:val="2"/>
                <w:sz w:val="21"/>
                <w:szCs w:val="21"/>
              </w:rPr>
            </w:pPr>
          </w:p>
        </w:tc>
      </w:tr>
    </w:tbl>
    <w:p>
      <w:pPr>
        <w:autoSpaceDN w:val="0"/>
        <w:snapToGrid w:val="0"/>
        <w:spacing w:line="400" w:lineRule="exact"/>
        <w:rPr>
          <w:rFonts w:hint="eastAsia" w:ascii="仿宋" w:hAnsi="仿宋" w:eastAsia="仿宋"/>
          <w:sz w:val="21"/>
          <w:szCs w:val="21"/>
        </w:rPr>
      </w:pPr>
    </w:p>
    <w:p>
      <w:pPr>
        <w:autoSpaceDN w:val="0"/>
        <w:snapToGrid w:val="0"/>
        <w:spacing w:line="400" w:lineRule="exact"/>
        <w:rPr>
          <w:rFonts w:hint="eastAsia" w:ascii="仿宋" w:hAnsi="仿宋" w:eastAsia="仿宋"/>
          <w:sz w:val="21"/>
          <w:szCs w:val="21"/>
        </w:rPr>
      </w:pPr>
      <w:r>
        <w:rPr>
          <w:rFonts w:hint="eastAsia" w:ascii="仿宋" w:hAnsi="仿宋" w:eastAsia="仿宋"/>
          <w:sz w:val="21"/>
          <w:szCs w:val="21"/>
        </w:rPr>
        <w:t>附则：</w:t>
      </w:r>
    </w:p>
    <w:p>
      <w:pPr>
        <w:keepNext w:val="0"/>
        <w:keepLines w:val="0"/>
        <w:pageBreakBefore w:val="0"/>
        <w:widowControl w:val="0"/>
        <w:kinsoku/>
        <w:wordWrap/>
        <w:overflowPunct/>
        <w:topLinePunct w:val="0"/>
        <w:autoSpaceDE/>
        <w:autoSpaceDN w:val="0"/>
        <w:bidi w:val="0"/>
        <w:adjustRightInd/>
        <w:snapToGrid w:val="0"/>
        <w:spacing w:line="380" w:lineRule="exact"/>
        <w:ind w:left="0" w:leftChars="0" w:right="0" w:rightChars="0" w:firstLine="420" w:firstLineChars="200"/>
        <w:jc w:val="both"/>
        <w:textAlignment w:val="auto"/>
        <w:outlineLvl w:val="9"/>
        <w:rPr>
          <w:rFonts w:hint="eastAsia" w:ascii="仿宋" w:hAnsi="仿宋" w:eastAsia="仿宋"/>
          <w:sz w:val="21"/>
          <w:szCs w:val="21"/>
        </w:rPr>
      </w:pPr>
      <w:r>
        <w:rPr>
          <w:rFonts w:hint="eastAsia" w:ascii="仿宋" w:hAnsi="仿宋" w:eastAsia="仿宋"/>
          <w:sz w:val="21"/>
          <w:szCs w:val="21"/>
        </w:rPr>
        <w:t>1.本自查表根据《药品管理法》、《药品管理法</w:t>
      </w:r>
      <w:r>
        <w:rPr>
          <w:rFonts w:hint="eastAsia" w:ascii="仿宋" w:hAnsi="仿宋" w:eastAsia="仿宋"/>
          <w:sz w:val="21"/>
          <w:szCs w:val="21"/>
          <w:lang w:eastAsia="zh-CN"/>
        </w:rPr>
        <w:t>实施条例</w:t>
      </w:r>
      <w:r>
        <w:rPr>
          <w:rFonts w:hint="eastAsia" w:ascii="仿宋" w:hAnsi="仿宋" w:eastAsia="仿宋"/>
          <w:sz w:val="21"/>
          <w:szCs w:val="21"/>
        </w:rPr>
        <w:t>》</w:t>
      </w:r>
      <w:r>
        <w:rPr>
          <w:rFonts w:hint="eastAsia" w:ascii="仿宋" w:hAnsi="仿宋" w:eastAsia="仿宋"/>
          <w:sz w:val="21"/>
          <w:szCs w:val="21"/>
          <w:lang w:eastAsia="zh-CN"/>
        </w:rPr>
        <w:t>、《药品经营许可证管理办法》、</w:t>
      </w:r>
      <w:r>
        <w:rPr>
          <w:rFonts w:hint="eastAsia" w:ascii="仿宋" w:hAnsi="仿宋" w:eastAsia="仿宋"/>
          <w:sz w:val="21"/>
          <w:szCs w:val="21"/>
        </w:rPr>
        <w:t>《云南省药品监督管理局关于进一步促进药品零售企业健康发展的意见》（云药监规〔2019〕1号）</w:t>
      </w:r>
      <w:r>
        <w:rPr>
          <w:rFonts w:hint="eastAsia" w:ascii="仿宋" w:hAnsi="仿宋" w:eastAsia="仿宋"/>
          <w:sz w:val="21"/>
          <w:szCs w:val="21"/>
          <w:lang w:eastAsia="zh-CN"/>
        </w:rPr>
        <w:t>、《云南省药品零售连锁企业验收标准（试行）》</w:t>
      </w:r>
      <w:r>
        <w:rPr>
          <w:rFonts w:hint="eastAsia" w:ascii="仿宋" w:hAnsi="仿宋" w:eastAsia="仿宋"/>
          <w:sz w:val="21"/>
          <w:szCs w:val="21"/>
        </w:rPr>
        <w:t>制定</w:t>
      </w:r>
      <w:r>
        <w:rPr>
          <w:rFonts w:hint="eastAsia" w:ascii="仿宋" w:hAnsi="仿宋" w:eastAsia="仿宋"/>
          <w:sz w:val="21"/>
          <w:szCs w:val="21"/>
          <w:lang w:eastAsia="zh-CN"/>
        </w:rPr>
        <w:t>，如有与上述法律法规、文件、标准不符的，以现行的上述法律法规、文件、标准为准。</w:t>
      </w:r>
    </w:p>
    <w:p>
      <w:pPr>
        <w:keepNext w:val="0"/>
        <w:keepLines w:val="0"/>
        <w:pageBreakBefore w:val="0"/>
        <w:widowControl w:val="0"/>
        <w:kinsoku/>
        <w:wordWrap/>
        <w:overflowPunct/>
        <w:topLinePunct w:val="0"/>
        <w:autoSpaceDE/>
        <w:autoSpaceDN w:val="0"/>
        <w:bidi w:val="0"/>
        <w:adjustRightInd/>
        <w:spacing w:line="380" w:lineRule="exact"/>
        <w:ind w:left="0" w:leftChars="0" w:right="0" w:rightChars="0" w:firstLine="420" w:firstLineChars="200"/>
        <w:jc w:val="both"/>
        <w:textAlignment w:val="auto"/>
        <w:outlineLvl w:val="9"/>
        <w:rPr>
          <w:rFonts w:hint="eastAsia" w:ascii="仿宋" w:hAnsi="仿宋" w:eastAsia="仿宋"/>
          <w:sz w:val="21"/>
          <w:szCs w:val="21"/>
        </w:rPr>
      </w:pPr>
      <w:r>
        <w:rPr>
          <w:rFonts w:hint="eastAsia" w:ascii="仿宋" w:hAnsi="仿宋" w:eastAsia="仿宋"/>
          <w:sz w:val="21"/>
          <w:szCs w:val="21"/>
        </w:rPr>
        <w:t>2.零售连锁企业门店取得《药品经营许可证》后，应当按照《药品经营质量管理规范》（总局令第28号）和《药品经营质量管理规范现场检查指导原则（修订稿）》要求规范药品经营行为，所在地的药品监督管理部门在30个工作日内，将按照以上表格内容进行现场检查，并严格按照《药品管理法》行使监管职责。</w:t>
      </w:r>
    </w:p>
    <w:p>
      <w:pPr>
        <w:rPr>
          <w:sz w:val="28"/>
          <w:szCs w:val="28"/>
        </w:rPr>
      </w:pPr>
    </w:p>
    <w:p>
      <w:pPr>
        <w:rPr>
          <w:sz w:val="28"/>
          <w:szCs w:val="28"/>
        </w:rPr>
      </w:pPr>
    </w:p>
    <w:p>
      <w:pPr>
        <w:rPr>
          <w:rFonts w:hint="eastAsia" w:ascii="仿宋_GB2312" w:hAnsi="仿宋_GB2312" w:eastAsia="仿宋_GB2312" w:cs="仿宋_GB2312"/>
          <w:sz w:val="32"/>
          <w:szCs w:val="32"/>
          <w:lang w:eastAsia="zh-CN"/>
        </w:rPr>
        <w:sectPr>
          <w:pgSz w:w="16838" w:h="11906" w:orient="landscape"/>
          <w:pgMar w:top="1803" w:right="1440" w:bottom="1803" w:left="1440" w:header="851" w:footer="992" w:gutter="0"/>
          <w:cols w:space="0" w:num="1"/>
          <w:rtlGutter w:val="0"/>
          <w:docGrid w:type="lines" w:linePitch="319" w:charSpace="0"/>
        </w:sect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1-3</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昆明市零售连锁企业医疗器械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黑体" w:hAnsi="黑体" w:eastAsia="黑体"/>
          <w:sz w:val="36"/>
          <w:szCs w:val="36"/>
        </w:rPr>
      </w:pPr>
      <w:r>
        <w:rPr>
          <w:rFonts w:hint="eastAsia" w:ascii="方正小标宋_GBK" w:hAnsi="方正小标宋_GBK" w:eastAsia="方正小标宋_GBK" w:cs="方正小标宋_GBK"/>
          <w:sz w:val="44"/>
          <w:szCs w:val="44"/>
        </w:rPr>
        <w:t>经营许可告知承诺书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（适用“告知承诺书”许可）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p>
      <w:pPr>
        <w:spacing w:line="480" w:lineRule="exact"/>
        <w:ind w:firstLine="60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本申请</w:t>
      </w:r>
      <w:r>
        <w:rPr>
          <w:rFonts w:hint="eastAsia" w:ascii="仿宋_GB2312" w:hAnsi="仿宋_GB2312" w:eastAsia="仿宋_GB2312" w:cs="仿宋_GB2312"/>
          <w:color w:val="auto"/>
          <w:sz w:val="28"/>
          <w:szCs w:val="28"/>
        </w:rPr>
        <w:t>人已</w:t>
      </w:r>
      <w:r>
        <w:rPr>
          <w:rFonts w:hint="eastAsia" w:ascii="仿宋_GB2312" w:hAnsi="仿宋_GB2312" w:eastAsia="仿宋_GB2312" w:cs="仿宋_GB2312"/>
          <w:color w:val="auto"/>
          <w:sz w:val="28"/>
          <w:szCs w:val="28"/>
          <w:lang w:eastAsia="zh-CN"/>
        </w:rPr>
        <w:t>知悉</w:t>
      </w:r>
      <w:r>
        <w:rPr>
          <w:rFonts w:hint="eastAsia" w:ascii="仿宋_GB2312" w:hAnsi="仿宋_GB2312" w:eastAsia="仿宋_GB2312" w:cs="仿宋_GB2312"/>
          <w:color w:val="auto"/>
          <w:sz w:val="28"/>
          <w:szCs w:val="28"/>
        </w:rPr>
        <w:t>“申请</w:t>
      </w:r>
      <w:r>
        <w:rPr>
          <w:rFonts w:hint="eastAsia" w:ascii="仿宋_GB2312" w:hAnsi="仿宋_GB2312" w:eastAsia="仿宋_GB2312" w:cs="仿宋_GB2312"/>
          <w:sz w:val="28"/>
          <w:szCs w:val="28"/>
        </w:rPr>
        <w:t>人承诺制”责任，自愿选择“申请人告知承诺制”审批模式，并对照《</w:t>
      </w:r>
      <w:r>
        <w:rPr>
          <w:rFonts w:hint="eastAsia" w:ascii="仿宋_GB2312" w:hAnsi="仿宋_GB2312" w:eastAsia="仿宋_GB2312" w:cs="仿宋_GB2312"/>
          <w:b/>
          <w:sz w:val="28"/>
          <w:szCs w:val="28"/>
        </w:rPr>
        <w:t>昆明市《医疗器械经营许可证》（零售）新办/变更/延续行政审批告知承诺企业自查表</w:t>
      </w:r>
      <w:r>
        <w:rPr>
          <w:rFonts w:hint="eastAsia" w:ascii="仿宋_GB2312" w:hAnsi="仿宋_GB2312" w:eastAsia="仿宋_GB2312" w:cs="仿宋_GB2312"/>
          <w:sz w:val="28"/>
          <w:szCs w:val="28"/>
        </w:rPr>
        <w:t>》进行全面自查，结果符合相关要求，现就有关事宜郑重承诺如下：</w:t>
      </w:r>
    </w:p>
    <w:p>
      <w:pPr>
        <w:spacing w:line="480" w:lineRule="exact"/>
        <w:ind w:firstLine="60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一、此次申请的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事项中所提交的所有文件、证件均真实、合法、有效。若该事项需要现场检查，所涉及需现场检查的各项条件均符合要求，检查中所提供的各种资料均真实、合法、有效，并愿意随时接受现场检查。</w:t>
      </w:r>
    </w:p>
    <w:p>
      <w:pPr>
        <w:spacing w:line="480" w:lineRule="exact"/>
        <w:ind w:firstLine="60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二、若所提交的资料存在虚假、违法、无效的事实，或该事项所涉及需现场检查的条件不符合要求，均属违约行为。本申请人将对此恶意造假行为所造成的后果承担相应的法律责任，并同意接受以下处理：</w:t>
      </w:r>
    </w:p>
    <w:p>
      <w:pPr>
        <w:spacing w:line="480" w:lineRule="exact"/>
        <w:ind w:firstLine="60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1.市场监督管理局撤销</w:t>
      </w:r>
      <w:r>
        <w:rPr>
          <w:rFonts w:hint="eastAsia" w:ascii="仿宋_GB2312" w:hAnsi="仿宋_GB2312" w:eastAsia="仿宋_GB2312" w:cs="仿宋_GB2312"/>
          <w:sz w:val="28"/>
          <w:szCs w:val="28"/>
          <w:lang w:eastAsia="zh-CN"/>
        </w:rPr>
        <w:t>医疗器械</w:t>
      </w:r>
      <w:r>
        <w:rPr>
          <w:rFonts w:hint="eastAsia" w:ascii="仿宋_GB2312" w:hAnsi="仿宋_GB2312" w:eastAsia="仿宋_GB2312" w:cs="仿宋_GB2312"/>
          <w:sz w:val="28"/>
          <w:szCs w:val="28"/>
        </w:rPr>
        <w:t>经营许可；</w:t>
      </w:r>
    </w:p>
    <w:p>
      <w:pPr>
        <w:spacing w:line="480" w:lineRule="exact"/>
        <w:ind w:firstLine="60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2.市场监督管理局5年</w:t>
      </w:r>
      <w:r>
        <w:rPr>
          <w:rFonts w:hint="eastAsia" w:ascii="仿宋_GB2312" w:hAnsi="仿宋_GB2312" w:eastAsia="仿宋_GB2312" w:cs="仿宋_GB2312"/>
          <w:color w:val="auto"/>
          <w:sz w:val="28"/>
          <w:szCs w:val="28"/>
        </w:rPr>
        <w:t>内不</w:t>
      </w:r>
      <w:r>
        <w:rPr>
          <w:rFonts w:hint="eastAsia" w:ascii="仿宋_GB2312" w:hAnsi="仿宋_GB2312" w:eastAsia="仿宋_GB2312" w:cs="仿宋_GB2312"/>
          <w:color w:val="auto"/>
          <w:sz w:val="28"/>
          <w:szCs w:val="28"/>
          <w:lang w:eastAsia="zh-CN"/>
        </w:rPr>
        <w:t>再</w:t>
      </w:r>
      <w:r>
        <w:rPr>
          <w:rFonts w:hint="eastAsia" w:ascii="仿宋_GB2312" w:hAnsi="仿宋_GB2312" w:eastAsia="仿宋_GB2312" w:cs="仿宋_GB2312"/>
          <w:color w:val="auto"/>
          <w:sz w:val="28"/>
          <w:szCs w:val="28"/>
        </w:rPr>
        <w:t>受理</w:t>
      </w:r>
      <w:r>
        <w:rPr>
          <w:rFonts w:hint="eastAsia" w:ascii="仿宋_GB2312" w:hAnsi="仿宋_GB2312" w:eastAsia="仿宋_GB2312" w:cs="仿宋_GB2312"/>
          <w:sz w:val="28"/>
          <w:szCs w:val="28"/>
        </w:rPr>
        <w:t>本申请人的该行政许可事项申请；</w:t>
      </w:r>
    </w:p>
    <w:p>
      <w:pPr>
        <w:spacing w:line="480" w:lineRule="exact"/>
        <w:ind w:firstLine="60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3.市场监督管理局将在政务网站等媒体上公示本申请人的失信行为，包括法定代表人（负责人）对此次失信行为的情况。</w:t>
      </w:r>
    </w:p>
    <w:p>
      <w:pPr>
        <w:spacing w:line="480" w:lineRule="exact"/>
        <w:rPr>
          <w:rFonts w:hint="eastAsia" w:ascii="仿宋_GB2312" w:hAnsi="仿宋_GB2312" w:eastAsia="仿宋_GB2312" w:cs="仿宋_GB2312"/>
          <w:sz w:val="28"/>
          <w:szCs w:val="28"/>
        </w:rPr>
      </w:pPr>
    </w:p>
    <w:p>
      <w:pPr>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申请人（公章）：</w:t>
      </w:r>
    </w:p>
    <w:p>
      <w:pPr>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法定代表人（负责人）（签名）：</w:t>
      </w:r>
    </w:p>
    <w:p>
      <w:pPr>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pPr>
        <w:rPr>
          <w:rFonts w:hint="eastAsia"/>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本承诺书一式三份，交市场监管局两份，企业保留一份。</w:t>
      </w:r>
      <w:r>
        <w:rPr>
          <w:rFonts w:hint="eastAsia" w:ascii="仿宋_GB2312" w:hAnsi="仿宋_GB2312" w:eastAsia="仿宋_GB2312" w:cs="仿宋_GB2312"/>
          <w:sz w:val="28"/>
          <w:szCs w:val="28"/>
          <w:lang w:eastAsia="zh-CN"/>
        </w:rPr>
        <w:t>）</w:t>
      </w:r>
    </w:p>
    <w:p>
      <w:pPr>
        <w:rPr>
          <w:rFonts w:hint="eastAsia" w:ascii="仿宋_GB2312" w:hAnsi="仿宋_GB2312" w:eastAsia="仿宋_GB2312" w:cs="仿宋_GB2312"/>
          <w:sz w:val="32"/>
          <w:szCs w:val="32"/>
          <w:lang w:eastAsia="zh-CN"/>
        </w:rPr>
        <w:sectPr>
          <w:pgSz w:w="11906" w:h="16838"/>
          <w:pgMar w:top="1440" w:right="1803" w:bottom="1440" w:left="1803" w:header="851" w:footer="992" w:gutter="0"/>
          <w:cols w:space="0" w:num="1"/>
          <w:rtlGutter w:val="0"/>
          <w:docGrid w:type="lines" w:linePitch="319" w:charSpace="0"/>
        </w:sectPr>
      </w:pPr>
    </w:p>
    <w:p>
      <w:pPr>
        <w:rPr>
          <w:rFonts w:hint="eastAsia" w:ascii="方正小标宋_GBK" w:hAnsi="方正小标宋_GBK" w:eastAsia="方正小标宋_GBK" w:cs="方正小标宋_GBK"/>
          <w:b w:val="0"/>
          <w:bCs/>
          <w:spacing w:val="-20"/>
          <w:kern w:val="0"/>
          <w:sz w:val="44"/>
          <w:szCs w:val="44"/>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1-4</w:t>
      </w:r>
    </w:p>
    <w:p>
      <w:pPr>
        <w:widowControl/>
        <w:spacing w:line="560" w:lineRule="exact"/>
        <w:jc w:val="center"/>
        <w:rPr>
          <w:rFonts w:ascii="仿宋_GB2312" w:hAnsi="宋体" w:eastAsia="仿宋_GB2312" w:cs="宋体"/>
          <w:kern w:val="0"/>
          <w:sz w:val="28"/>
          <w:szCs w:val="28"/>
        </w:rPr>
      </w:pPr>
      <w:r>
        <w:rPr>
          <w:rFonts w:hint="eastAsia" w:ascii="方正小标宋_GBK" w:hAnsi="方正小标宋_GBK" w:eastAsia="方正小标宋_GBK" w:cs="方正小标宋_GBK"/>
          <w:b w:val="0"/>
          <w:bCs/>
          <w:spacing w:val="-20"/>
          <w:kern w:val="0"/>
          <w:sz w:val="44"/>
          <w:szCs w:val="44"/>
          <w:lang w:eastAsia="zh-CN"/>
        </w:rPr>
        <w:t>昆明市</w:t>
      </w:r>
      <w:r>
        <w:rPr>
          <w:rFonts w:hint="eastAsia" w:ascii="方正小标宋_GBK" w:hAnsi="方正小标宋_GBK" w:eastAsia="方正小标宋_GBK" w:cs="方正小标宋_GBK"/>
          <w:b w:val="0"/>
          <w:bCs/>
          <w:spacing w:val="-20"/>
          <w:kern w:val="0"/>
          <w:sz w:val="44"/>
          <w:szCs w:val="44"/>
        </w:rPr>
        <w:t>零售连锁企业医疗器械经营许可“告知承诺制”</w:t>
      </w:r>
      <w:r>
        <w:rPr>
          <w:rFonts w:hint="eastAsia" w:ascii="方正小标宋_GBK" w:hAnsi="方正小标宋_GBK" w:eastAsia="方正小标宋_GBK" w:cs="方正小标宋_GBK"/>
          <w:b w:val="0"/>
          <w:bCs/>
          <w:kern w:val="0"/>
          <w:sz w:val="44"/>
          <w:szCs w:val="44"/>
        </w:rPr>
        <w:t>自查表</w:t>
      </w:r>
    </w:p>
    <w:p>
      <w:pPr>
        <w:widowControl/>
        <w:spacing w:line="360" w:lineRule="auto"/>
        <w:rPr>
          <w:rFonts w:ascii="仿宋_GB2312" w:hAnsi="宋体" w:eastAsia="仿宋_GB2312" w:cs="宋体"/>
          <w:kern w:val="0"/>
          <w:sz w:val="24"/>
        </w:rPr>
      </w:pPr>
      <w:r>
        <w:rPr>
          <w:rFonts w:hint="eastAsia" w:ascii="仿宋_GB2312" w:hAnsi="宋体" w:eastAsia="仿宋_GB2312" w:cs="宋体"/>
          <w:kern w:val="0"/>
          <w:sz w:val="24"/>
        </w:rPr>
        <w:t xml:space="preserve">企业名称：           </w:t>
      </w:r>
      <w:r>
        <w:rPr>
          <w:rFonts w:hint="eastAsia" w:ascii="仿宋_GB2312" w:hAnsi="宋体" w:eastAsia="仿宋_GB2312" w:cs="宋体"/>
          <w:kern w:val="0"/>
          <w:sz w:val="24"/>
          <w:lang w:val="en-US" w:eastAsia="zh-CN"/>
        </w:rPr>
        <w:t xml:space="preserve">                                   </w:t>
      </w:r>
      <w:r>
        <w:rPr>
          <w:rFonts w:hint="eastAsia" w:ascii="仿宋_GB2312" w:hAnsi="宋体" w:eastAsia="仿宋_GB2312" w:cs="宋体"/>
          <w:kern w:val="0"/>
          <w:sz w:val="24"/>
        </w:rPr>
        <w:t xml:space="preserve"> </w:t>
      </w:r>
      <w:r>
        <w:rPr>
          <w:rFonts w:hint="eastAsia" w:ascii="仿宋_GB2312" w:eastAsia="仿宋_GB2312"/>
          <w:color w:val="auto"/>
          <w:sz w:val="24"/>
        </w:rPr>
        <w:t>企业法人代表签字</w:t>
      </w:r>
      <w:r>
        <w:rPr>
          <w:rFonts w:hint="eastAsia" w:ascii="仿宋_GB2312" w:eastAsia="仿宋_GB2312"/>
          <w:color w:val="auto"/>
          <w:sz w:val="24"/>
          <w:lang w:eastAsia="zh-CN"/>
        </w:rPr>
        <w:t>（公章）</w:t>
      </w:r>
      <w:r>
        <w:rPr>
          <w:rFonts w:hint="eastAsia" w:ascii="仿宋_GB2312" w:eastAsia="仿宋_GB2312"/>
          <w:color w:val="auto"/>
          <w:sz w:val="24"/>
        </w:rPr>
        <w:t xml:space="preserve">：    </w:t>
      </w:r>
    </w:p>
    <w:p>
      <w:pPr>
        <w:widowControl/>
        <w:spacing w:line="360" w:lineRule="auto"/>
        <w:rPr>
          <w:rFonts w:ascii="仿宋_GB2312" w:eastAsia="仿宋_GB2312"/>
          <w:color w:val="auto"/>
          <w:sz w:val="28"/>
          <w:szCs w:val="28"/>
        </w:rPr>
      </w:pPr>
      <w:r>
        <w:rPr>
          <w:rFonts w:hint="eastAsia" w:ascii="仿宋_GB2312" w:hAnsi="宋体" w:eastAsia="仿宋_GB2312" w:cs="宋体"/>
          <w:kern w:val="0"/>
          <w:sz w:val="24"/>
        </w:rPr>
        <w:t>申请事项（勾选）：□新办 □延续 □变更</w:t>
      </w:r>
      <w:r>
        <w:rPr>
          <w:rFonts w:hint="eastAsia" w:ascii="仿宋_GB2312" w:hAnsi="宋体" w:eastAsia="仿宋_GB2312" w:cs="宋体"/>
          <w:kern w:val="0"/>
          <w:sz w:val="24"/>
          <w:lang w:val="en-US" w:eastAsia="zh-CN"/>
        </w:rPr>
        <w:t xml:space="preserve">                                         </w:t>
      </w:r>
      <w:r>
        <w:rPr>
          <w:rFonts w:hint="eastAsia" w:ascii="仿宋_GB2312" w:eastAsia="仿宋_GB2312"/>
          <w:color w:val="auto"/>
          <w:sz w:val="24"/>
        </w:rPr>
        <w:t xml:space="preserve">自查日期：  </w:t>
      </w:r>
      <w:r>
        <w:rPr>
          <w:rFonts w:hint="eastAsia" w:ascii="仿宋_GB2312" w:eastAsia="仿宋_GB2312"/>
          <w:color w:val="auto"/>
          <w:sz w:val="28"/>
          <w:szCs w:val="28"/>
        </w:rPr>
        <w:t xml:space="preserve">                            </w:t>
      </w:r>
    </w:p>
    <w:tbl>
      <w:tblPr>
        <w:tblStyle w:val="5"/>
        <w:tblpPr w:leftFromText="180" w:rightFromText="180" w:vertAnchor="text" w:horzAnchor="page" w:tblpX="1420" w:tblpY="480"/>
        <w:tblOverlap w:val="never"/>
        <w:tblW w:w="1421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1"/>
        <w:gridCol w:w="9945"/>
        <w:gridCol w:w="990"/>
        <w:gridCol w:w="1020"/>
        <w:gridCol w:w="855"/>
        <w:gridCol w:w="6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711" w:type="dxa"/>
            <w:vMerge w:val="restart"/>
            <w:vAlign w:val="center"/>
          </w:tcPr>
          <w:p>
            <w:pPr>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序号</w:t>
            </w:r>
          </w:p>
        </w:tc>
        <w:tc>
          <w:tcPr>
            <w:tcW w:w="9945" w:type="dxa"/>
            <w:vMerge w:val="restart"/>
            <w:vAlign w:val="center"/>
          </w:tcPr>
          <w:p>
            <w:pPr>
              <w:jc w:val="center"/>
              <w:rPr>
                <w:rFonts w:hint="eastAsia" w:ascii="仿宋_GB2312" w:hAnsi="仿宋_GB2312" w:eastAsia="仿宋_GB2312" w:cs="仿宋_GB2312"/>
                <w:b/>
                <w:bCs w:val="0"/>
                <w:color w:val="auto"/>
                <w:sz w:val="21"/>
                <w:szCs w:val="21"/>
              </w:rPr>
            </w:pPr>
            <w:r>
              <w:rPr>
                <w:rFonts w:hint="eastAsia" w:ascii="仿宋_GB2312" w:hAnsi="仿宋_GB2312" w:eastAsia="仿宋_GB2312" w:cs="仿宋_GB2312"/>
                <w:b/>
                <w:bCs w:val="0"/>
                <w:color w:val="auto"/>
                <w:sz w:val="21"/>
                <w:szCs w:val="21"/>
              </w:rPr>
              <w:t>自查项目</w:t>
            </w:r>
          </w:p>
        </w:tc>
        <w:tc>
          <w:tcPr>
            <w:tcW w:w="2010" w:type="dxa"/>
            <w:gridSpan w:val="2"/>
            <w:vAlign w:val="center"/>
          </w:tcPr>
          <w:p>
            <w:pPr>
              <w:jc w:val="center"/>
              <w:rPr>
                <w:rFonts w:hint="eastAsia" w:ascii="仿宋_GB2312" w:hAnsi="仿宋_GB2312" w:eastAsia="仿宋_GB2312" w:cs="仿宋_GB2312"/>
                <w:b/>
                <w:bCs w:val="0"/>
                <w:color w:val="auto"/>
                <w:sz w:val="21"/>
                <w:szCs w:val="21"/>
              </w:rPr>
            </w:pPr>
            <w:r>
              <w:rPr>
                <w:rFonts w:hint="eastAsia" w:ascii="仿宋_GB2312" w:hAnsi="仿宋_GB2312" w:eastAsia="仿宋_GB2312" w:cs="仿宋_GB2312"/>
                <w:b/>
                <w:bCs w:val="0"/>
                <w:color w:val="auto"/>
                <w:sz w:val="21"/>
                <w:szCs w:val="21"/>
              </w:rPr>
              <w:t>自查结论</w:t>
            </w:r>
            <w:r>
              <w:rPr>
                <w:rFonts w:hint="eastAsia" w:ascii="仿宋_GB2312" w:hAnsi="仿宋_GB2312" w:eastAsia="仿宋_GB2312" w:cs="仿宋_GB2312"/>
                <w:b/>
                <w:bCs w:val="0"/>
                <w:color w:val="auto"/>
                <w:sz w:val="21"/>
                <w:szCs w:val="21"/>
                <w:lang w:eastAsia="zh-CN"/>
              </w:rPr>
              <w:t>（打“√”）</w:t>
            </w:r>
          </w:p>
        </w:tc>
        <w:tc>
          <w:tcPr>
            <w:tcW w:w="855" w:type="dxa"/>
            <w:vAlign w:val="center"/>
          </w:tcPr>
          <w:p>
            <w:pPr>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自查人</w:t>
            </w:r>
          </w:p>
        </w:tc>
        <w:tc>
          <w:tcPr>
            <w:tcW w:w="690" w:type="dxa"/>
            <w:vAlign w:val="center"/>
          </w:tcPr>
          <w:p>
            <w:pPr>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711" w:type="dxa"/>
            <w:vMerge w:val="continue"/>
            <w:vAlign w:val="center"/>
          </w:tcPr>
          <w:p>
            <w:pPr>
              <w:jc w:val="center"/>
              <w:rPr>
                <w:rFonts w:hint="eastAsia" w:ascii="仿宋_GB2312" w:hAnsi="仿宋_GB2312" w:eastAsia="仿宋_GB2312" w:cs="仿宋_GB2312"/>
                <w:b/>
                <w:sz w:val="21"/>
                <w:szCs w:val="21"/>
              </w:rPr>
            </w:pPr>
          </w:p>
        </w:tc>
        <w:tc>
          <w:tcPr>
            <w:tcW w:w="9945" w:type="dxa"/>
            <w:vMerge w:val="continue"/>
            <w:vAlign w:val="center"/>
          </w:tcPr>
          <w:p>
            <w:pPr>
              <w:jc w:val="center"/>
              <w:rPr>
                <w:rFonts w:hint="eastAsia" w:ascii="仿宋_GB2312" w:hAnsi="仿宋_GB2312" w:eastAsia="仿宋_GB2312" w:cs="仿宋_GB2312"/>
                <w:b/>
                <w:bCs w:val="0"/>
                <w:sz w:val="21"/>
                <w:szCs w:val="21"/>
              </w:rPr>
            </w:pPr>
          </w:p>
        </w:tc>
        <w:tc>
          <w:tcPr>
            <w:tcW w:w="990" w:type="dxa"/>
            <w:vAlign w:val="center"/>
          </w:tcPr>
          <w:p>
            <w:pPr>
              <w:ind w:firstLine="138" w:firstLineChars="49"/>
              <w:jc w:val="center"/>
              <w:rPr>
                <w:rFonts w:hint="eastAsia" w:ascii="仿宋_GB2312" w:hAnsi="仿宋_GB2312" w:eastAsia="仿宋_GB2312" w:cs="仿宋_GB2312"/>
                <w:b/>
                <w:bCs w:val="0"/>
                <w:sz w:val="21"/>
                <w:szCs w:val="21"/>
                <w:lang w:eastAsia="zh-CN"/>
              </w:rPr>
            </w:pPr>
            <w:r>
              <w:rPr>
                <w:rFonts w:hint="eastAsia" w:ascii="仿宋_GB2312" w:hAnsi="仿宋_GB2312" w:eastAsia="仿宋_GB2312" w:cs="仿宋_GB2312"/>
                <w:b/>
                <w:bCs w:val="0"/>
                <w:sz w:val="21"/>
                <w:szCs w:val="21"/>
                <w:lang w:eastAsia="zh-CN"/>
              </w:rPr>
              <w:t>符合</w:t>
            </w:r>
          </w:p>
        </w:tc>
        <w:tc>
          <w:tcPr>
            <w:tcW w:w="1020" w:type="dxa"/>
            <w:vAlign w:val="center"/>
          </w:tcPr>
          <w:p>
            <w:pPr>
              <w:jc w:val="center"/>
              <w:rPr>
                <w:rFonts w:hint="eastAsia" w:ascii="仿宋_GB2312" w:hAnsi="仿宋_GB2312" w:eastAsia="仿宋_GB2312" w:cs="仿宋_GB2312"/>
                <w:b/>
                <w:sz w:val="21"/>
                <w:szCs w:val="21"/>
                <w:lang w:eastAsia="zh-CN"/>
              </w:rPr>
            </w:pPr>
            <w:r>
              <w:rPr>
                <w:rFonts w:hint="eastAsia" w:ascii="仿宋_GB2312" w:hAnsi="仿宋_GB2312" w:eastAsia="仿宋_GB2312" w:cs="仿宋_GB2312"/>
                <w:b/>
                <w:sz w:val="21"/>
                <w:szCs w:val="21"/>
                <w:lang w:eastAsia="zh-CN"/>
              </w:rPr>
              <w:t>不符合</w:t>
            </w:r>
          </w:p>
        </w:tc>
        <w:tc>
          <w:tcPr>
            <w:tcW w:w="855" w:type="dxa"/>
            <w:vAlign w:val="center"/>
          </w:tcPr>
          <w:p>
            <w:pPr>
              <w:jc w:val="center"/>
              <w:rPr>
                <w:rFonts w:hint="eastAsia" w:ascii="仿宋_GB2312" w:hAnsi="仿宋_GB2312" w:eastAsia="仿宋_GB2312" w:cs="仿宋_GB2312"/>
                <w:b/>
                <w:sz w:val="21"/>
                <w:szCs w:val="21"/>
              </w:rPr>
            </w:pPr>
          </w:p>
        </w:tc>
        <w:tc>
          <w:tcPr>
            <w:tcW w:w="690" w:type="dxa"/>
            <w:vAlign w:val="center"/>
          </w:tcPr>
          <w:p>
            <w:pPr>
              <w:jc w:val="center"/>
              <w:rPr>
                <w:rFonts w:hint="eastAsia" w:ascii="仿宋_GB2312" w:hAnsi="仿宋_GB2312" w:eastAsia="仿宋_GB2312" w:cs="仿宋_GB2312"/>
                <w:b/>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0" w:hRule="atLeast"/>
        </w:trPr>
        <w:tc>
          <w:tcPr>
            <w:tcW w:w="711"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9945" w:type="dxa"/>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FF0000"/>
                <w:kern w:val="0"/>
                <w:sz w:val="21"/>
                <w:szCs w:val="21"/>
              </w:rPr>
            </w:pPr>
            <w:r>
              <w:rPr>
                <w:rFonts w:hint="eastAsia" w:ascii="仿宋_GB2312" w:hAnsi="仿宋_GB2312" w:eastAsia="仿宋_GB2312" w:cs="仿宋_GB2312"/>
                <w:kern w:val="0"/>
                <w:sz w:val="21"/>
                <w:szCs w:val="21"/>
              </w:rPr>
              <w:t>应当具有与经营范围和经营规模相适应的经营场所和办公条件；</w:t>
            </w:r>
          </w:p>
        </w:tc>
        <w:tc>
          <w:tcPr>
            <w:tcW w:w="99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lang w:eastAsia="zh-CN"/>
              </w:rPr>
            </w:pPr>
          </w:p>
        </w:tc>
        <w:tc>
          <w:tcPr>
            <w:tcW w:w="102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855"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69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75" w:hRule="atLeast"/>
        </w:trPr>
        <w:tc>
          <w:tcPr>
            <w:tcW w:w="711"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9945" w:type="dxa"/>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应当配备陈列货架和柜台，将相关证照悬挂在醒目位置，公布市场监管部门的监督电话，设置顾客意见簿；</w:t>
            </w:r>
          </w:p>
        </w:tc>
        <w:tc>
          <w:tcPr>
            <w:tcW w:w="99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02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855"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69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9" w:hRule="atLeast"/>
        </w:trPr>
        <w:tc>
          <w:tcPr>
            <w:tcW w:w="711"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9945" w:type="dxa"/>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企业法定代表人或负责人应当了解国家及地方有关医疗器械监督管理的法规、规章，对医疗器械经营质量负主要责任；</w:t>
            </w:r>
          </w:p>
        </w:tc>
        <w:tc>
          <w:tcPr>
            <w:tcW w:w="99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02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855"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69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4" w:hRule="atLeast"/>
        </w:trPr>
        <w:tc>
          <w:tcPr>
            <w:tcW w:w="711"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9945" w:type="dxa"/>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应当配备国家认可的中专以上相关专业、学历或者职称的质量负责人，应当有三年以上相关工作经历并保证在职在岗；</w:t>
            </w:r>
          </w:p>
        </w:tc>
        <w:tc>
          <w:tcPr>
            <w:tcW w:w="99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02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855"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69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84" w:hRule="atLeast"/>
        </w:trPr>
        <w:tc>
          <w:tcPr>
            <w:tcW w:w="711"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945" w:type="dxa"/>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应建立医疗器械产品档案、工作销售人员健康档案和培训档案，销售人员应当经过医疗器械法规和专业知识培训，具有一定工作能力，并能行使质量管理职能；</w:t>
            </w:r>
          </w:p>
        </w:tc>
        <w:tc>
          <w:tcPr>
            <w:tcW w:w="99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02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855"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69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84" w:hRule="atLeast"/>
        </w:trPr>
        <w:tc>
          <w:tcPr>
            <w:tcW w:w="711"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9945" w:type="dxa"/>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应当收集医疗器械相关法规、规章及文件；保留医疗器械进货验收、销售、不合格产品处理、顾客反馈等内容的记录，便于追溯；</w:t>
            </w:r>
          </w:p>
        </w:tc>
        <w:tc>
          <w:tcPr>
            <w:tcW w:w="99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02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855"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69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4" w:hRule="atLeast"/>
        </w:trPr>
        <w:tc>
          <w:tcPr>
            <w:tcW w:w="711"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9945" w:type="dxa"/>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应当建立《医疗器械经营质量管理规范》第八条所列的，与企业经营的医疗器械相适应的质量管理制度和记录文件，并保证有效执行；</w:t>
            </w:r>
          </w:p>
        </w:tc>
        <w:tc>
          <w:tcPr>
            <w:tcW w:w="99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02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855"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69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59" w:hRule="atLeast"/>
        </w:trPr>
        <w:tc>
          <w:tcPr>
            <w:tcW w:w="711"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9945" w:type="dxa"/>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应当设置符合所经营医疗器械产品储存要求的拆零库或暂存区，并有明显标识；营业场所应当设置医疗器械专区或专柜，不同类别产品应当分类、分区摆放，做到标识明显，易于辨析，防止混杂；</w:t>
            </w:r>
          </w:p>
        </w:tc>
        <w:tc>
          <w:tcPr>
            <w:tcW w:w="99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02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855"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69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0" w:hRule="atLeast"/>
        </w:trPr>
        <w:tc>
          <w:tcPr>
            <w:tcW w:w="711"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9945" w:type="dxa"/>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具有符合《医疗器械经营质量管理规范》第三十条要求的计算机信息管理系统，保证经营的产品可追溯；</w:t>
            </w:r>
          </w:p>
        </w:tc>
        <w:tc>
          <w:tcPr>
            <w:tcW w:w="99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02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855"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69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8" w:hRule="atLeast"/>
        </w:trPr>
        <w:tc>
          <w:tcPr>
            <w:tcW w:w="711" w:type="dxa"/>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9945" w:type="dxa"/>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经</w:t>
            </w:r>
            <w:r>
              <w:rPr>
                <w:rFonts w:hint="eastAsia" w:ascii="仿宋_GB2312" w:hAnsi="仿宋_GB2312" w:eastAsia="仿宋_GB2312" w:cs="仿宋_GB2312"/>
                <w:color w:val="auto"/>
                <w:kern w:val="0"/>
                <w:sz w:val="21"/>
                <w:szCs w:val="21"/>
              </w:rPr>
              <w:t>营验配类医疗器械产品企业还应当</w:t>
            </w:r>
            <w:r>
              <w:rPr>
                <w:rFonts w:hint="eastAsia" w:ascii="仿宋_GB2312" w:hAnsi="仿宋_GB2312" w:eastAsia="仿宋_GB2312" w:cs="仿宋_GB2312"/>
                <w:color w:val="auto"/>
                <w:kern w:val="0"/>
                <w:sz w:val="21"/>
                <w:szCs w:val="21"/>
                <w:lang w:eastAsia="zh-CN"/>
              </w:rPr>
              <w:t>公示验配程序、验配人员资质、卫生管理制度等，</w:t>
            </w:r>
            <w:r>
              <w:rPr>
                <w:rFonts w:hint="eastAsia" w:ascii="仿宋_GB2312" w:hAnsi="仿宋_GB2312" w:eastAsia="仿宋_GB2312" w:cs="仿宋_GB2312"/>
                <w:color w:val="auto"/>
                <w:kern w:val="0"/>
                <w:sz w:val="21"/>
                <w:szCs w:val="21"/>
              </w:rPr>
              <w:t>设置</w:t>
            </w:r>
            <w:r>
              <w:rPr>
                <w:rFonts w:hint="eastAsia" w:ascii="仿宋_GB2312" w:hAnsi="仿宋_GB2312" w:eastAsia="仿宋_GB2312" w:cs="仿宋_GB2312"/>
                <w:color w:val="auto"/>
                <w:kern w:val="0"/>
                <w:sz w:val="21"/>
                <w:szCs w:val="21"/>
                <w:lang w:eastAsia="zh-CN"/>
              </w:rPr>
              <w:t>独立</w:t>
            </w:r>
            <w:r>
              <w:rPr>
                <w:rFonts w:hint="eastAsia" w:ascii="仿宋_GB2312" w:hAnsi="仿宋_GB2312" w:eastAsia="仿宋_GB2312" w:cs="仿宋_GB2312"/>
                <w:color w:val="auto"/>
                <w:kern w:val="0"/>
                <w:sz w:val="21"/>
                <w:szCs w:val="21"/>
              </w:rPr>
              <w:t>验配间、验配设施、设备</w:t>
            </w:r>
            <w:r>
              <w:rPr>
                <w:rFonts w:hint="eastAsia" w:ascii="仿宋_GB2312" w:hAnsi="仿宋_GB2312" w:eastAsia="仿宋_GB2312" w:cs="仿宋_GB2312"/>
                <w:color w:val="auto"/>
                <w:kern w:val="0"/>
                <w:sz w:val="21"/>
                <w:szCs w:val="21"/>
                <w:lang w:eastAsia="zh-CN"/>
              </w:rPr>
              <w:t>以及洗手干手装置</w:t>
            </w:r>
            <w:r>
              <w:rPr>
                <w:rFonts w:hint="eastAsia" w:ascii="仿宋_GB2312" w:hAnsi="仿宋_GB2312" w:eastAsia="仿宋_GB2312" w:cs="仿宋_GB2312"/>
                <w:color w:val="auto"/>
                <w:kern w:val="0"/>
                <w:sz w:val="21"/>
                <w:szCs w:val="21"/>
              </w:rPr>
              <w:t>等，符合验配类企业管理要求。</w:t>
            </w:r>
          </w:p>
        </w:tc>
        <w:tc>
          <w:tcPr>
            <w:tcW w:w="99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02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855"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690" w:type="dxa"/>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r>
    </w:tbl>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pPr>
    </w:p>
    <w:p>
      <w:pPr>
        <w:rPr>
          <w:sz w:val="28"/>
          <w:szCs w:val="28"/>
        </w:rPr>
        <w:sectPr>
          <w:pgSz w:w="16838" w:h="11906" w:orient="landscape"/>
          <w:pgMar w:top="1803" w:right="1440" w:bottom="1803" w:left="1440" w:header="851" w:footer="992" w:gutter="0"/>
          <w:cols w:space="0" w:num="1"/>
          <w:rtlGutter w:val="0"/>
          <w:docGrid w:type="lines" w:linePitch="319" w:charSpace="0"/>
        </w:sectPr>
      </w:pPr>
      <w:r>
        <w:rPr>
          <w:sz w:val="28"/>
          <w:szCs w:val="28"/>
        </w:rPr>
        <w:br w:type="page"/>
      </w:r>
    </w:p>
    <w:p>
      <w:pPr>
        <w:rPr>
          <w:rFonts w:hint="eastAsia"/>
          <w:sz w:val="28"/>
          <w:szCs w:val="28"/>
          <w:lang w:val="en-US" w:eastAsia="zh-CN"/>
        </w:rPr>
      </w:pPr>
      <w:r>
        <w:rPr>
          <w:rFonts w:hint="eastAsia"/>
          <w:sz w:val="28"/>
          <w:szCs w:val="28"/>
          <w:lang w:eastAsia="zh-CN"/>
        </w:rPr>
        <w:t>附件</w:t>
      </w:r>
      <w:r>
        <w:rPr>
          <w:rFonts w:hint="eastAsia"/>
          <w:sz w:val="28"/>
          <w:szCs w:val="28"/>
          <w:lang w:val="en-US" w:eastAsia="zh-CN"/>
        </w:rPr>
        <w:t>1-5</w:t>
      </w:r>
    </w:p>
    <w:p>
      <w:pPr>
        <w:widowControl/>
        <w:spacing w:line="560" w:lineRule="exact"/>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44"/>
          <w:szCs w:val="44"/>
          <w:lang w:eastAsia="zh-CN"/>
        </w:rPr>
        <w:t>昆明市</w:t>
      </w:r>
      <w:r>
        <w:rPr>
          <w:rFonts w:hint="eastAsia" w:cs="宋体" w:asciiTheme="majorEastAsia" w:hAnsiTheme="majorEastAsia" w:eastAsiaTheme="majorEastAsia"/>
          <w:b/>
          <w:kern w:val="0"/>
          <w:sz w:val="44"/>
          <w:szCs w:val="44"/>
        </w:rPr>
        <w:t>零售连锁企业药品经营许可“告知承诺制”</w:t>
      </w:r>
      <w:r>
        <w:rPr>
          <w:rFonts w:hint="eastAsia" w:eastAsia="宋体" w:cs="宋体" w:asciiTheme="majorEastAsia" w:hAnsiTheme="majorEastAsia"/>
          <w:b/>
          <w:kern w:val="0"/>
          <w:sz w:val="44"/>
          <w:szCs w:val="44"/>
          <w:lang w:eastAsia="zh-CN"/>
        </w:rPr>
        <w:t>后续监督检查</w:t>
      </w:r>
      <w:r>
        <w:rPr>
          <w:rFonts w:hint="eastAsia" w:cs="宋体" w:asciiTheme="majorEastAsia" w:hAnsiTheme="majorEastAsia" w:eastAsiaTheme="majorEastAsia"/>
          <w:b/>
          <w:kern w:val="0"/>
          <w:sz w:val="44"/>
          <w:szCs w:val="44"/>
        </w:rPr>
        <w:t>表</w:t>
      </w:r>
      <w:r>
        <w:rPr>
          <w:rFonts w:hint="eastAsia" w:cs="宋体" w:asciiTheme="majorEastAsia" w:hAnsiTheme="majorEastAsia" w:eastAsiaTheme="majorEastAsia"/>
          <w:b/>
          <w:kern w:val="0"/>
          <w:sz w:val="32"/>
          <w:szCs w:val="32"/>
          <w:lang w:eastAsia="zh-CN"/>
        </w:rPr>
        <w:t>（试行）</w:t>
      </w:r>
    </w:p>
    <w:p>
      <w:pPr>
        <w:widowControl/>
        <w:spacing w:line="560" w:lineRule="exact"/>
        <w:jc w:val="center"/>
        <w:rPr>
          <w:rFonts w:hint="eastAsia" w:eastAsia="宋体" w:cs="宋体" w:asciiTheme="majorEastAsia" w:hAnsiTheme="majorEastAsia"/>
          <w:b w:val="0"/>
          <w:bCs/>
          <w:kern w:val="0"/>
          <w:sz w:val="32"/>
          <w:szCs w:val="32"/>
          <w:lang w:eastAsia="zh-CN"/>
        </w:rPr>
      </w:pPr>
      <w:r>
        <w:rPr>
          <w:rFonts w:hint="eastAsia" w:eastAsia="宋体" w:cs="宋体" w:asciiTheme="majorEastAsia" w:hAnsiTheme="majorEastAsia"/>
          <w:b w:val="0"/>
          <w:bCs/>
          <w:kern w:val="0"/>
          <w:sz w:val="32"/>
          <w:szCs w:val="32"/>
          <w:lang w:eastAsia="zh-CN"/>
        </w:rPr>
        <w:t>（适用于监管人员对零售连锁企业的后续检查）</w:t>
      </w:r>
    </w:p>
    <w:p>
      <w:pPr>
        <w:widowControl/>
        <w:spacing w:line="360" w:lineRule="auto"/>
        <w:rPr>
          <w:rFonts w:ascii="仿宋_GB2312" w:hAnsi="宋体" w:eastAsia="仿宋_GB2312" w:cs="宋体"/>
          <w:kern w:val="0"/>
          <w:sz w:val="24"/>
          <w:u w:val="single"/>
        </w:rPr>
      </w:pPr>
      <w:r>
        <w:rPr>
          <w:rFonts w:hint="eastAsia" w:ascii="仿宋_GB2312" w:hAnsi="宋体" w:eastAsia="仿宋_GB2312" w:cs="宋体"/>
          <w:kern w:val="0"/>
          <w:sz w:val="24"/>
        </w:rPr>
        <w:t xml:space="preserve">企业名称：                                           注册地址：                               </w:t>
      </w:r>
    </w:p>
    <w:p>
      <w:pPr>
        <w:widowControl/>
        <w:spacing w:line="360" w:lineRule="auto"/>
        <w:rPr>
          <w:rFonts w:ascii="仿宋_GB2312" w:hAnsi="宋体" w:eastAsia="仿宋_GB2312" w:cs="宋体"/>
          <w:kern w:val="0"/>
          <w:sz w:val="24"/>
        </w:rPr>
      </w:pPr>
      <w:r>
        <w:rPr>
          <w:rFonts w:hint="eastAsia" w:ascii="仿宋_GB2312" w:hAnsi="宋体" w:eastAsia="仿宋_GB2312" w:cs="宋体"/>
          <w:kern w:val="0"/>
          <w:sz w:val="24"/>
        </w:rPr>
        <w:t xml:space="preserve">申请事项（勾选）：□新办  □变更  □换发 </w:t>
      </w:r>
    </w:p>
    <w:tbl>
      <w:tblPr>
        <w:tblStyle w:val="5"/>
        <w:tblpPr w:leftFromText="180" w:rightFromText="180" w:vertAnchor="text" w:horzAnchor="page" w:tblpX="1266" w:tblpY="405"/>
        <w:tblOverlap w:val="never"/>
        <w:tblW w:w="142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20"/>
        <w:gridCol w:w="8125"/>
        <w:gridCol w:w="1065"/>
        <w:gridCol w:w="900"/>
        <w:gridCol w:w="1020"/>
        <w:gridCol w:w="795"/>
        <w:gridCol w:w="1020"/>
        <w:gridCol w:w="905"/>
        <w:gridCol w:w="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gridAfter w:val="1"/>
          <w:wAfter w:w="10" w:type="dxa"/>
          <w:trHeight w:val="1011" w:hRule="atLeast"/>
        </w:trPr>
        <w:tc>
          <w:tcPr>
            <w:tcW w:w="420" w:type="dxa"/>
            <w:vMerge w:val="restart"/>
            <w:tcBorders>
              <w:top w:val="single" w:color="000000" w:sz="4" w:space="0"/>
              <w:left w:val="single" w:color="000000" w:sz="4" w:space="0"/>
              <w:right w:val="single" w:color="000000" w:sz="4" w:space="0"/>
            </w:tcBorders>
            <w:shd w:val="clear" w:color="auto" w:fill="auto"/>
            <w:textDirection w:val="lrTb"/>
            <w:vAlign w:val="center"/>
          </w:tcPr>
          <w:p>
            <w:pPr>
              <w:spacing w:line="300" w:lineRule="exact"/>
              <w:jc w:val="center"/>
              <w:rPr>
                <w:rFonts w:hint="eastAsia" w:ascii="仿宋_GB2312" w:hAnsi="仿宋_GB2312" w:eastAsia="仿宋_GB2312" w:cs="仿宋_GB2312"/>
                <w:b/>
                <w:sz w:val="21"/>
                <w:szCs w:val="21"/>
                <w:lang w:val="en-US"/>
              </w:rPr>
            </w:pPr>
            <w:r>
              <w:rPr>
                <w:rFonts w:hint="eastAsia" w:ascii="仿宋_GB2312" w:hAnsi="仿宋_GB2312" w:eastAsia="仿宋_GB2312" w:cs="仿宋_GB2312"/>
                <w:b/>
                <w:bCs/>
                <w:kern w:val="0"/>
                <w:sz w:val="21"/>
                <w:szCs w:val="21"/>
              </w:rPr>
              <w:t>序号</w:t>
            </w:r>
          </w:p>
        </w:tc>
        <w:tc>
          <w:tcPr>
            <w:tcW w:w="8125" w:type="dxa"/>
            <w:vMerge w:val="restart"/>
            <w:tcBorders>
              <w:top w:val="single" w:color="000000" w:sz="4" w:space="0"/>
              <w:left w:val="nil"/>
              <w:right w:val="single" w:color="000000" w:sz="4" w:space="0"/>
            </w:tcBorders>
            <w:shd w:val="clear" w:color="auto" w:fill="auto"/>
            <w:textDirection w:val="lrTb"/>
            <w:vAlign w:val="center"/>
          </w:tcPr>
          <w:p>
            <w:pPr>
              <w:spacing w:line="300" w:lineRule="exact"/>
              <w:jc w:val="center"/>
              <w:rPr>
                <w:rFonts w:hint="eastAsia" w:ascii="仿宋_GB2312" w:hAnsi="仿宋_GB2312" w:eastAsia="仿宋_GB2312" w:cs="仿宋_GB2312"/>
                <w:b/>
                <w:sz w:val="21"/>
                <w:szCs w:val="21"/>
                <w:lang w:val="en-US"/>
              </w:rPr>
            </w:pPr>
            <w:r>
              <w:rPr>
                <w:rFonts w:hint="eastAsia" w:ascii="仿宋_GB2312" w:hAnsi="仿宋_GB2312" w:eastAsia="仿宋_GB2312" w:cs="仿宋_GB2312"/>
                <w:b/>
                <w:bCs/>
                <w:kern w:val="0"/>
                <w:sz w:val="21"/>
                <w:szCs w:val="21"/>
              </w:rPr>
              <w:t>自查项目</w:t>
            </w:r>
          </w:p>
        </w:tc>
        <w:tc>
          <w:tcPr>
            <w:tcW w:w="1065" w:type="dxa"/>
            <w:vMerge w:val="restart"/>
            <w:tcBorders>
              <w:top w:val="single" w:color="000000" w:sz="4" w:space="0"/>
              <w:left w:val="nil"/>
              <w:right w:val="single" w:color="000000" w:sz="4" w:space="0"/>
            </w:tcBorders>
            <w:shd w:val="clear" w:color="auto" w:fill="auto"/>
            <w:textDirection w:val="lrTb"/>
            <w:vAlign w:val="center"/>
          </w:tcPr>
          <w:p>
            <w:pPr>
              <w:spacing w:line="300" w:lineRule="exact"/>
              <w:ind w:firstLine="118" w:firstLineChars="49"/>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标准</w:t>
            </w:r>
          </w:p>
          <w:p>
            <w:pPr>
              <w:spacing w:line="300" w:lineRule="exact"/>
              <w:ind w:firstLine="118" w:firstLineChars="49"/>
              <w:jc w:val="center"/>
              <w:rPr>
                <w:rFonts w:hint="eastAsia" w:ascii="仿宋_GB2312" w:hAnsi="仿宋_GB2312" w:eastAsia="仿宋_GB2312" w:cs="仿宋_GB2312"/>
                <w:b/>
                <w:sz w:val="21"/>
                <w:szCs w:val="21"/>
                <w:lang w:val="en-US"/>
              </w:rPr>
            </w:pPr>
            <w:r>
              <w:rPr>
                <w:rFonts w:hint="eastAsia" w:ascii="仿宋_GB2312" w:hAnsi="仿宋_GB2312" w:eastAsia="仿宋_GB2312" w:cs="仿宋_GB2312"/>
                <w:b/>
                <w:bCs/>
                <w:kern w:val="0"/>
                <w:sz w:val="21"/>
                <w:szCs w:val="21"/>
              </w:rPr>
              <w:t>要求</w:t>
            </w:r>
          </w:p>
        </w:tc>
        <w:tc>
          <w:tcPr>
            <w:tcW w:w="1920" w:type="dxa"/>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kern w:val="0"/>
                <w:sz w:val="21"/>
                <w:szCs w:val="21"/>
                <w:lang w:val="en-US" w:eastAsia="zh-CN" w:bidi="ar"/>
              </w:rPr>
            </w:pPr>
            <w:r>
              <w:rPr>
                <w:rFonts w:hint="eastAsia" w:ascii="仿宋_GB2312" w:hAnsi="仿宋_GB2312" w:eastAsia="仿宋_GB2312" w:cs="仿宋_GB2312"/>
                <w:b/>
                <w:bCs w:val="0"/>
                <w:color w:val="auto"/>
                <w:sz w:val="21"/>
                <w:szCs w:val="21"/>
                <w:lang w:eastAsia="zh-CN"/>
              </w:rPr>
              <w:t>经营实际情况与承诺内容是否相符（打“√”）</w:t>
            </w:r>
          </w:p>
        </w:tc>
        <w:tc>
          <w:tcPr>
            <w:tcW w:w="181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b/>
                <w:kern w:val="0"/>
                <w:sz w:val="21"/>
                <w:szCs w:val="21"/>
                <w:lang w:val="en-US" w:eastAsia="zh-CN" w:bidi="ar"/>
              </w:rPr>
            </w:pPr>
            <w:r>
              <w:rPr>
                <w:rFonts w:hint="eastAsia" w:ascii="仿宋_GB2312" w:hAnsi="仿宋_GB2312" w:eastAsia="仿宋_GB2312" w:cs="仿宋_GB2312"/>
                <w:b/>
                <w:bCs w:val="0"/>
                <w:color w:val="auto"/>
                <w:sz w:val="21"/>
                <w:szCs w:val="21"/>
                <w:lang w:eastAsia="zh-CN"/>
              </w:rPr>
              <w:t>经营条件是否符合要求（打“√”）</w:t>
            </w:r>
          </w:p>
        </w:tc>
        <w:tc>
          <w:tcPr>
            <w:tcW w:w="9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b/>
                <w:sz w:val="21"/>
                <w:szCs w:val="21"/>
                <w:lang w:val="en-US"/>
              </w:rPr>
            </w:pPr>
            <w:r>
              <w:rPr>
                <w:rFonts w:hint="eastAsia" w:ascii="仿宋_GB2312" w:hAnsi="仿宋_GB2312" w:eastAsia="仿宋_GB2312" w:cs="仿宋_GB2312"/>
                <w:b/>
                <w:kern w:val="0"/>
                <w:sz w:val="21"/>
                <w:szCs w:val="21"/>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0" w:type="dxa"/>
          <w:trHeight w:val="408" w:hRule="atLeast"/>
        </w:trPr>
        <w:tc>
          <w:tcPr>
            <w:tcW w:w="420" w:type="dxa"/>
            <w:vMerge w:val="continue"/>
            <w:tcBorders>
              <w:left w:val="single" w:color="000000" w:sz="4" w:space="0"/>
              <w:bottom w:val="single" w:color="000000" w:sz="4" w:space="0"/>
              <w:right w:val="single" w:color="000000" w:sz="4" w:space="0"/>
            </w:tcBorders>
            <w:shd w:val="clear" w:color="auto" w:fill="auto"/>
            <w:textDirection w:val="lrTb"/>
            <w:vAlign w:val="center"/>
          </w:tcPr>
          <w:p>
            <w:pPr>
              <w:spacing w:line="300" w:lineRule="exact"/>
              <w:jc w:val="center"/>
              <w:rPr>
                <w:rFonts w:hint="eastAsia" w:ascii="仿宋_GB2312" w:hAnsi="仿宋_GB2312" w:eastAsia="仿宋_GB2312" w:cs="仿宋_GB2312"/>
                <w:b/>
                <w:bCs/>
                <w:kern w:val="0"/>
                <w:sz w:val="21"/>
                <w:szCs w:val="21"/>
              </w:rPr>
            </w:pPr>
          </w:p>
        </w:tc>
        <w:tc>
          <w:tcPr>
            <w:tcW w:w="8125" w:type="dxa"/>
            <w:vMerge w:val="continue"/>
            <w:tcBorders>
              <w:left w:val="nil"/>
              <w:bottom w:val="single" w:color="000000" w:sz="4" w:space="0"/>
              <w:right w:val="single" w:color="000000" w:sz="4" w:space="0"/>
            </w:tcBorders>
            <w:shd w:val="clear" w:color="auto" w:fill="auto"/>
            <w:textDirection w:val="lrTb"/>
            <w:vAlign w:val="center"/>
          </w:tcPr>
          <w:p>
            <w:pPr>
              <w:spacing w:line="300" w:lineRule="exact"/>
              <w:jc w:val="center"/>
              <w:rPr>
                <w:rFonts w:hint="eastAsia" w:ascii="仿宋_GB2312" w:hAnsi="仿宋_GB2312" w:eastAsia="仿宋_GB2312" w:cs="仿宋_GB2312"/>
                <w:b/>
                <w:bCs/>
                <w:kern w:val="0"/>
                <w:sz w:val="21"/>
                <w:szCs w:val="21"/>
              </w:rPr>
            </w:pPr>
          </w:p>
        </w:tc>
        <w:tc>
          <w:tcPr>
            <w:tcW w:w="1065" w:type="dxa"/>
            <w:vMerge w:val="continue"/>
            <w:tcBorders>
              <w:left w:val="nil"/>
              <w:bottom w:val="single" w:color="000000" w:sz="4" w:space="0"/>
              <w:right w:val="single" w:color="000000" w:sz="4" w:space="0"/>
            </w:tcBorders>
            <w:shd w:val="clear" w:color="auto" w:fill="auto"/>
            <w:textDirection w:val="lrTb"/>
            <w:vAlign w:val="top"/>
          </w:tcPr>
          <w:p>
            <w:pPr>
              <w:spacing w:line="300" w:lineRule="exact"/>
              <w:ind w:firstLine="118" w:firstLineChars="49"/>
              <w:jc w:val="center"/>
              <w:rPr>
                <w:rFonts w:hint="eastAsia" w:ascii="仿宋_GB2312" w:hAnsi="仿宋_GB2312" w:eastAsia="仿宋_GB2312" w:cs="仿宋_GB2312"/>
                <w:b/>
                <w:bCs/>
                <w:kern w:val="0"/>
                <w:sz w:val="21"/>
                <w:szCs w:val="21"/>
              </w:rPr>
            </w:pPr>
          </w:p>
        </w:tc>
        <w:tc>
          <w:tcPr>
            <w:tcW w:w="900" w:type="dxa"/>
            <w:tcBorders>
              <w:top w:val="single" w:color="000000" w:sz="4" w:space="0"/>
              <w:left w:val="nil"/>
              <w:bottom w:val="single" w:color="000000" w:sz="4" w:space="0"/>
              <w:right w:val="single" w:color="000000" w:sz="4" w:space="0"/>
            </w:tcBorders>
            <w:shd w:val="clear" w:color="auto" w:fill="auto"/>
            <w:textDirection w:val="lrTb"/>
            <w:vAlign w:val="center"/>
          </w:tcPr>
          <w:p>
            <w:pPr>
              <w:jc w:val="center"/>
              <w:rPr>
                <w:rFonts w:hint="eastAsia" w:ascii="仿宋_GB2312" w:hAnsi="仿宋_GB2312" w:eastAsia="仿宋_GB2312" w:cs="仿宋_GB2312"/>
                <w:b/>
                <w:kern w:val="0"/>
                <w:sz w:val="21"/>
                <w:szCs w:val="21"/>
                <w:lang w:val="en-US" w:eastAsia="zh-CN" w:bidi="ar"/>
              </w:rPr>
            </w:pPr>
            <w:r>
              <w:rPr>
                <w:rFonts w:hint="eastAsia" w:ascii="仿宋_GB2312" w:hAnsi="仿宋_GB2312" w:eastAsia="仿宋_GB2312" w:cs="仿宋_GB2312"/>
                <w:b/>
                <w:bCs w:val="0"/>
                <w:sz w:val="21"/>
                <w:szCs w:val="21"/>
                <w:lang w:eastAsia="zh-CN"/>
              </w:rPr>
              <w:t>符合</w:t>
            </w:r>
          </w:p>
        </w:tc>
        <w:tc>
          <w:tcPr>
            <w:tcW w:w="1020" w:type="dxa"/>
            <w:tcBorders>
              <w:top w:val="single" w:color="000000" w:sz="4" w:space="0"/>
              <w:left w:val="nil"/>
              <w:bottom w:val="single" w:color="000000" w:sz="4" w:space="0"/>
              <w:right w:val="single" w:color="000000" w:sz="4" w:space="0"/>
            </w:tcBorders>
            <w:shd w:val="clear" w:color="auto" w:fill="auto"/>
            <w:textDirection w:val="lrTb"/>
            <w:vAlign w:val="center"/>
          </w:tcPr>
          <w:p>
            <w:pPr>
              <w:jc w:val="center"/>
              <w:rPr>
                <w:rFonts w:hint="eastAsia" w:ascii="仿宋_GB2312" w:hAnsi="仿宋_GB2312" w:eastAsia="仿宋_GB2312" w:cs="仿宋_GB2312"/>
                <w:b/>
                <w:kern w:val="0"/>
                <w:sz w:val="21"/>
                <w:szCs w:val="21"/>
                <w:lang w:val="en-US" w:eastAsia="zh-CN" w:bidi="ar"/>
              </w:rPr>
            </w:pPr>
            <w:r>
              <w:rPr>
                <w:rFonts w:hint="eastAsia" w:ascii="仿宋_GB2312" w:hAnsi="仿宋_GB2312" w:eastAsia="仿宋_GB2312" w:cs="仿宋_GB2312"/>
                <w:b/>
                <w:sz w:val="21"/>
                <w:szCs w:val="21"/>
                <w:lang w:eastAsia="zh-CN"/>
              </w:rPr>
              <w:t>不符合</w:t>
            </w:r>
          </w:p>
        </w:tc>
        <w:tc>
          <w:tcPr>
            <w:tcW w:w="795" w:type="dxa"/>
            <w:tcBorders>
              <w:top w:val="single" w:color="000000" w:sz="4" w:space="0"/>
              <w:left w:val="nil"/>
              <w:bottom w:val="single" w:color="000000" w:sz="4" w:space="0"/>
              <w:right w:val="single" w:color="000000" w:sz="4"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仿宋_GB2312" w:hAnsi="仿宋_GB2312" w:eastAsia="仿宋_GB2312" w:cs="仿宋_GB2312"/>
                <w:b/>
                <w:kern w:val="0"/>
                <w:sz w:val="21"/>
                <w:szCs w:val="21"/>
                <w:lang w:val="en-US" w:eastAsia="zh-CN" w:bidi="ar"/>
              </w:rPr>
            </w:pPr>
            <w:r>
              <w:rPr>
                <w:rFonts w:hint="eastAsia" w:ascii="仿宋_GB2312" w:hAnsi="仿宋_GB2312" w:eastAsia="仿宋_GB2312" w:cs="仿宋_GB2312"/>
                <w:b/>
                <w:sz w:val="21"/>
                <w:szCs w:val="21"/>
                <w:lang w:eastAsia="zh-CN"/>
              </w:rPr>
              <w:t>符合</w:t>
            </w:r>
          </w:p>
        </w:tc>
        <w:tc>
          <w:tcPr>
            <w:tcW w:w="1020" w:type="dxa"/>
            <w:tcBorders>
              <w:top w:val="single" w:color="000000" w:sz="4" w:space="0"/>
              <w:left w:val="nil"/>
              <w:bottom w:val="single" w:color="000000" w:sz="4" w:space="0"/>
              <w:right w:val="single" w:color="000000" w:sz="4" w:space="0"/>
            </w:tcBorders>
            <w:shd w:val="clear" w:color="auto" w:fill="auto"/>
            <w:textDirection w:val="lrTb"/>
            <w:vAlign w:val="center"/>
          </w:tcPr>
          <w:p>
            <w:pPr>
              <w:keepNext w:val="0"/>
              <w:keepLines w:val="0"/>
              <w:widowControl w:val="0"/>
              <w:suppressLineNumbers w:val="0"/>
              <w:spacing w:before="0" w:beforeAutospacing="0" w:after="0" w:afterAutospacing="0" w:line="300" w:lineRule="exact"/>
              <w:ind w:left="0" w:leftChars="0" w:right="0" w:rightChars="0"/>
              <w:jc w:val="center"/>
              <w:rPr>
                <w:rFonts w:hint="eastAsia" w:ascii="仿宋_GB2312" w:hAnsi="仿宋_GB2312" w:eastAsia="仿宋_GB2312" w:cs="仿宋_GB2312"/>
                <w:b/>
                <w:kern w:val="0"/>
                <w:sz w:val="21"/>
                <w:szCs w:val="21"/>
                <w:lang w:val="en-US" w:eastAsia="zh-CN" w:bidi="ar"/>
              </w:rPr>
            </w:pPr>
            <w:r>
              <w:rPr>
                <w:rFonts w:hint="eastAsia" w:ascii="仿宋_GB2312" w:hAnsi="仿宋_GB2312" w:eastAsia="仿宋_GB2312" w:cs="仿宋_GB2312"/>
                <w:b/>
                <w:sz w:val="21"/>
                <w:szCs w:val="21"/>
                <w:lang w:eastAsia="zh-CN"/>
              </w:rPr>
              <w:t>不符合</w:t>
            </w:r>
          </w:p>
        </w:tc>
        <w:tc>
          <w:tcPr>
            <w:tcW w:w="90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center"/>
              <w:rPr>
                <w:rFonts w:hint="eastAsia" w:ascii="仿宋_GB2312" w:hAnsi="仿宋_GB2312" w:eastAsia="仿宋_GB2312" w:cs="仿宋_GB2312"/>
                <w:b/>
                <w:kern w:val="0"/>
                <w:sz w:val="21"/>
                <w:szCs w:val="21"/>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0" w:type="dxa"/>
          <w:trHeight w:val="977" w:hRule="atLeast"/>
        </w:trPr>
        <w:tc>
          <w:tcPr>
            <w:tcW w:w="420" w:type="dxa"/>
            <w:vMerge w:val="restart"/>
            <w:tcBorders>
              <w:top w:val="nil"/>
              <w:left w:val="single" w:color="000000" w:sz="4" w:space="0"/>
              <w:bottom w:val="single" w:color="000000" w:sz="4" w:space="0"/>
              <w:right w:val="single" w:color="000000" w:sz="4" w:space="0"/>
            </w:tcBorders>
            <w:shd w:val="clear" w:color="auto" w:fill="auto"/>
            <w:textDirection w:val="lrTb"/>
            <w:vAlign w:val="center"/>
          </w:tcPr>
          <w:p>
            <w:pPr>
              <w:spacing w:line="300" w:lineRule="exact"/>
              <w:jc w:val="center"/>
              <w:rPr>
                <w:rFonts w:ascii="仿宋_GB2312" w:hAnsi="仿宋_GB2312"/>
                <w:b/>
                <w:bCs/>
                <w:kern w:val="0"/>
                <w:sz w:val="21"/>
                <w:szCs w:val="21"/>
              </w:rPr>
            </w:pPr>
            <w:r>
              <w:rPr>
                <w:rFonts w:ascii="仿宋_GB2312" w:hAnsi="仿宋_GB2312"/>
                <w:b/>
                <w:bCs/>
                <w:kern w:val="0"/>
                <w:sz w:val="21"/>
                <w:szCs w:val="21"/>
              </w:rPr>
              <w:t>总</w:t>
            </w:r>
          </w:p>
          <w:p>
            <w:pPr>
              <w:spacing w:line="300" w:lineRule="exact"/>
              <w:jc w:val="center"/>
              <w:rPr>
                <w:rFonts w:ascii="仿宋_GB2312" w:hAnsi="仿宋_GB2312"/>
                <w:b/>
                <w:bCs/>
                <w:kern w:val="0"/>
                <w:sz w:val="21"/>
                <w:szCs w:val="21"/>
              </w:rPr>
            </w:pPr>
          </w:p>
          <w:p>
            <w:pPr>
              <w:spacing w:line="300" w:lineRule="exact"/>
              <w:jc w:val="center"/>
              <w:rPr>
                <w:rFonts w:ascii="仿宋_GB2312" w:hAnsi="仿宋_GB2312"/>
                <w:b/>
                <w:bCs/>
                <w:kern w:val="0"/>
                <w:sz w:val="21"/>
                <w:szCs w:val="21"/>
              </w:rPr>
            </w:pPr>
          </w:p>
          <w:p>
            <w:pPr>
              <w:spacing w:line="300" w:lineRule="exact"/>
              <w:jc w:val="center"/>
              <w:rPr>
                <w:rFonts w:hint="eastAsia" w:ascii="仿宋_GB2312" w:hAnsi="仿宋_GB2312" w:eastAsia="仿宋_GB2312" w:cs="仿宋_GB2312"/>
                <w:sz w:val="21"/>
                <w:szCs w:val="21"/>
                <w:lang w:val="en-US"/>
              </w:rPr>
            </w:pPr>
            <w:r>
              <w:rPr>
                <w:rFonts w:ascii="仿宋_GB2312" w:hAnsi="仿宋_GB2312"/>
                <w:b/>
                <w:bCs/>
                <w:kern w:val="0"/>
                <w:sz w:val="21"/>
                <w:szCs w:val="21"/>
              </w:rPr>
              <w:t>则</w:t>
            </w:r>
          </w:p>
        </w:tc>
        <w:tc>
          <w:tcPr>
            <w:tcW w:w="8125" w:type="dxa"/>
            <w:tcBorders>
              <w:top w:val="single" w:color="000000" w:sz="4" w:space="0"/>
              <w:left w:val="nil"/>
              <w:bottom w:val="single" w:color="000000" w:sz="4" w:space="0"/>
              <w:right w:val="single" w:color="000000" w:sz="4" w:space="0"/>
            </w:tcBorders>
            <w:shd w:val="clear" w:color="auto" w:fill="auto"/>
            <w:textDirection w:val="lrTb"/>
            <w:vAlign w:val="top"/>
          </w:tcPr>
          <w:p>
            <w:pPr>
              <w:snapToGrid w:val="0"/>
              <w:spacing w:line="300" w:lineRule="exact"/>
              <w:rPr>
                <w:rFonts w:hint="eastAsia" w:ascii="仿宋_GB2312" w:hAnsi="仿宋_GB2312" w:eastAsia="仿宋_GB2312" w:cs="仿宋_GB2312"/>
                <w:color w:val="FF0000"/>
                <w:kern w:val="0"/>
                <w:sz w:val="21"/>
                <w:szCs w:val="21"/>
                <w:lang w:val="en-US"/>
              </w:rPr>
            </w:pPr>
            <w:r>
              <w:rPr>
                <w:rFonts w:hint="eastAsia" w:ascii="仿宋_GB2312" w:hAnsi="仿宋_GB2312" w:eastAsia="仿宋_GB2312" w:cs="仿宋_GB2312"/>
                <w:kern w:val="0"/>
                <w:sz w:val="21"/>
                <w:szCs w:val="21"/>
              </w:rPr>
              <w:t>一、零售连锁企业应由公司总部、配送中心（仓库）和若干个门店组成，在总部统一领导管理下，采取统一企业标识、统一企业管理、统一质量控制、统一人员管理、统一财务管理、统一采购配送、统一网络管理、统一服务承诺。</w:t>
            </w:r>
          </w:p>
        </w:tc>
        <w:tc>
          <w:tcPr>
            <w:tcW w:w="1065" w:type="dxa"/>
            <w:tcBorders>
              <w:top w:val="single" w:color="000000" w:sz="4" w:space="0"/>
              <w:left w:val="nil"/>
              <w:bottom w:val="single" w:color="000000" w:sz="4" w:space="0"/>
              <w:right w:val="single" w:color="000000" w:sz="4" w:space="0"/>
            </w:tcBorders>
            <w:shd w:val="clear" w:color="auto" w:fill="auto"/>
            <w:textDirection w:val="lrTb"/>
            <w:vAlign w:val="center"/>
          </w:tcPr>
          <w:p>
            <w:pPr>
              <w:spacing w:line="300" w:lineRule="exact"/>
              <w:jc w:val="center"/>
              <w:rPr>
                <w:rFonts w:hint="eastAsia" w:ascii="仿宋_GB2312" w:hAnsi="仿宋_GB2312" w:eastAsia="仿宋_GB2312" w:cs="仿宋_GB2312"/>
                <w:kern w:val="0"/>
                <w:sz w:val="21"/>
                <w:szCs w:val="21"/>
                <w:lang w:val="en-US"/>
              </w:rPr>
            </w:pPr>
            <w:r>
              <w:rPr>
                <w:rFonts w:hint="eastAsia" w:ascii="仿宋_GB2312" w:hAnsi="仿宋_GB2312" w:eastAsia="仿宋_GB2312" w:cs="仿宋_GB2312"/>
                <w:kern w:val="0"/>
                <w:sz w:val="21"/>
                <w:szCs w:val="21"/>
              </w:rPr>
              <w:t>应符合标准要求</w:t>
            </w:r>
          </w:p>
        </w:tc>
        <w:tc>
          <w:tcPr>
            <w:tcW w:w="900"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79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90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0" w:type="dxa"/>
          <w:trHeight w:val="337" w:hRule="atLeast"/>
        </w:trPr>
        <w:tc>
          <w:tcPr>
            <w:tcW w:w="420" w:type="dxa"/>
            <w:vMerge w:val="continue"/>
            <w:tcBorders>
              <w:top w:val="nil"/>
              <w:left w:val="single" w:color="000000" w:sz="4" w:space="0"/>
              <w:bottom w:val="single" w:color="000000" w:sz="4" w:space="0"/>
              <w:right w:val="single" w:color="000000" w:sz="4" w:space="0"/>
            </w:tcBorders>
            <w:shd w:val="clear" w:color="auto" w:fill="auto"/>
            <w:textDirection w:val="lrTb"/>
            <w:vAlign w:val="center"/>
          </w:tcPr>
          <w:p>
            <w:pPr>
              <w:widowControl/>
              <w:jc w:val="left"/>
              <w:rPr>
                <w:rFonts w:hint="eastAsia" w:ascii="仿宋_GB2312" w:hAnsi="仿宋_GB2312" w:eastAsia="仿宋_GB2312" w:cs="仿宋_GB2312"/>
                <w:sz w:val="21"/>
                <w:szCs w:val="21"/>
              </w:rPr>
            </w:pPr>
          </w:p>
        </w:tc>
        <w:tc>
          <w:tcPr>
            <w:tcW w:w="8125" w:type="dxa"/>
            <w:tcBorders>
              <w:top w:val="single" w:color="000000" w:sz="4" w:space="0"/>
              <w:left w:val="nil"/>
              <w:bottom w:val="single" w:color="000000" w:sz="4" w:space="0"/>
              <w:right w:val="single" w:color="000000" w:sz="4" w:space="0"/>
            </w:tcBorders>
            <w:shd w:val="clear" w:color="auto" w:fill="auto"/>
            <w:textDirection w:val="lrTb"/>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b w:val="0"/>
                <w:i w:val="0"/>
                <w:caps w:val="0"/>
                <w:color w:val="333333"/>
                <w:spacing w:val="0"/>
                <w:sz w:val="21"/>
                <w:szCs w:val="21"/>
              </w:rPr>
            </w:pPr>
            <w:r>
              <w:rPr>
                <w:rFonts w:hint="eastAsia" w:ascii="仿宋_GB2312" w:hAnsi="仿宋_GB2312" w:eastAsia="仿宋_GB2312" w:cs="仿宋_GB2312"/>
                <w:kern w:val="0"/>
                <w:sz w:val="21"/>
                <w:szCs w:val="21"/>
              </w:rPr>
              <w:t>二、</w:t>
            </w:r>
            <w:r>
              <w:rPr>
                <w:rFonts w:hint="eastAsia" w:ascii="仿宋_GB2312" w:hAnsi="仿宋_GB2312" w:eastAsia="仿宋_GB2312" w:cs="仿宋_GB2312"/>
                <w:b w:val="0"/>
                <w:i w:val="0"/>
                <w:caps w:val="0"/>
                <w:color w:val="333333"/>
                <w:spacing w:val="0"/>
                <w:sz w:val="21"/>
                <w:szCs w:val="21"/>
                <w:shd w:val="clear" w:fill="FFFFFF"/>
              </w:rPr>
              <w:t>从事药品零售的，应先核定经营类别，确定申办人经营处方药或非处方药、乙类非处方药的资格，并在经营范围中予以明确，再核定具体经营范围。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21"/>
                <w:szCs w:val="21"/>
              </w:rPr>
            </w:pPr>
            <w:r>
              <w:rPr>
                <w:rFonts w:hint="eastAsia" w:ascii="仿宋_GB2312" w:hAnsi="仿宋_GB2312" w:eastAsia="仿宋_GB2312" w:cs="仿宋_GB2312"/>
                <w:b w:val="0"/>
                <w:i w:val="0"/>
                <w:caps w:val="0"/>
                <w:color w:val="333333"/>
                <w:spacing w:val="0"/>
                <w:sz w:val="21"/>
                <w:szCs w:val="21"/>
                <w:shd w:val="clear" w:fill="FFFFFF"/>
              </w:rPr>
              <w:t>医疗用毒性药品、麻醉药品、精神药品、放射性药品和预防性生物制品的核定按照国家特殊药品管理和预防性生物制品管理的有关规定执行。</w:t>
            </w:r>
          </w:p>
          <w:p>
            <w:pPr>
              <w:snapToGrid w:val="0"/>
              <w:spacing w:line="300" w:lineRule="exact"/>
              <w:ind w:firstLine="480" w:firstLineChars="200"/>
              <w:rPr>
                <w:rFonts w:hint="eastAsia" w:ascii="仿宋_GB2312" w:hAnsi="仿宋_GB2312" w:eastAsia="仿宋_GB2312" w:cs="仿宋_GB2312"/>
                <w:kern w:val="0"/>
                <w:sz w:val="21"/>
                <w:szCs w:val="21"/>
                <w:lang w:val="en-US"/>
              </w:rPr>
            </w:pPr>
            <w:r>
              <w:rPr>
                <w:rFonts w:hint="eastAsia" w:ascii="仿宋_GB2312" w:hAnsi="仿宋_GB2312" w:eastAsia="仿宋_GB2312" w:cs="仿宋_GB2312"/>
                <w:kern w:val="0"/>
                <w:sz w:val="21"/>
                <w:szCs w:val="21"/>
              </w:rPr>
              <w:t>零售连锁企业和门店经营范围为：中药饮片、中药饮片</w:t>
            </w:r>
            <w:r>
              <w:rPr>
                <w:rFonts w:hint="eastAsia" w:ascii="仿宋_GB2312" w:hAnsi="仿宋_GB2312" w:eastAsia="仿宋_GB2312" w:cs="仿宋_GB2312"/>
                <w:kern w:val="0"/>
                <w:sz w:val="21"/>
                <w:szCs w:val="21"/>
                <w:lang w:val="en-US" w:eastAsia="zh-CN"/>
              </w:rPr>
              <w:t>〔预包（定）装〕</w:t>
            </w:r>
            <w:r>
              <w:rPr>
                <w:rFonts w:hint="eastAsia" w:ascii="仿宋_GB2312" w:hAnsi="仿宋_GB2312" w:eastAsia="仿宋_GB2312" w:cs="仿宋_GB2312"/>
                <w:kern w:val="0"/>
                <w:sz w:val="21"/>
                <w:szCs w:val="21"/>
              </w:rPr>
              <w:t>、中成药、化学药制剂、抗生素、生化药品、生物制品（不含疫苗）、肽类激素（仅限于胰岛素）。其他特殊管理的药品，应按照国家有关管理规定核定。门店的经营范围不得超过总部的经营范围。</w:t>
            </w:r>
          </w:p>
        </w:tc>
        <w:tc>
          <w:tcPr>
            <w:tcW w:w="1065" w:type="dxa"/>
            <w:tcBorders>
              <w:top w:val="single" w:color="000000" w:sz="4" w:space="0"/>
              <w:left w:val="nil"/>
              <w:bottom w:val="single" w:color="000000" w:sz="4" w:space="0"/>
              <w:right w:val="single" w:color="000000" w:sz="4" w:space="0"/>
            </w:tcBorders>
            <w:shd w:val="clear" w:color="auto" w:fill="auto"/>
            <w:textDirection w:val="lrTb"/>
            <w:vAlign w:val="center"/>
          </w:tcPr>
          <w:p>
            <w:pPr>
              <w:spacing w:line="300" w:lineRule="exact"/>
              <w:jc w:val="center"/>
              <w:rPr>
                <w:rFonts w:hint="eastAsia" w:ascii="仿宋_GB2312" w:hAnsi="仿宋_GB2312" w:eastAsia="仿宋_GB2312" w:cs="仿宋_GB2312"/>
                <w:kern w:val="0"/>
                <w:sz w:val="21"/>
                <w:szCs w:val="21"/>
                <w:lang w:val="en-US"/>
              </w:rPr>
            </w:pPr>
            <w:r>
              <w:rPr>
                <w:rFonts w:hint="eastAsia" w:ascii="仿宋_GB2312" w:hAnsi="仿宋_GB2312" w:eastAsia="仿宋_GB2312" w:cs="仿宋_GB2312"/>
                <w:kern w:val="0"/>
                <w:sz w:val="21"/>
                <w:szCs w:val="21"/>
              </w:rPr>
              <w:t>应符合标准要求</w:t>
            </w:r>
          </w:p>
        </w:tc>
        <w:tc>
          <w:tcPr>
            <w:tcW w:w="900"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79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90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81" w:hRule="atLeast"/>
        </w:trPr>
        <w:tc>
          <w:tcPr>
            <w:tcW w:w="420" w:type="dxa"/>
            <w:vMerge w:val="restart"/>
            <w:tcBorders>
              <w:top w:val="nil"/>
              <w:left w:val="single" w:color="000000" w:sz="4" w:space="0"/>
              <w:bottom w:val="single" w:color="000000" w:sz="4" w:space="0"/>
              <w:right w:val="single" w:color="000000" w:sz="4" w:space="0"/>
            </w:tcBorders>
            <w:shd w:val="clear" w:color="auto" w:fill="auto"/>
            <w:textDirection w:val="lrTb"/>
            <w:vAlign w:val="center"/>
          </w:tcPr>
          <w:p>
            <w:pPr>
              <w:spacing w:line="300" w:lineRule="exact"/>
              <w:jc w:val="center"/>
              <w:rPr>
                <w:rFonts w:ascii="仿宋_GB2312" w:hAnsi="仿宋_GB2312"/>
                <w:b/>
                <w:bCs/>
                <w:kern w:val="0"/>
                <w:sz w:val="21"/>
                <w:szCs w:val="21"/>
              </w:rPr>
            </w:pPr>
          </w:p>
          <w:p>
            <w:pPr>
              <w:spacing w:line="300" w:lineRule="exact"/>
              <w:jc w:val="center"/>
              <w:rPr>
                <w:rFonts w:ascii="仿宋_GB2312" w:hAnsi="仿宋_GB2312"/>
                <w:b/>
                <w:bCs/>
                <w:kern w:val="0"/>
                <w:sz w:val="21"/>
                <w:szCs w:val="21"/>
              </w:rPr>
            </w:pPr>
          </w:p>
          <w:p>
            <w:pPr>
              <w:spacing w:line="300" w:lineRule="exact"/>
              <w:jc w:val="center"/>
              <w:rPr>
                <w:rFonts w:ascii="仿宋_GB2312" w:hAnsi="仿宋_GB2312"/>
                <w:b/>
                <w:bCs/>
                <w:kern w:val="0"/>
                <w:sz w:val="21"/>
                <w:szCs w:val="21"/>
              </w:rPr>
            </w:pPr>
          </w:p>
          <w:p>
            <w:pPr>
              <w:spacing w:line="300" w:lineRule="exact"/>
              <w:jc w:val="center"/>
              <w:rPr>
                <w:rFonts w:ascii="仿宋_GB2312" w:hAnsi="仿宋_GB2312"/>
                <w:b/>
                <w:bCs/>
                <w:kern w:val="0"/>
                <w:sz w:val="21"/>
                <w:szCs w:val="21"/>
              </w:rPr>
            </w:pPr>
            <w:r>
              <w:rPr>
                <w:rFonts w:ascii="仿宋_GB2312" w:hAnsi="仿宋_GB2312"/>
                <w:b/>
                <w:bCs/>
                <w:kern w:val="0"/>
                <w:sz w:val="21"/>
                <w:szCs w:val="21"/>
              </w:rPr>
              <w:t>机</w:t>
            </w:r>
          </w:p>
          <w:p>
            <w:pPr>
              <w:spacing w:line="300" w:lineRule="exact"/>
              <w:jc w:val="center"/>
              <w:rPr>
                <w:rFonts w:ascii="仿宋_GB2312" w:hAnsi="仿宋_GB2312"/>
                <w:b/>
                <w:bCs/>
                <w:kern w:val="0"/>
                <w:sz w:val="21"/>
                <w:szCs w:val="21"/>
              </w:rPr>
            </w:pPr>
          </w:p>
          <w:p>
            <w:pPr>
              <w:spacing w:line="300" w:lineRule="exact"/>
              <w:jc w:val="center"/>
              <w:rPr>
                <w:rFonts w:ascii="仿宋_GB2312" w:hAnsi="仿宋_GB2312"/>
                <w:b/>
                <w:bCs/>
                <w:kern w:val="0"/>
                <w:sz w:val="21"/>
                <w:szCs w:val="21"/>
              </w:rPr>
            </w:pPr>
          </w:p>
          <w:p>
            <w:pPr>
              <w:spacing w:line="300" w:lineRule="exact"/>
              <w:rPr>
                <w:rFonts w:ascii="仿宋_GB2312" w:hAnsi="仿宋_GB2312"/>
                <w:b/>
                <w:bCs/>
                <w:kern w:val="0"/>
                <w:sz w:val="21"/>
                <w:szCs w:val="21"/>
              </w:rPr>
            </w:pPr>
          </w:p>
          <w:p>
            <w:pPr>
              <w:spacing w:line="300" w:lineRule="exact"/>
              <w:jc w:val="center"/>
              <w:rPr>
                <w:rFonts w:ascii="仿宋_GB2312" w:hAnsi="仿宋_GB2312"/>
                <w:b/>
                <w:bCs/>
                <w:kern w:val="0"/>
                <w:sz w:val="21"/>
                <w:szCs w:val="21"/>
              </w:rPr>
            </w:pPr>
            <w:r>
              <w:rPr>
                <w:rFonts w:ascii="仿宋_GB2312" w:hAnsi="仿宋_GB2312"/>
                <w:b/>
                <w:bCs/>
                <w:kern w:val="0"/>
                <w:sz w:val="21"/>
                <w:szCs w:val="21"/>
              </w:rPr>
              <w:t>构</w:t>
            </w:r>
          </w:p>
          <w:p>
            <w:pPr>
              <w:spacing w:line="300" w:lineRule="exact"/>
              <w:jc w:val="center"/>
              <w:rPr>
                <w:rFonts w:ascii="仿宋_GB2312" w:hAnsi="仿宋_GB2312"/>
                <w:b/>
                <w:bCs/>
                <w:kern w:val="0"/>
                <w:sz w:val="21"/>
                <w:szCs w:val="21"/>
              </w:rPr>
            </w:pPr>
          </w:p>
          <w:p>
            <w:pPr>
              <w:spacing w:line="300" w:lineRule="exact"/>
              <w:jc w:val="center"/>
              <w:rPr>
                <w:rFonts w:ascii="仿宋_GB2312" w:hAnsi="仿宋_GB2312"/>
                <w:b/>
                <w:bCs/>
                <w:kern w:val="0"/>
                <w:sz w:val="21"/>
                <w:szCs w:val="21"/>
              </w:rPr>
            </w:pPr>
          </w:p>
          <w:p>
            <w:pPr>
              <w:spacing w:line="300" w:lineRule="exact"/>
              <w:jc w:val="center"/>
              <w:rPr>
                <w:rFonts w:ascii="仿宋_GB2312" w:hAnsi="仿宋_GB2312"/>
                <w:b/>
                <w:bCs/>
                <w:kern w:val="0"/>
                <w:sz w:val="21"/>
                <w:szCs w:val="21"/>
              </w:rPr>
            </w:pPr>
          </w:p>
          <w:p>
            <w:pPr>
              <w:spacing w:line="300" w:lineRule="exact"/>
              <w:jc w:val="center"/>
              <w:rPr>
                <w:rFonts w:ascii="仿宋_GB2312" w:hAnsi="仿宋_GB2312"/>
                <w:b/>
                <w:bCs/>
                <w:kern w:val="0"/>
                <w:sz w:val="21"/>
                <w:szCs w:val="21"/>
              </w:rPr>
            </w:pPr>
            <w:r>
              <w:rPr>
                <w:rFonts w:ascii="仿宋_GB2312" w:hAnsi="仿宋_GB2312"/>
                <w:b/>
                <w:bCs/>
                <w:kern w:val="0"/>
                <w:sz w:val="21"/>
                <w:szCs w:val="21"/>
              </w:rPr>
              <w:t>与</w:t>
            </w:r>
          </w:p>
          <w:p>
            <w:pPr>
              <w:spacing w:line="300" w:lineRule="exact"/>
              <w:jc w:val="center"/>
              <w:rPr>
                <w:rFonts w:ascii="仿宋_GB2312" w:hAnsi="仿宋_GB2312"/>
                <w:b/>
                <w:bCs/>
                <w:kern w:val="0"/>
                <w:sz w:val="21"/>
                <w:szCs w:val="21"/>
              </w:rPr>
            </w:pPr>
          </w:p>
          <w:p>
            <w:pPr>
              <w:spacing w:line="300" w:lineRule="exact"/>
              <w:jc w:val="center"/>
              <w:rPr>
                <w:rFonts w:ascii="仿宋_GB2312" w:hAnsi="仿宋_GB2312"/>
                <w:b/>
                <w:bCs/>
                <w:kern w:val="0"/>
                <w:sz w:val="21"/>
                <w:szCs w:val="21"/>
              </w:rPr>
            </w:pPr>
          </w:p>
          <w:p>
            <w:pPr>
              <w:spacing w:line="300" w:lineRule="exact"/>
              <w:jc w:val="center"/>
              <w:rPr>
                <w:rFonts w:ascii="仿宋_GB2312" w:hAnsi="仿宋_GB2312"/>
                <w:b/>
                <w:bCs/>
                <w:kern w:val="0"/>
                <w:sz w:val="21"/>
                <w:szCs w:val="21"/>
              </w:rPr>
            </w:pPr>
          </w:p>
          <w:p>
            <w:pPr>
              <w:spacing w:line="300" w:lineRule="exact"/>
              <w:jc w:val="center"/>
              <w:rPr>
                <w:rFonts w:ascii="仿宋_GB2312" w:hAnsi="仿宋_GB2312"/>
                <w:b/>
                <w:bCs/>
                <w:kern w:val="0"/>
                <w:sz w:val="21"/>
                <w:szCs w:val="21"/>
              </w:rPr>
            </w:pPr>
            <w:r>
              <w:rPr>
                <w:rFonts w:ascii="仿宋_GB2312" w:hAnsi="仿宋_GB2312"/>
                <w:b/>
                <w:bCs/>
                <w:kern w:val="0"/>
                <w:sz w:val="21"/>
                <w:szCs w:val="21"/>
              </w:rPr>
              <w:t>人</w:t>
            </w:r>
          </w:p>
          <w:p>
            <w:pPr>
              <w:spacing w:line="300" w:lineRule="exact"/>
              <w:jc w:val="center"/>
              <w:rPr>
                <w:rFonts w:ascii="仿宋_GB2312" w:hAnsi="仿宋_GB2312"/>
                <w:b/>
                <w:bCs/>
                <w:kern w:val="0"/>
                <w:sz w:val="21"/>
                <w:szCs w:val="21"/>
              </w:rPr>
            </w:pPr>
          </w:p>
          <w:p>
            <w:pPr>
              <w:spacing w:line="300" w:lineRule="exact"/>
              <w:jc w:val="center"/>
              <w:rPr>
                <w:rFonts w:ascii="仿宋_GB2312" w:hAnsi="仿宋_GB2312"/>
                <w:b/>
                <w:bCs/>
                <w:kern w:val="0"/>
                <w:sz w:val="21"/>
                <w:szCs w:val="21"/>
              </w:rPr>
            </w:pPr>
          </w:p>
          <w:p>
            <w:pPr>
              <w:spacing w:line="300" w:lineRule="exact"/>
              <w:jc w:val="center"/>
              <w:rPr>
                <w:rFonts w:ascii="仿宋_GB2312" w:hAnsi="仿宋_GB2312"/>
                <w:b/>
                <w:bCs/>
                <w:kern w:val="0"/>
                <w:sz w:val="21"/>
                <w:szCs w:val="21"/>
              </w:rPr>
            </w:pPr>
            <w:r>
              <w:rPr>
                <w:rFonts w:ascii="仿宋_GB2312" w:hAnsi="仿宋_GB2312"/>
                <w:b/>
                <w:bCs/>
                <w:kern w:val="0"/>
                <w:sz w:val="21"/>
                <w:szCs w:val="21"/>
              </w:rPr>
              <w:t>员</w:t>
            </w:r>
          </w:p>
          <w:p>
            <w:pPr>
              <w:spacing w:line="300" w:lineRule="exact"/>
              <w:rPr>
                <w:rFonts w:hint="eastAsia" w:ascii="仿宋_GB2312" w:hAnsi="仿宋_GB2312" w:eastAsia="仿宋_GB2312" w:cs="仿宋_GB2312"/>
                <w:sz w:val="21"/>
                <w:szCs w:val="21"/>
                <w:lang w:val="en-US"/>
              </w:rPr>
            </w:pPr>
          </w:p>
        </w:tc>
        <w:tc>
          <w:tcPr>
            <w:tcW w:w="8125" w:type="dxa"/>
            <w:tcBorders>
              <w:top w:val="single" w:color="000000" w:sz="4" w:space="0"/>
              <w:left w:val="nil"/>
              <w:bottom w:val="single" w:color="000000" w:sz="4" w:space="0"/>
              <w:right w:val="single" w:color="000000" w:sz="4" w:space="0"/>
            </w:tcBorders>
            <w:shd w:val="clear" w:color="auto" w:fill="auto"/>
            <w:textDirection w:val="lrTb"/>
            <w:vAlign w:val="top"/>
          </w:tcPr>
          <w:p>
            <w:pPr>
              <w:numPr>
                <w:ilvl w:val="0"/>
                <w:numId w:val="3"/>
              </w:numPr>
              <w:snapToGrid w:val="0"/>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门店应符合以下设置要求：</w:t>
            </w:r>
          </w:p>
          <w:p>
            <w:pPr>
              <w:snapToGrid w:val="0"/>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（一）药品经营企业的法定代表人、主要负责人对本企业的药品经营活动全面负责。</w:t>
            </w:r>
          </w:p>
          <w:p>
            <w:pPr>
              <w:snapToGrid w:val="0"/>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（二）门店应为非法人分支机构或与连锁企业总部为同一法定代表人。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b w:val="0"/>
                <w:i w:val="0"/>
                <w:caps w:val="0"/>
                <w:color w:val="333333"/>
                <w:spacing w:val="0"/>
                <w:sz w:val="21"/>
                <w:szCs w:val="21"/>
              </w:rPr>
            </w:pPr>
            <w:r>
              <w:rPr>
                <w:rFonts w:hint="eastAsia" w:ascii="仿宋_GB2312" w:hAnsi="仿宋_GB2312" w:eastAsia="仿宋_GB2312" w:cs="仿宋_GB2312"/>
                <w:kern w:val="0"/>
                <w:sz w:val="21"/>
                <w:szCs w:val="21"/>
              </w:rPr>
              <w:t>（三）门店</w:t>
            </w:r>
            <w:r>
              <w:rPr>
                <w:rFonts w:hint="eastAsia" w:ascii="仿宋_GB2312" w:hAnsi="仿宋_GB2312" w:eastAsia="仿宋_GB2312" w:cs="仿宋_GB2312"/>
                <w:b w:val="0"/>
                <w:i w:val="0"/>
                <w:caps w:val="0"/>
                <w:color w:val="333333"/>
                <w:spacing w:val="0"/>
                <w:sz w:val="21"/>
                <w:szCs w:val="21"/>
                <w:shd w:val="clear" w:fill="FFFFFF"/>
              </w:rPr>
              <w:t>经营处方药、甲类非处方药的药品零售企业，必须配有执业药师或者其他依法经过资格认定的药学技术人员。质量负责人应有1年以上（含1年）药品经营质量管理工作经验。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21"/>
                <w:szCs w:val="21"/>
              </w:rPr>
            </w:pPr>
            <w:r>
              <w:rPr>
                <w:rFonts w:hint="eastAsia" w:ascii="仿宋_GB2312" w:hAnsi="仿宋_GB2312" w:eastAsia="仿宋_GB2312" w:cs="仿宋_GB2312"/>
                <w:b w:val="0"/>
                <w:i w:val="0"/>
                <w:caps w:val="0"/>
                <w:color w:val="333333"/>
                <w:spacing w:val="0"/>
                <w:sz w:val="21"/>
                <w:szCs w:val="21"/>
                <w:shd w:val="clear" w:fill="FFFFFF"/>
              </w:rPr>
              <w:t>经营乙类非处方药的药品零售企业，以及农村乡镇以下地区设立药品零售企业的，应当按照《药品管理法实施条例》第15条的规定配备业务人员，有条件的应当配备执业药师。企业营业时间，以上人员应当在岗。</w:t>
            </w:r>
          </w:p>
          <w:p>
            <w:pPr>
              <w:numPr>
                <w:ilvl w:val="0"/>
                <w:numId w:val="0"/>
              </w:numPr>
              <w:snapToGrid w:val="0"/>
              <w:spacing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b w:val="0"/>
                <w:bCs w:val="0"/>
                <w:sz w:val="21"/>
                <w:szCs w:val="21"/>
                <w:lang w:eastAsia="zh-CN"/>
              </w:rPr>
              <w:t>（四）企业负责人、</w:t>
            </w:r>
            <w:r>
              <w:rPr>
                <w:rFonts w:hint="eastAsia" w:ascii="仿宋_GB2312" w:hAnsi="仿宋_GB2312" w:eastAsia="仿宋_GB2312" w:cs="仿宋_GB2312"/>
                <w:b w:val="0"/>
                <w:bCs w:val="0"/>
                <w:sz w:val="21"/>
                <w:szCs w:val="21"/>
              </w:rPr>
              <w:t>门店</w:t>
            </w:r>
            <w:r>
              <w:rPr>
                <w:rFonts w:hint="eastAsia" w:ascii="仿宋_GB2312" w:hAnsi="仿宋_GB2312" w:eastAsia="仿宋_GB2312" w:cs="仿宋_GB2312"/>
                <w:b w:val="0"/>
                <w:bCs w:val="0"/>
                <w:sz w:val="21"/>
                <w:szCs w:val="21"/>
                <w:lang w:eastAsia="zh-CN"/>
              </w:rPr>
              <w:t>质量</w:t>
            </w:r>
            <w:r>
              <w:rPr>
                <w:rFonts w:hint="eastAsia" w:ascii="仿宋_GB2312" w:hAnsi="仿宋_GB2312" w:eastAsia="仿宋_GB2312" w:cs="仿宋_GB2312"/>
                <w:b w:val="0"/>
                <w:bCs w:val="0"/>
                <w:sz w:val="21"/>
                <w:szCs w:val="21"/>
              </w:rPr>
              <w:t>负责人</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kern w:val="0"/>
                <w:sz w:val="21"/>
                <w:szCs w:val="21"/>
                <w:lang w:eastAsia="zh-CN"/>
              </w:rPr>
              <w:t>质量管理、</w:t>
            </w:r>
            <w:r>
              <w:rPr>
                <w:rFonts w:hint="eastAsia" w:ascii="仿宋_GB2312" w:hAnsi="仿宋_GB2312" w:eastAsia="仿宋_GB2312" w:cs="仿宋_GB2312"/>
                <w:kern w:val="0"/>
                <w:sz w:val="21"/>
                <w:szCs w:val="21"/>
              </w:rPr>
              <w:t>验收</w:t>
            </w:r>
            <w:r>
              <w:rPr>
                <w:rFonts w:hint="eastAsia" w:ascii="仿宋_GB2312" w:hAnsi="仿宋_GB2312" w:eastAsia="仿宋_GB2312" w:cs="仿宋_GB2312"/>
                <w:kern w:val="0"/>
                <w:sz w:val="21"/>
                <w:szCs w:val="21"/>
                <w:lang w:eastAsia="zh-CN"/>
              </w:rPr>
              <w:t>、养护</w:t>
            </w:r>
            <w:r>
              <w:rPr>
                <w:rFonts w:hint="eastAsia" w:ascii="仿宋_GB2312" w:hAnsi="仿宋_GB2312" w:eastAsia="仿宋_GB2312" w:cs="仿宋_GB2312"/>
                <w:kern w:val="0"/>
                <w:sz w:val="21"/>
                <w:szCs w:val="21"/>
              </w:rPr>
              <w:t>人员</w:t>
            </w:r>
            <w:r>
              <w:rPr>
                <w:rFonts w:hint="eastAsia" w:ascii="仿宋_GB2312" w:hAnsi="仿宋_GB2312" w:eastAsia="仿宋_GB2312" w:cs="仿宋_GB2312"/>
                <w:kern w:val="0"/>
                <w:sz w:val="21"/>
                <w:szCs w:val="21"/>
                <w:lang w:eastAsia="zh-CN"/>
              </w:rPr>
              <w:t>，中药饮片调剂人员，门店营业员资质应符合</w:t>
            </w:r>
            <w:r>
              <w:rPr>
                <w:rFonts w:hint="eastAsia" w:ascii="仿宋_GB2312" w:hAnsi="仿宋_GB2312" w:eastAsia="仿宋_GB2312" w:cs="仿宋_GB2312"/>
                <w:sz w:val="21"/>
                <w:szCs w:val="21"/>
                <w:lang w:eastAsia="zh-CN"/>
              </w:rPr>
              <w:t>《云南省药品零售连锁企业验收标准（试行）》的相关要求。</w:t>
            </w:r>
          </w:p>
          <w:p>
            <w:pPr>
              <w:numPr>
                <w:ilvl w:val="0"/>
                <w:numId w:val="0"/>
              </w:numPr>
              <w:snapToGrid w:val="0"/>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（五）</w:t>
            </w:r>
            <w:r>
              <w:rPr>
                <w:rFonts w:hint="eastAsia" w:ascii="仿宋_GB2312" w:hAnsi="仿宋_GB2312" w:eastAsia="仿宋_GB2312" w:cs="仿宋_GB2312"/>
                <w:kern w:val="0"/>
                <w:sz w:val="21"/>
                <w:szCs w:val="21"/>
              </w:rPr>
              <w:t>门店各岗位人员应当接受相关法律法规及药品专业知识与技能的岗前培训和继续培训，以符合《药品经营质量管理规范》（总局令第28号）的要求。</w:t>
            </w:r>
          </w:p>
          <w:p>
            <w:pPr>
              <w:numPr>
                <w:ilvl w:val="0"/>
                <w:numId w:val="0"/>
              </w:numPr>
              <w:snapToGrid w:val="0"/>
              <w:spacing w:line="300" w:lineRule="exact"/>
              <w:rPr>
                <w:rFonts w:hint="eastAsia" w:ascii="仿宋_GB2312" w:hAnsi="仿宋_GB2312" w:eastAsia="仿宋_GB2312" w:cs="仿宋_GB2312"/>
                <w:kern w:val="0"/>
                <w:sz w:val="21"/>
                <w:szCs w:val="21"/>
                <w:lang w:val="en-US"/>
              </w:rPr>
            </w:pPr>
            <w:r>
              <w:rPr>
                <w:rFonts w:hint="eastAsia" w:ascii="仿宋_GB2312" w:hAnsi="仿宋_GB2312" w:eastAsia="仿宋_GB2312" w:cs="仿宋_GB2312"/>
                <w:kern w:val="0"/>
                <w:sz w:val="21"/>
                <w:szCs w:val="21"/>
              </w:rPr>
              <w:t>（</w:t>
            </w:r>
            <w:r>
              <w:rPr>
                <w:rFonts w:hint="eastAsia" w:ascii="仿宋_GB2312" w:hAnsi="仿宋_GB2312" w:eastAsia="仿宋_GB2312" w:cs="仿宋_GB2312"/>
                <w:kern w:val="0"/>
                <w:sz w:val="21"/>
                <w:szCs w:val="21"/>
                <w:lang w:eastAsia="zh-CN"/>
              </w:rPr>
              <w:t>六</w:t>
            </w:r>
            <w:r>
              <w:rPr>
                <w:rFonts w:hint="eastAsia" w:ascii="仿宋_GB2312" w:hAnsi="仿宋_GB2312" w:eastAsia="仿宋_GB2312" w:cs="仿宋_GB2312"/>
                <w:kern w:val="0"/>
                <w:sz w:val="21"/>
                <w:szCs w:val="21"/>
              </w:rPr>
              <w:t>）企业采取远程审方形式销售处方药、提供药事服务的，应符合《云南省药品零售连锁企业远程药事服务及审方系统指导原则》(试行)的规定。</w:t>
            </w:r>
            <w:r>
              <w:rPr>
                <w:rFonts w:hint="eastAsia" w:ascii="仿宋_GB2312" w:hAnsi="仿宋_GB2312" w:eastAsia="仿宋_GB2312" w:cs="仿宋_GB2312"/>
                <w:b w:val="0"/>
                <w:bCs w:val="0"/>
                <w:sz w:val="21"/>
                <w:szCs w:val="21"/>
              </w:rPr>
              <w:t>且经过药学专业知识培训，熟悉有关药品管理的法律法规。</w:t>
            </w:r>
          </w:p>
        </w:tc>
        <w:tc>
          <w:tcPr>
            <w:tcW w:w="1065" w:type="dxa"/>
            <w:tcBorders>
              <w:top w:val="single" w:color="000000" w:sz="4" w:space="0"/>
              <w:left w:val="nil"/>
              <w:bottom w:val="single" w:color="000000" w:sz="4" w:space="0"/>
              <w:right w:val="single" w:color="000000" w:sz="4" w:space="0"/>
            </w:tcBorders>
            <w:shd w:val="clear" w:color="auto" w:fill="auto"/>
            <w:textDirection w:val="lrTb"/>
            <w:vAlign w:val="center"/>
          </w:tcPr>
          <w:p>
            <w:pPr>
              <w:spacing w:line="300" w:lineRule="exact"/>
              <w:jc w:val="center"/>
              <w:rPr>
                <w:rFonts w:hint="eastAsia" w:ascii="仿宋_GB2312" w:hAnsi="仿宋_GB2312" w:eastAsia="仿宋_GB2312" w:cs="仿宋_GB2312"/>
                <w:kern w:val="0"/>
                <w:sz w:val="21"/>
                <w:szCs w:val="21"/>
              </w:rPr>
            </w:pPr>
          </w:p>
          <w:p>
            <w:pPr>
              <w:spacing w:line="300" w:lineRule="exact"/>
              <w:jc w:val="center"/>
              <w:rPr>
                <w:rFonts w:hint="eastAsia" w:ascii="仿宋_GB2312" w:hAnsi="仿宋_GB2312" w:eastAsia="仿宋_GB2312" w:cs="仿宋_GB2312"/>
                <w:kern w:val="0"/>
                <w:sz w:val="21"/>
                <w:szCs w:val="21"/>
              </w:rPr>
            </w:pPr>
          </w:p>
          <w:p>
            <w:pPr>
              <w:spacing w:line="300" w:lineRule="exact"/>
              <w:jc w:val="center"/>
              <w:rPr>
                <w:rFonts w:hint="eastAsia" w:ascii="仿宋_GB2312" w:hAnsi="仿宋_GB2312" w:eastAsia="仿宋_GB2312" w:cs="仿宋_GB2312"/>
                <w:kern w:val="0"/>
                <w:sz w:val="21"/>
                <w:szCs w:val="21"/>
              </w:rPr>
            </w:pPr>
          </w:p>
          <w:p>
            <w:pPr>
              <w:spacing w:line="300" w:lineRule="exact"/>
              <w:jc w:val="center"/>
              <w:rPr>
                <w:rFonts w:hint="eastAsia" w:ascii="仿宋_GB2312" w:hAnsi="仿宋_GB2312" w:eastAsia="仿宋_GB2312" w:cs="仿宋_GB2312"/>
                <w:kern w:val="0"/>
                <w:sz w:val="21"/>
                <w:szCs w:val="21"/>
              </w:rPr>
            </w:pPr>
          </w:p>
          <w:p>
            <w:pPr>
              <w:spacing w:line="300" w:lineRule="exact"/>
              <w:jc w:val="center"/>
              <w:rPr>
                <w:rFonts w:hint="eastAsia" w:ascii="仿宋_GB2312" w:hAnsi="仿宋_GB2312" w:eastAsia="仿宋_GB2312" w:cs="仿宋_GB2312"/>
                <w:kern w:val="0"/>
                <w:sz w:val="21"/>
                <w:szCs w:val="21"/>
                <w:lang w:val="en-US"/>
              </w:rPr>
            </w:pPr>
            <w:r>
              <w:rPr>
                <w:rFonts w:hint="eastAsia" w:ascii="仿宋_GB2312" w:hAnsi="仿宋_GB2312" w:eastAsia="仿宋_GB2312" w:cs="仿宋_GB2312"/>
                <w:kern w:val="0"/>
                <w:sz w:val="21"/>
                <w:szCs w:val="21"/>
              </w:rPr>
              <w:t>应符合标准要求</w:t>
            </w:r>
          </w:p>
        </w:tc>
        <w:tc>
          <w:tcPr>
            <w:tcW w:w="900"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79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915" w:type="dxa"/>
            <w:gridSpan w:val="2"/>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trPr>
        <w:tc>
          <w:tcPr>
            <w:tcW w:w="420" w:type="dxa"/>
            <w:vMerge w:val="continue"/>
            <w:tcBorders>
              <w:top w:val="nil"/>
              <w:left w:val="single" w:color="000000" w:sz="4" w:space="0"/>
              <w:bottom w:val="single" w:color="000000" w:sz="4" w:space="0"/>
              <w:right w:val="single" w:color="000000" w:sz="4" w:space="0"/>
            </w:tcBorders>
            <w:shd w:val="clear" w:color="auto" w:fill="auto"/>
            <w:textDirection w:val="lrTb"/>
            <w:vAlign w:val="center"/>
          </w:tcPr>
          <w:p>
            <w:pPr>
              <w:widowControl/>
              <w:jc w:val="left"/>
              <w:rPr>
                <w:rFonts w:hint="eastAsia" w:ascii="仿宋_GB2312" w:hAnsi="仿宋_GB2312" w:eastAsia="仿宋_GB2312" w:cs="仿宋_GB2312"/>
                <w:sz w:val="21"/>
                <w:szCs w:val="21"/>
              </w:rPr>
            </w:pPr>
          </w:p>
        </w:tc>
        <w:tc>
          <w:tcPr>
            <w:tcW w:w="8125" w:type="dxa"/>
            <w:tcBorders>
              <w:top w:val="single" w:color="000000" w:sz="4" w:space="0"/>
              <w:left w:val="nil"/>
              <w:bottom w:val="single" w:color="auto" w:sz="4" w:space="0"/>
              <w:right w:val="single" w:color="000000" w:sz="4" w:space="0"/>
            </w:tcBorders>
            <w:shd w:val="clear" w:color="auto" w:fill="auto"/>
            <w:textDirection w:val="lrTb"/>
            <w:vAlign w:val="top"/>
          </w:tcPr>
          <w:p>
            <w:pPr>
              <w:snapToGrid w:val="0"/>
              <w:spacing w:line="300" w:lineRule="exact"/>
              <w:rPr>
                <w:rFonts w:hint="eastAsia" w:ascii="仿宋_GB2312" w:hAnsi="仿宋_GB2312" w:eastAsia="仿宋_GB2312" w:cs="仿宋_GB2312"/>
                <w:kern w:val="0"/>
                <w:sz w:val="21"/>
                <w:szCs w:val="21"/>
                <w:lang w:val="en-US"/>
              </w:rPr>
            </w:pPr>
            <w:r>
              <w:rPr>
                <w:rFonts w:hint="eastAsia" w:ascii="仿宋_GB2312" w:hAnsi="仿宋_GB2312" w:eastAsia="仿宋_GB2312" w:cs="仿宋_GB2312"/>
                <w:kern w:val="0"/>
                <w:sz w:val="21"/>
                <w:szCs w:val="21"/>
              </w:rPr>
              <w:t>四、企业直接接触药品的人员应每年进行健康检查，并建立档案，患有传染病或其他可能污染药品的疾病的人员，不得从事直接接触药品的工作。</w:t>
            </w:r>
          </w:p>
        </w:tc>
        <w:tc>
          <w:tcPr>
            <w:tcW w:w="1065" w:type="dxa"/>
            <w:tcBorders>
              <w:top w:val="single" w:color="000000" w:sz="4" w:space="0"/>
              <w:left w:val="nil"/>
              <w:bottom w:val="single" w:color="auto" w:sz="4" w:space="0"/>
              <w:right w:val="single" w:color="000000" w:sz="4" w:space="0"/>
            </w:tcBorders>
            <w:shd w:val="clear" w:color="auto" w:fill="auto"/>
            <w:textDirection w:val="lrTb"/>
            <w:vAlign w:val="center"/>
          </w:tcPr>
          <w:p>
            <w:pPr>
              <w:spacing w:line="300" w:lineRule="exact"/>
              <w:jc w:val="center"/>
              <w:rPr>
                <w:rFonts w:hint="eastAsia" w:ascii="仿宋_GB2312" w:hAnsi="仿宋_GB2312" w:eastAsia="仿宋_GB2312" w:cs="仿宋_GB2312"/>
                <w:kern w:val="0"/>
                <w:sz w:val="21"/>
                <w:szCs w:val="21"/>
                <w:lang w:val="en-US"/>
              </w:rPr>
            </w:pPr>
            <w:r>
              <w:rPr>
                <w:rFonts w:hint="eastAsia" w:ascii="仿宋_GB2312" w:hAnsi="仿宋_GB2312" w:eastAsia="仿宋_GB2312" w:cs="仿宋_GB2312"/>
                <w:kern w:val="0"/>
                <w:sz w:val="21"/>
                <w:szCs w:val="21"/>
              </w:rPr>
              <w:t>应符合标准要求</w:t>
            </w:r>
          </w:p>
        </w:tc>
        <w:tc>
          <w:tcPr>
            <w:tcW w:w="900" w:type="dxa"/>
            <w:tcBorders>
              <w:top w:val="single" w:color="000000"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top w:val="single" w:color="000000"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795" w:type="dxa"/>
            <w:tcBorders>
              <w:top w:val="single" w:color="000000"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top w:val="single" w:color="000000"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915" w:type="dxa"/>
            <w:gridSpan w:val="2"/>
            <w:tcBorders>
              <w:top w:val="single" w:color="000000"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trPr>
        <w:tc>
          <w:tcPr>
            <w:tcW w:w="420" w:type="dxa"/>
            <w:vMerge w:val="continue"/>
            <w:tcBorders>
              <w:top w:val="nil"/>
              <w:left w:val="single" w:color="000000" w:sz="4" w:space="0"/>
              <w:bottom w:val="single" w:color="000000" w:sz="4" w:space="0"/>
              <w:right w:val="single" w:color="000000" w:sz="4" w:space="0"/>
            </w:tcBorders>
            <w:shd w:val="clear" w:color="auto" w:fill="auto"/>
            <w:textDirection w:val="lrTb"/>
            <w:vAlign w:val="center"/>
          </w:tcPr>
          <w:p>
            <w:pPr>
              <w:widowControl/>
              <w:jc w:val="left"/>
              <w:rPr>
                <w:rFonts w:hint="eastAsia" w:ascii="仿宋_GB2312" w:hAnsi="仿宋_GB2312" w:eastAsia="仿宋_GB2312" w:cs="仿宋_GB2312"/>
                <w:sz w:val="21"/>
                <w:szCs w:val="21"/>
              </w:rPr>
            </w:pPr>
          </w:p>
        </w:tc>
        <w:tc>
          <w:tcPr>
            <w:tcW w:w="8125" w:type="dxa"/>
            <w:tcBorders>
              <w:top w:val="single" w:color="auto" w:sz="4" w:space="0"/>
              <w:left w:val="nil"/>
              <w:bottom w:val="single" w:color="auto" w:sz="4" w:space="0"/>
              <w:right w:val="single" w:color="000000" w:sz="4" w:space="0"/>
            </w:tcBorders>
            <w:shd w:val="clear" w:color="auto" w:fill="auto"/>
            <w:textDirection w:val="lrTb"/>
            <w:vAlign w:val="top"/>
          </w:tcPr>
          <w:p>
            <w:pPr>
              <w:snapToGrid w:val="0"/>
              <w:spacing w:line="300" w:lineRule="exact"/>
              <w:rPr>
                <w:rFonts w:hint="eastAsia" w:ascii="仿宋_GB2312" w:hAnsi="仿宋_GB2312" w:eastAsia="仿宋_GB2312" w:cs="仿宋_GB2312"/>
                <w:kern w:val="0"/>
                <w:sz w:val="21"/>
                <w:szCs w:val="21"/>
                <w:lang w:val="en-US"/>
              </w:rPr>
            </w:pPr>
            <w:r>
              <w:rPr>
                <w:rFonts w:hint="eastAsia" w:ascii="仿宋_GB2312" w:hAnsi="仿宋_GB2312" w:eastAsia="仿宋_GB2312" w:cs="仿宋_GB2312"/>
                <w:kern w:val="0"/>
                <w:sz w:val="21"/>
                <w:szCs w:val="21"/>
              </w:rPr>
              <w:t>五、企业应制定对员工进行药品相关的法律、法规和专业知识培训计划，建立培训档案,培训档案中应当记录培训时间、地点、内容及接受培训的人员。</w:t>
            </w:r>
          </w:p>
        </w:tc>
        <w:tc>
          <w:tcPr>
            <w:tcW w:w="1065" w:type="dxa"/>
            <w:tcBorders>
              <w:top w:val="single" w:color="auto" w:sz="4" w:space="0"/>
              <w:left w:val="nil"/>
              <w:bottom w:val="single" w:color="auto" w:sz="4" w:space="0"/>
              <w:right w:val="single" w:color="000000" w:sz="4" w:space="0"/>
            </w:tcBorders>
            <w:shd w:val="clear" w:color="auto" w:fill="auto"/>
            <w:textDirection w:val="lrTb"/>
            <w:vAlign w:val="center"/>
          </w:tcPr>
          <w:p>
            <w:pPr>
              <w:spacing w:line="300" w:lineRule="exact"/>
              <w:jc w:val="center"/>
              <w:rPr>
                <w:rFonts w:hint="eastAsia" w:ascii="仿宋_GB2312" w:hAnsi="仿宋_GB2312" w:eastAsia="仿宋_GB2312" w:cs="仿宋_GB2312"/>
                <w:kern w:val="0"/>
                <w:sz w:val="21"/>
                <w:szCs w:val="21"/>
                <w:lang w:val="en-US"/>
              </w:rPr>
            </w:pPr>
            <w:r>
              <w:rPr>
                <w:rFonts w:hint="eastAsia" w:ascii="仿宋_GB2312" w:hAnsi="仿宋_GB2312" w:eastAsia="仿宋_GB2312" w:cs="仿宋_GB2312"/>
                <w:kern w:val="0"/>
                <w:sz w:val="21"/>
                <w:szCs w:val="21"/>
              </w:rPr>
              <w:t>应符合标准要求</w:t>
            </w:r>
          </w:p>
        </w:tc>
        <w:tc>
          <w:tcPr>
            <w:tcW w:w="900" w:type="dxa"/>
            <w:tcBorders>
              <w:top w:val="single" w:color="auto"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top w:val="single" w:color="auto"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795" w:type="dxa"/>
            <w:tcBorders>
              <w:top w:val="single" w:color="auto"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top w:val="single" w:color="auto"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915" w:type="dxa"/>
            <w:gridSpan w:val="2"/>
            <w:tcBorders>
              <w:top w:val="single" w:color="auto"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trPr>
        <w:tc>
          <w:tcPr>
            <w:tcW w:w="420" w:type="dxa"/>
            <w:vMerge w:val="continue"/>
            <w:tcBorders>
              <w:top w:val="nil"/>
              <w:left w:val="single" w:color="000000" w:sz="4" w:space="0"/>
              <w:bottom w:val="single" w:color="000000" w:sz="4" w:space="0"/>
              <w:right w:val="single" w:color="000000" w:sz="4" w:space="0"/>
            </w:tcBorders>
            <w:shd w:val="clear" w:color="auto" w:fill="auto"/>
            <w:textDirection w:val="lrTb"/>
            <w:vAlign w:val="center"/>
          </w:tcPr>
          <w:p>
            <w:pPr>
              <w:widowControl/>
              <w:jc w:val="left"/>
              <w:rPr>
                <w:rFonts w:hint="eastAsia" w:ascii="仿宋_GB2312" w:hAnsi="仿宋_GB2312" w:eastAsia="仿宋_GB2312" w:cs="仿宋_GB2312"/>
                <w:sz w:val="21"/>
                <w:szCs w:val="21"/>
              </w:rPr>
            </w:pPr>
          </w:p>
        </w:tc>
        <w:tc>
          <w:tcPr>
            <w:tcW w:w="8125" w:type="dxa"/>
            <w:tcBorders>
              <w:top w:val="single" w:color="auto" w:sz="4" w:space="0"/>
              <w:left w:val="nil"/>
              <w:bottom w:val="single" w:color="auto" w:sz="4" w:space="0"/>
              <w:right w:val="single" w:color="000000" w:sz="4" w:space="0"/>
            </w:tcBorders>
            <w:shd w:val="clear" w:color="auto" w:fill="auto"/>
            <w:textDirection w:val="lrTb"/>
            <w:vAlign w:val="top"/>
          </w:tcPr>
          <w:p>
            <w:pPr>
              <w:snapToGrid w:val="0"/>
              <w:spacing w:line="300" w:lineRule="exact"/>
              <w:rPr>
                <w:rFonts w:hint="eastAsia" w:ascii="仿宋_GB2312" w:hAnsi="仿宋_GB2312" w:eastAsia="仿宋_GB2312" w:cs="仿宋_GB2312"/>
                <w:kern w:val="0"/>
                <w:sz w:val="21"/>
                <w:szCs w:val="21"/>
                <w:lang w:val="en-US"/>
              </w:rPr>
            </w:pPr>
            <w:r>
              <w:rPr>
                <w:rFonts w:hint="eastAsia" w:ascii="仿宋_GB2312" w:hAnsi="仿宋_GB2312" w:eastAsia="仿宋_GB2312" w:cs="仿宋_GB2312"/>
                <w:kern w:val="0"/>
                <w:sz w:val="21"/>
                <w:szCs w:val="21"/>
              </w:rPr>
              <w:t>六、</w:t>
            </w:r>
            <w:r>
              <w:rPr>
                <w:rFonts w:hint="eastAsia" w:ascii="仿宋_GB2312" w:hAnsi="仿宋_GB2312" w:eastAsia="仿宋_GB2312" w:cs="仿宋_GB2312"/>
                <w:kern w:val="0"/>
                <w:sz w:val="21"/>
                <w:szCs w:val="21"/>
                <w:lang w:eastAsia="zh-CN"/>
              </w:rPr>
              <w:t>企业法定代表人、企业</w:t>
            </w:r>
            <w:r>
              <w:rPr>
                <w:rFonts w:hint="eastAsia" w:ascii="仿宋_GB2312" w:hAnsi="仿宋_GB2312" w:eastAsia="仿宋_GB2312" w:cs="仿宋_GB2312"/>
                <w:kern w:val="0"/>
                <w:sz w:val="21"/>
                <w:szCs w:val="21"/>
              </w:rPr>
              <w:t>负责人、质量负责人无《药品管理法》规定的不能从事药品经营活动人员的情形。</w:t>
            </w:r>
          </w:p>
        </w:tc>
        <w:tc>
          <w:tcPr>
            <w:tcW w:w="1065" w:type="dxa"/>
            <w:tcBorders>
              <w:top w:val="single" w:color="auto" w:sz="4" w:space="0"/>
              <w:left w:val="nil"/>
              <w:bottom w:val="single" w:color="auto" w:sz="4" w:space="0"/>
              <w:right w:val="single" w:color="000000" w:sz="4" w:space="0"/>
            </w:tcBorders>
            <w:shd w:val="clear" w:color="auto" w:fill="auto"/>
            <w:textDirection w:val="lrTb"/>
            <w:vAlign w:val="center"/>
          </w:tcPr>
          <w:p>
            <w:pPr>
              <w:spacing w:line="300" w:lineRule="exact"/>
              <w:jc w:val="center"/>
              <w:rPr>
                <w:rFonts w:hint="eastAsia" w:ascii="仿宋_GB2312" w:hAnsi="仿宋_GB2312" w:eastAsia="仿宋_GB2312" w:cs="仿宋_GB2312"/>
                <w:kern w:val="0"/>
                <w:sz w:val="21"/>
                <w:szCs w:val="21"/>
                <w:lang w:val="en-US"/>
              </w:rPr>
            </w:pPr>
            <w:r>
              <w:rPr>
                <w:rFonts w:hint="eastAsia" w:ascii="仿宋_GB2312" w:hAnsi="仿宋_GB2312" w:eastAsia="仿宋_GB2312" w:cs="仿宋_GB2312"/>
                <w:kern w:val="0"/>
                <w:sz w:val="21"/>
                <w:szCs w:val="21"/>
              </w:rPr>
              <w:t>应符合标准要求</w:t>
            </w:r>
          </w:p>
        </w:tc>
        <w:tc>
          <w:tcPr>
            <w:tcW w:w="900" w:type="dxa"/>
            <w:tcBorders>
              <w:top w:val="single" w:color="auto"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top w:val="single" w:color="auto"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795" w:type="dxa"/>
            <w:tcBorders>
              <w:top w:val="single" w:color="auto"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top w:val="single" w:color="auto"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915" w:type="dxa"/>
            <w:gridSpan w:val="2"/>
            <w:tcBorders>
              <w:top w:val="single" w:color="auto"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0" w:hRule="atLeast"/>
        </w:trPr>
        <w:tc>
          <w:tcPr>
            <w:tcW w:w="420" w:type="dxa"/>
            <w:tcBorders>
              <w:top w:val="single" w:color="auto" w:sz="4" w:space="0"/>
              <w:left w:val="single" w:color="000000" w:sz="4" w:space="0"/>
              <w:bottom w:val="single" w:color="auto" w:sz="4" w:space="0"/>
              <w:right w:val="single" w:color="000000" w:sz="4" w:space="0"/>
            </w:tcBorders>
            <w:shd w:val="clear" w:color="auto" w:fill="auto"/>
            <w:textDirection w:val="lrTb"/>
            <w:vAlign w:val="center"/>
          </w:tcPr>
          <w:p>
            <w:pPr>
              <w:spacing w:line="300" w:lineRule="exact"/>
              <w:jc w:val="center"/>
              <w:rPr>
                <w:rFonts w:ascii="仿宋_GB2312" w:hAnsi="仿宋_GB2312"/>
                <w:b/>
                <w:bCs/>
                <w:kern w:val="0"/>
                <w:sz w:val="21"/>
                <w:szCs w:val="21"/>
              </w:rPr>
            </w:pPr>
            <w:r>
              <w:rPr>
                <w:rFonts w:ascii="仿宋_GB2312" w:hAnsi="仿宋_GB2312"/>
                <w:b/>
                <w:bCs/>
                <w:kern w:val="0"/>
                <w:sz w:val="21"/>
                <w:szCs w:val="21"/>
              </w:rPr>
              <w:t>场</w:t>
            </w:r>
          </w:p>
          <w:p>
            <w:pPr>
              <w:spacing w:line="300" w:lineRule="exact"/>
              <w:jc w:val="center"/>
              <w:rPr>
                <w:rFonts w:ascii="仿宋_GB2312" w:hAnsi="仿宋_GB2312"/>
                <w:b/>
                <w:bCs/>
                <w:kern w:val="0"/>
                <w:sz w:val="21"/>
                <w:szCs w:val="21"/>
              </w:rPr>
            </w:pPr>
            <w:r>
              <w:rPr>
                <w:rFonts w:ascii="仿宋_GB2312" w:hAnsi="仿宋_GB2312"/>
                <w:b/>
                <w:bCs/>
                <w:kern w:val="0"/>
                <w:sz w:val="21"/>
                <w:szCs w:val="21"/>
              </w:rPr>
              <w:t>所</w:t>
            </w:r>
          </w:p>
          <w:p>
            <w:pPr>
              <w:spacing w:line="300" w:lineRule="exact"/>
              <w:jc w:val="center"/>
              <w:rPr>
                <w:rFonts w:hint="eastAsia" w:ascii="仿宋_GB2312" w:hAnsi="仿宋_GB2312" w:eastAsia="仿宋_GB2312" w:cs="仿宋_GB2312"/>
                <w:sz w:val="21"/>
                <w:szCs w:val="21"/>
                <w:lang w:val="en-US"/>
              </w:rPr>
            </w:pPr>
            <w:r>
              <w:rPr>
                <w:rFonts w:ascii="仿宋_GB2312" w:hAnsi="仿宋_GB2312"/>
                <w:b/>
                <w:bCs/>
                <w:kern w:val="0"/>
                <w:sz w:val="21"/>
                <w:szCs w:val="21"/>
              </w:rPr>
              <w:t>设施环境</w:t>
            </w:r>
          </w:p>
        </w:tc>
        <w:tc>
          <w:tcPr>
            <w:tcW w:w="8125" w:type="dxa"/>
            <w:tcBorders>
              <w:top w:val="single" w:color="auto" w:sz="4" w:space="0"/>
              <w:left w:val="nil"/>
              <w:bottom w:val="single" w:color="auto" w:sz="4" w:space="0"/>
              <w:right w:val="single" w:color="000000" w:sz="4" w:space="0"/>
            </w:tcBorders>
            <w:shd w:val="clear" w:color="auto" w:fill="auto"/>
            <w:textDirection w:val="lrTb"/>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b w:val="0"/>
                <w:i w:val="0"/>
                <w:caps w:val="0"/>
                <w:color w:val="333333"/>
                <w:spacing w:val="0"/>
                <w:sz w:val="21"/>
                <w:szCs w:val="21"/>
              </w:rPr>
            </w:pPr>
            <w:r>
              <w:rPr>
                <w:rFonts w:hint="eastAsia" w:ascii="仿宋_GB2312" w:hAnsi="仿宋_GB2312" w:eastAsia="仿宋_GB2312" w:cs="仿宋_GB2312"/>
                <w:kern w:val="0"/>
                <w:sz w:val="21"/>
                <w:szCs w:val="21"/>
                <w:lang w:eastAsia="zh-CN"/>
              </w:rPr>
              <w:t>七</w:t>
            </w:r>
            <w:r>
              <w:rPr>
                <w:rFonts w:hint="eastAsia" w:ascii="仿宋_GB2312" w:hAnsi="仿宋_GB2312" w:eastAsia="仿宋_GB2312" w:cs="仿宋_GB2312"/>
                <w:kern w:val="0"/>
                <w:sz w:val="21"/>
                <w:szCs w:val="21"/>
              </w:rPr>
              <w:t>、</w:t>
            </w:r>
            <w:r>
              <w:rPr>
                <w:rFonts w:hint="eastAsia" w:ascii="仿宋_GB2312" w:hAnsi="仿宋_GB2312" w:eastAsia="仿宋_GB2312" w:cs="仿宋_GB2312"/>
                <w:b w:val="0"/>
                <w:i w:val="0"/>
                <w:caps w:val="0"/>
                <w:color w:val="333333"/>
                <w:spacing w:val="0"/>
                <w:sz w:val="21"/>
                <w:szCs w:val="21"/>
                <w:shd w:val="clear" w:fill="FFFFFF"/>
              </w:rPr>
              <w:t>具有与所经营药品相适应的营业场所、设备、仓储设施以及卫生环境。在超市等其他商业企业内设立零售药店的，必须具有独立的区域。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b w:val="0"/>
                <w:i w:val="0"/>
                <w:caps w:val="0"/>
                <w:color w:val="333333"/>
                <w:spacing w:val="0"/>
                <w:sz w:val="21"/>
                <w:szCs w:val="21"/>
              </w:rPr>
            </w:pPr>
            <w:r>
              <w:rPr>
                <w:rFonts w:hint="eastAsia" w:ascii="仿宋_GB2312" w:hAnsi="仿宋_GB2312" w:eastAsia="仿宋_GB2312" w:cs="仿宋_GB2312"/>
                <w:kern w:val="0"/>
                <w:sz w:val="21"/>
                <w:szCs w:val="21"/>
                <w:lang w:eastAsia="zh-CN"/>
              </w:rPr>
              <w:t>（一）</w:t>
            </w:r>
            <w:r>
              <w:rPr>
                <w:rFonts w:hint="eastAsia" w:ascii="仿宋_GB2312" w:hAnsi="仿宋_GB2312" w:eastAsia="仿宋_GB2312" w:cs="仿宋_GB2312"/>
                <w:b w:val="0"/>
                <w:i w:val="0"/>
                <w:caps w:val="0"/>
                <w:color w:val="333333"/>
                <w:spacing w:val="0"/>
                <w:sz w:val="21"/>
                <w:szCs w:val="21"/>
                <w:shd w:val="clear" w:fill="FFFFFF"/>
              </w:rPr>
              <w:t>能够配备满足当地消费者所需药品的能力，并能保证24小时供应。</w:t>
            </w:r>
          </w:p>
          <w:p>
            <w:pPr>
              <w:snapToGrid w:val="0"/>
              <w:spacing w:line="300" w:lineRule="exact"/>
              <w:ind w:firstLine="480" w:firstLineChars="200"/>
              <w:rPr>
                <w:rFonts w:hint="eastAsia" w:ascii="仿宋_GB2312" w:hAnsi="仿宋_GB2312" w:eastAsia="仿宋_GB2312" w:cs="仿宋_GB2312"/>
                <w:b w:val="0"/>
                <w:i w:val="0"/>
                <w:caps w:val="0"/>
                <w:color w:val="333333"/>
                <w:spacing w:val="0"/>
                <w:sz w:val="21"/>
                <w:szCs w:val="21"/>
                <w:shd w:val="clear" w:fill="FFFFFF"/>
              </w:rPr>
            </w:pPr>
            <w:r>
              <w:rPr>
                <w:rFonts w:hint="eastAsia" w:ascii="仿宋_GB2312" w:hAnsi="仿宋_GB2312" w:eastAsia="仿宋_GB2312" w:cs="仿宋_GB2312"/>
                <w:b w:val="0"/>
                <w:i w:val="0"/>
                <w:caps w:val="0"/>
                <w:color w:val="333333"/>
                <w:spacing w:val="0"/>
                <w:sz w:val="21"/>
                <w:szCs w:val="21"/>
                <w:shd w:val="clear" w:fill="FFFFFF"/>
              </w:rPr>
              <w:t>国家对经营麻醉药品、精神药品、医疗用毒性药品、预防性生物制品另有规定的，从其规定。</w:t>
            </w:r>
          </w:p>
          <w:p>
            <w:pPr>
              <w:numPr>
                <w:ilvl w:val="0"/>
                <w:numId w:val="0"/>
              </w:numPr>
              <w:snapToGrid w:val="0"/>
              <w:spacing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lang w:eastAsia="zh-CN"/>
              </w:rPr>
              <w:t>（二）</w:t>
            </w:r>
            <w:r>
              <w:rPr>
                <w:rFonts w:hint="eastAsia" w:ascii="仿宋_GB2312" w:hAnsi="仿宋_GB2312" w:eastAsia="仿宋_GB2312" w:cs="仿宋_GB2312"/>
                <w:kern w:val="0"/>
                <w:sz w:val="21"/>
                <w:szCs w:val="21"/>
              </w:rPr>
              <w:t>门店场所与设施设备应符合</w:t>
            </w:r>
            <w:r>
              <w:rPr>
                <w:rFonts w:hint="eastAsia" w:ascii="仿宋_GB2312" w:hAnsi="仿宋_GB2312" w:eastAsia="仿宋_GB2312" w:cs="仿宋_GB2312"/>
                <w:sz w:val="21"/>
                <w:szCs w:val="21"/>
                <w:lang w:eastAsia="zh-CN"/>
              </w:rPr>
              <w:t>《云南省药品零售连锁企业验收标准（试行）》的相关要求。</w:t>
            </w:r>
          </w:p>
          <w:p>
            <w:pPr>
              <w:snapToGrid w:val="0"/>
              <w:spacing w:line="300" w:lineRule="exact"/>
              <w:rPr>
                <w:rFonts w:hint="eastAsia" w:ascii="仿宋_GB2312" w:hAnsi="仿宋_GB2312" w:eastAsia="仿宋_GB2312" w:cs="仿宋_GB2312"/>
                <w:kern w:val="0"/>
                <w:sz w:val="21"/>
                <w:szCs w:val="21"/>
                <w:lang w:val="en-US"/>
              </w:rPr>
            </w:pPr>
            <w:r>
              <w:rPr>
                <w:rFonts w:hint="eastAsia" w:ascii="仿宋_GB2312" w:hAnsi="仿宋_GB2312" w:eastAsia="仿宋_GB2312" w:cs="仿宋_GB2312"/>
                <w:kern w:val="0"/>
                <w:sz w:val="21"/>
                <w:szCs w:val="21"/>
              </w:rPr>
              <w:t>（三）门店药品的陈列与储存应当符合《药品经营质量管理规范》（总局令第28号）和《药品经营质量管理规范现场检查指导原则》（修订稿）的要求。</w:t>
            </w:r>
          </w:p>
        </w:tc>
        <w:tc>
          <w:tcPr>
            <w:tcW w:w="1065" w:type="dxa"/>
            <w:tcBorders>
              <w:top w:val="single" w:color="auto" w:sz="4" w:space="0"/>
              <w:left w:val="nil"/>
              <w:bottom w:val="single" w:color="auto" w:sz="4" w:space="0"/>
              <w:right w:val="single" w:color="000000" w:sz="4" w:space="0"/>
            </w:tcBorders>
            <w:shd w:val="clear" w:color="auto" w:fill="auto"/>
            <w:textDirection w:val="lrTb"/>
            <w:vAlign w:val="center"/>
          </w:tcPr>
          <w:p>
            <w:pPr>
              <w:spacing w:line="300" w:lineRule="exact"/>
              <w:jc w:val="center"/>
              <w:rPr>
                <w:rFonts w:hint="eastAsia" w:ascii="仿宋_GB2312" w:hAnsi="仿宋_GB2312" w:eastAsia="仿宋_GB2312" w:cs="仿宋_GB2312"/>
                <w:kern w:val="0"/>
                <w:sz w:val="21"/>
                <w:szCs w:val="21"/>
                <w:lang w:val="en-US"/>
              </w:rPr>
            </w:pPr>
            <w:r>
              <w:rPr>
                <w:rFonts w:hint="eastAsia" w:ascii="仿宋_GB2312" w:hAnsi="仿宋_GB2312" w:eastAsia="仿宋_GB2312" w:cs="仿宋_GB2312"/>
                <w:kern w:val="0"/>
                <w:sz w:val="21"/>
                <w:szCs w:val="21"/>
              </w:rPr>
              <w:t>应符合标准要求</w:t>
            </w:r>
          </w:p>
        </w:tc>
        <w:tc>
          <w:tcPr>
            <w:tcW w:w="900" w:type="dxa"/>
            <w:tcBorders>
              <w:top w:val="single" w:color="auto"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top w:val="single" w:color="auto"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795" w:type="dxa"/>
            <w:tcBorders>
              <w:top w:val="single" w:color="auto"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top w:val="single" w:color="auto"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915" w:type="dxa"/>
            <w:gridSpan w:val="2"/>
            <w:tcBorders>
              <w:top w:val="single" w:color="auto"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92" w:hRule="atLeast"/>
        </w:trPr>
        <w:tc>
          <w:tcPr>
            <w:tcW w:w="420" w:type="dxa"/>
            <w:vMerge w:val="restart"/>
            <w:tcBorders>
              <w:top w:val="nil"/>
              <w:left w:val="single" w:color="auto" w:sz="4" w:space="0"/>
              <w:bottom w:val="single" w:color="000000" w:sz="4" w:space="0"/>
              <w:right w:val="single" w:color="000000" w:sz="4" w:space="0"/>
            </w:tcBorders>
            <w:shd w:val="clear" w:color="auto" w:fill="auto"/>
            <w:textDirection w:val="lrTb"/>
            <w:vAlign w:val="center"/>
          </w:tcPr>
          <w:p>
            <w:pPr>
              <w:spacing w:line="300" w:lineRule="exact"/>
              <w:jc w:val="center"/>
              <w:rPr>
                <w:rFonts w:hint="eastAsia" w:ascii="仿宋_GB2312" w:hAnsi="仿宋_GB2312" w:eastAsia="仿宋_GB2312" w:cs="仿宋_GB2312"/>
                <w:sz w:val="21"/>
                <w:szCs w:val="21"/>
                <w:lang w:val="en-US"/>
              </w:rPr>
            </w:pPr>
            <w:r>
              <w:rPr>
                <w:rFonts w:ascii="仿宋_GB2312" w:hAnsi="仿宋_GB2312"/>
                <w:b/>
                <w:bCs/>
                <w:kern w:val="0"/>
                <w:sz w:val="21"/>
                <w:szCs w:val="21"/>
              </w:rPr>
              <w:t>管控制度</w:t>
            </w:r>
          </w:p>
        </w:tc>
        <w:tc>
          <w:tcPr>
            <w:tcW w:w="8125" w:type="dxa"/>
            <w:tcBorders>
              <w:top w:val="single" w:color="auto" w:sz="4" w:space="0"/>
              <w:left w:val="nil"/>
              <w:bottom w:val="single" w:color="auto" w:sz="4" w:space="0"/>
              <w:right w:val="single" w:color="000000" w:sz="4" w:space="0"/>
            </w:tcBorders>
            <w:shd w:val="clear" w:color="auto" w:fill="auto"/>
            <w:textDirection w:val="lrTb"/>
            <w:vAlign w:val="top"/>
          </w:tcPr>
          <w:p>
            <w:pPr>
              <w:snapToGrid w:val="0"/>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八、药品零售连锁企业总部应当按照《药品经营质量管理规范》（总局令第28号）及相关附录的要求，建立统一的网络管理（计算机管理系统），对总部、配送中心与门店进行统一的质量管控。</w:t>
            </w:r>
          </w:p>
          <w:p>
            <w:pPr>
              <w:spacing w:line="300" w:lineRule="exact"/>
              <w:ind w:firstLine="240" w:firstLineChars="10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系统应当实现总部、配送中心与门店间的信息传输、数据共享、票据管理功能，实时互联互通，对药品购进、收货、验收、储存、配送等各环节经营质量实行全过程控制；能全面控制门店各环节质量管理。</w:t>
            </w:r>
          </w:p>
          <w:p>
            <w:pPr>
              <w:snapToGrid w:val="0"/>
              <w:spacing w:line="300" w:lineRule="exact"/>
              <w:ind w:firstLine="240" w:firstLineChars="100"/>
              <w:rPr>
                <w:rFonts w:hint="eastAsia" w:ascii="仿宋_GB2312" w:hAnsi="仿宋_GB2312" w:eastAsia="仿宋_GB2312" w:cs="仿宋_GB2312"/>
                <w:kern w:val="0"/>
                <w:sz w:val="21"/>
                <w:szCs w:val="21"/>
                <w:lang w:val="en-US"/>
              </w:rPr>
            </w:pPr>
            <w:r>
              <w:rPr>
                <w:rFonts w:hint="eastAsia" w:ascii="仿宋_GB2312" w:hAnsi="仿宋_GB2312" w:eastAsia="仿宋_GB2312" w:cs="仿宋_GB2312"/>
                <w:kern w:val="0"/>
                <w:sz w:val="21"/>
                <w:szCs w:val="21"/>
              </w:rPr>
              <w:t>系统应当提供</w:t>
            </w:r>
            <w:r>
              <w:rPr>
                <w:rFonts w:hint="eastAsia" w:ascii="仿宋_GB2312" w:hAnsi="仿宋_GB2312" w:eastAsia="仿宋_GB2312" w:cs="仿宋_GB2312"/>
                <w:color w:val="222222"/>
                <w:kern w:val="0"/>
                <w:sz w:val="21"/>
                <w:szCs w:val="21"/>
              </w:rPr>
              <w:t>真实、完整的购销记录，保证药品的追溯体系建立健全。</w:t>
            </w:r>
          </w:p>
        </w:tc>
        <w:tc>
          <w:tcPr>
            <w:tcW w:w="1065" w:type="dxa"/>
            <w:tcBorders>
              <w:top w:val="single" w:color="auto" w:sz="4" w:space="0"/>
              <w:left w:val="nil"/>
              <w:right w:val="single" w:color="000000" w:sz="4" w:space="0"/>
            </w:tcBorders>
            <w:shd w:val="clear" w:color="auto" w:fill="auto"/>
            <w:textDirection w:val="lrTb"/>
            <w:vAlign w:val="center"/>
          </w:tcPr>
          <w:p>
            <w:pPr>
              <w:spacing w:line="300" w:lineRule="exact"/>
              <w:jc w:val="center"/>
              <w:rPr>
                <w:rFonts w:hint="eastAsia" w:ascii="仿宋_GB2312" w:hAnsi="仿宋_GB2312" w:eastAsia="仿宋_GB2312" w:cs="仿宋_GB2312"/>
                <w:kern w:val="0"/>
                <w:sz w:val="21"/>
                <w:szCs w:val="21"/>
                <w:lang w:val="en-US"/>
              </w:rPr>
            </w:pPr>
            <w:r>
              <w:rPr>
                <w:rFonts w:hint="eastAsia" w:ascii="仿宋_GB2312" w:hAnsi="仿宋_GB2312" w:eastAsia="仿宋_GB2312" w:cs="仿宋_GB2312"/>
                <w:kern w:val="0"/>
                <w:sz w:val="21"/>
                <w:szCs w:val="21"/>
              </w:rPr>
              <w:t>应符合标准要求</w:t>
            </w:r>
          </w:p>
        </w:tc>
        <w:tc>
          <w:tcPr>
            <w:tcW w:w="900" w:type="dxa"/>
            <w:tcBorders>
              <w:top w:val="single" w:color="auto" w:sz="4" w:space="0"/>
              <w:left w:val="nil"/>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top w:val="single" w:color="auto" w:sz="4" w:space="0"/>
              <w:left w:val="nil"/>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795" w:type="dxa"/>
            <w:tcBorders>
              <w:top w:val="single" w:color="auto" w:sz="4" w:space="0"/>
              <w:left w:val="nil"/>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top w:val="single" w:color="auto" w:sz="4" w:space="0"/>
              <w:left w:val="nil"/>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915" w:type="dxa"/>
            <w:gridSpan w:val="2"/>
            <w:tcBorders>
              <w:top w:val="single" w:color="auto" w:sz="4" w:space="0"/>
              <w:left w:val="nil"/>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1215" w:rightChars="579"/>
              <w:jc w:val="both"/>
              <w:rPr>
                <w:rFonts w:hint="eastAsia" w:ascii="仿宋_GB2312" w:hAnsi="仿宋_GB2312" w:eastAsia="仿宋_GB2312" w:cs="仿宋_GB2312"/>
                <w:sz w:val="21"/>
                <w:szCs w:val="21"/>
                <w:lang w:val="en-US"/>
              </w:rPr>
            </w:pPr>
          </w:p>
          <w:p>
            <w:pPr>
              <w:rPr>
                <w:rFonts w:hint="eastAsia" w:ascii="仿宋_GB2312" w:hAnsi="仿宋_GB2312" w:eastAsia="仿宋_GB2312" w:cs="仿宋_GB2312"/>
                <w:kern w:val="2"/>
                <w:sz w:val="21"/>
                <w:szCs w:val="21"/>
                <w:lang w:val="en-US" w:eastAsia="zh-CN" w:bidi="ar-SA"/>
              </w:rPr>
            </w:pPr>
          </w:p>
          <w:p>
            <w:pPr>
              <w:rPr>
                <w:rFonts w:hint="eastAsia" w:ascii="仿宋_GB2312" w:hAnsi="仿宋_GB2312" w:eastAsia="仿宋_GB2312" w:cs="仿宋_GB2312"/>
                <w:kern w:val="2"/>
                <w:sz w:val="21"/>
                <w:szCs w:val="21"/>
                <w:lang w:val="en-US" w:eastAsia="zh-CN" w:bidi="ar-SA"/>
              </w:rPr>
            </w:pPr>
          </w:p>
          <w:p>
            <w:pPr>
              <w:rPr>
                <w:rFonts w:hint="eastAsia" w:ascii="仿宋_GB2312" w:hAnsi="仿宋_GB2312" w:eastAsia="仿宋_GB2312" w:cs="仿宋_GB2312"/>
                <w:kern w:val="2"/>
                <w:sz w:val="21"/>
                <w:szCs w:val="21"/>
                <w:lang w:val="en-US" w:eastAsia="zh-CN" w:bidi="ar-SA"/>
              </w:rPr>
            </w:pPr>
          </w:p>
          <w:p>
            <w:pPr>
              <w:ind w:firstLine="281" w:firstLineChars="0"/>
              <w:jc w:val="left"/>
              <w:rPr>
                <w:rFonts w:hint="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420" w:type="dxa"/>
            <w:vMerge w:val="continue"/>
            <w:tcBorders>
              <w:left w:val="single" w:color="auto" w:sz="4" w:space="0"/>
              <w:right w:val="single" w:color="000000" w:sz="4" w:space="0"/>
            </w:tcBorders>
            <w:shd w:val="clear" w:color="auto" w:fill="auto"/>
            <w:textDirection w:val="lrTb"/>
            <w:vAlign w:val="center"/>
          </w:tcPr>
          <w:p>
            <w:pPr>
              <w:widowControl/>
              <w:jc w:val="left"/>
              <w:rPr>
                <w:rFonts w:hint="eastAsia" w:ascii="仿宋_GB2312" w:hAnsi="仿宋_GB2312" w:eastAsia="仿宋_GB2312" w:cs="仿宋_GB2312"/>
                <w:b/>
                <w:kern w:val="0"/>
                <w:sz w:val="21"/>
                <w:szCs w:val="21"/>
                <w:lang w:val="en-US" w:eastAsia="zh-CN" w:bidi="ar"/>
              </w:rPr>
            </w:pPr>
          </w:p>
        </w:tc>
        <w:tc>
          <w:tcPr>
            <w:tcW w:w="8125" w:type="dxa"/>
            <w:tcBorders>
              <w:top w:val="single" w:color="auto" w:sz="4" w:space="0"/>
              <w:left w:val="nil"/>
              <w:bottom w:val="single" w:color="auto" w:sz="4" w:space="0"/>
              <w:right w:val="single" w:color="000000" w:sz="4" w:space="0"/>
            </w:tcBorders>
            <w:shd w:val="clear" w:color="auto" w:fill="auto"/>
            <w:textDirection w:val="lrTb"/>
            <w:vAlign w:val="top"/>
          </w:tcPr>
          <w:p>
            <w:pPr>
              <w:snapToGrid w:val="0"/>
              <w:spacing w:line="300" w:lineRule="exac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rPr>
              <w:t>九、</w:t>
            </w:r>
            <w:r>
              <w:rPr>
                <w:rFonts w:hint="eastAsia" w:ascii="仿宋_GB2312" w:hAnsi="仿宋_GB2312" w:eastAsia="仿宋_GB2312" w:cs="仿宋_GB2312"/>
                <w:color w:val="222222"/>
                <w:kern w:val="0"/>
                <w:sz w:val="21"/>
                <w:szCs w:val="21"/>
              </w:rPr>
              <w:t>国家对药品实行处方药与非处方药分类管理制度。门店销售药品应当按照国家相关的管理办法执行。</w:t>
            </w:r>
          </w:p>
        </w:tc>
        <w:tc>
          <w:tcPr>
            <w:tcW w:w="1065" w:type="dxa"/>
            <w:tcBorders>
              <w:left w:val="nil"/>
              <w:bottom w:val="single" w:color="auto" w:sz="4" w:space="0"/>
              <w:right w:val="single" w:color="000000" w:sz="4" w:space="0"/>
            </w:tcBorders>
            <w:shd w:val="clear" w:color="auto" w:fill="auto"/>
            <w:textDirection w:val="lrTb"/>
            <w:vAlign w:val="center"/>
          </w:tcPr>
          <w:p>
            <w:pPr>
              <w:widowControl/>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rPr>
              <w:t>应符合标准要求</w:t>
            </w:r>
          </w:p>
        </w:tc>
        <w:tc>
          <w:tcPr>
            <w:tcW w:w="900" w:type="dxa"/>
            <w:tcBorders>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795" w:type="dxa"/>
            <w:tcBorders>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915" w:type="dxa"/>
            <w:gridSpan w:val="2"/>
            <w:tcBorders>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4" w:hRule="atLeast"/>
        </w:trPr>
        <w:tc>
          <w:tcPr>
            <w:tcW w:w="420" w:type="dxa"/>
            <w:vMerge w:val="continue"/>
            <w:tcBorders>
              <w:left w:val="single" w:color="auto" w:sz="4" w:space="0"/>
              <w:right w:val="single" w:color="000000" w:sz="4" w:space="0"/>
            </w:tcBorders>
            <w:shd w:val="clear" w:color="auto" w:fill="auto"/>
            <w:textDirection w:val="lrTb"/>
            <w:vAlign w:val="center"/>
          </w:tcPr>
          <w:p>
            <w:pPr>
              <w:widowControl/>
              <w:jc w:val="left"/>
              <w:rPr>
                <w:rFonts w:hint="eastAsia" w:ascii="仿宋_GB2312" w:hAnsi="仿宋_GB2312" w:eastAsia="仿宋_GB2312" w:cs="仿宋_GB2312"/>
                <w:b/>
                <w:kern w:val="0"/>
                <w:sz w:val="21"/>
                <w:szCs w:val="21"/>
                <w:lang w:val="en-US" w:eastAsia="zh-CN" w:bidi="ar"/>
              </w:rPr>
            </w:pPr>
          </w:p>
        </w:tc>
        <w:tc>
          <w:tcPr>
            <w:tcW w:w="8125" w:type="dxa"/>
            <w:tcBorders>
              <w:top w:val="single" w:color="auto" w:sz="4" w:space="0"/>
              <w:left w:val="nil"/>
              <w:bottom w:val="single" w:color="auto" w:sz="4" w:space="0"/>
              <w:right w:val="single" w:color="000000" w:sz="4" w:space="0"/>
            </w:tcBorders>
            <w:shd w:val="clear" w:color="auto" w:fill="auto"/>
            <w:textDirection w:val="lrTb"/>
            <w:vAlign w:val="top"/>
          </w:tcPr>
          <w:p>
            <w:pPr>
              <w:snapToGrid w:val="0"/>
              <w:spacing w:line="300" w:lineRule="exac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rPr>
              <w:t>十、门店零售药品应当准确无误，并正确说明</w:t>
            </w:r>
            <w:r>
              <w:rPr>
                <w:rFonts w:hint="eastAsia" w:ascii="仿宋_GB2312" w:hAnsi="仿宋_GB2312" w:eastAsia="仿宋_GB2312" w:cs="仿宋_GB2312"/>
                <w:color w:val="222222"/>
                <w:kern w:val="0"/>
                <w:sz w:val="21"/>
                <w:szCs w:val="21"/>
              </w:rPr>
              <w:t>用法、用量和注意事项；调配处方应当经过核对，对处方所列药品不得擅自更改或者代用。对有配伍禁忌或者超剂量的处方，应当拒绝调配；必要时，经处方医师更正或者重新签字，方可调配。</w:t>
            </w:r>
          </w:p>
        </w:tc>
        <w:tc>
          <w:tcPr>
            <w:tcW w:w="1065" w:type="dxa"/>
            <w:tcBorders>
              <w:left w:val="nil"/>
              <w:bottom w:val="single" w:color="auto" w:sz="4" w:space="0"/>
              <w:right w:val="single" w:color="000000" w:sz="4" w:space="0"/>
            </w:tcBorders>
            <w:shd w:val="clear" w:color="auto" w:fill="auto"/>
            <w:textDirection w:val="lrTb"/>
            <w:vAlign w:val="center"/>
          </w:tcPr>
          <w:p>
            <w:pPr>
              <w:widowControl/>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rPr>
              <w:t>应符合标准要求</w:t>
            </w:r>
          </w:p>
        </w:tc>
        <w:tc>
          <w:tcPr>
            <w:tcW w:w="900" w:type="dxa"/>
            <w:tcBorders>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795" w:type="dxa"/>
            <w:tcBorders>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915" w:type="dxa"/>
            <w:gridSpan w:val="2"/>
            <w:tcBorders>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420" w:type="dxa"/>
            <w:vMerge w:val="continue"/>
            <w:tcBorders>
              <w:left w:val="single" w:color="auto" w:sz="4" w:space="0"/>
              <w:right w:val="single" w:color="000000" w:sz="4" w:space="0"/>
            </w:tcBorders>
            <w:shd w:val="clear" w:color="auto" w:fill="auto"/>
            <w:textDirection w:val="lrTb"/>
            <w:vAlign w:val="center"/>
          </w:tcPr>
          <w:p>
            <w:pPr>
              <w:widowControl/>
              <w:jc w:val="left"/>
              <w:rPr>
                <w:rFonts w:hint="eastAsia" w:ascii="仿宋_GB2312" w:hAnsi="仿宋_GB2312" w:eastAsia="仿宋_GB2312" w:cs="仿宋_GB2312"/>
                <w:b/>
                <w:kern w:val="0"/>
                <w:sz w:val="21"/>
                <w:szCs w:val="21"/>
                <w:lang w:val="en-US" w:eastAsia="zh-CN" w:bidi="ar"/>
              </w:rPr>
            </w:pPr>
          </w:p>
        </w:tc>
        <w:tc>
          <w:tcPr>
            <w:tcW w:w="8125" w:type="dxa"/>
            <w:tcBorders>
              <w:top w:val="single" w:color="auto" w:sz="4" w:space="0"/>
              <w:left w:val="nil"/>
              <w:bottom w:val="single" w:color="auto" w:sz="4" w:space="0"/>
              <w:right w:val="single" w:color="000000" w:sz="4" w:space="0"/>
            </w:tcBorders>
            <w:shd w:val="clear" w:color="auto" w:fill="auto"/>
            <w:textDirection w:val="lrTb"/>
            <w:vAlign w:val="center"/>
          </w:tcPr>
          <w:p>
            <w:pPr>
              <w:snapToGrid w:val="0"/>
              <w:spacing w:line="300" w:lineRule="exact"/>
              <w:jc w:val="both"/>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rPr>
              <w:t>十一、连锁门店不得自行采购药品。</w:t>
            </w:r>
          </w:p>
        </w:tc>
        <w:tc>
          <w:tcPr>
            <w:tcW w:w="1065" w:type="dxa"/>
            <w:tcBorders>
              <w:left w:val="nil"/>
              <w:bottom w:val="single" w:color="auto" w:sz="4" w:space="0"/>
              <w:right w:val="single" w:color="000000" w:sz="4" w:space="0"/>
            </w:tcBorders>
            <w:shd w:val="clear" w:color="auto" w:fill="auto"/>
            <w:textDirection w:val="lrTb"/>
            <w:vAlign w:val="center"/>
          </w:tcPr>
          <w:p>
            <w:pPr>
              <w:widowControl/>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rPr>
              <w:t>应符合标准要求</w:t>
            </w:r>
          </w:p>
        </w:tc>
        <w:tc>
          <w:tcPr>
            <w:tcW w:w="900" w:type="dxa"/>
            <w:tcBorders>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795" w:type="dxa"/>
            <w:tcBorders>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915" w:type="dxa"/>
            <w:gridSpan w:val="2"/>
            <w:tcBorders>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trPr>
        <w:tc>
          <w:tcPr>
            <w:tcW w:w="420" w:type="dxa"/>
            <w:vMerge w:val="continue"/>
            <w:tcBorders>
              <w:top w:val="nil"/>
              <w:left w:val="single" w:color="auto" w:sz="4" w:space="0"/>
              <w:bottom w:val="single" w:color="auto" w:sz="4" w:space="0"/>
              <w:right w:val="single" w:color="000000" w:sz="4" w:space="0"/>
            </w:tcBorders>
            <w:shd w:val="clear" w:color="auto" w:fill="auto"/>
            <w:textDirection w:val="lrTb"/>
            <w:vAlign w:val="center"/>
          </w:tcPr>
          <w:p>
            <w:pPr>
              <w:widowControl/>
              <w:jc w:val="left"/>
              <w:rPr>
                <w:rFonts w:hint="eastAsia" w:ascii="仿宋_GB2312" w:hAnsi="仿宋_GB2312" w:eastAsia="仿宋_GB2312" w:cs="仿宋_GB2312"/>
                <w:kern w:val="0"/>
                <w:sz w:val="21"/>
                <w:szCs w:val="21"/>
                <w:lang w:val="en-US" w:eastAsia="zh-CN" w:bidi="ar"/>
              </w:rPr>
            </w:pPr>
          </w:p>
        </w:tc>
        <w:tc>
          <w:tcPr>
            <w:tcW w:w="8125" w:type="dxa"/>
            <w:tcBorders>
              <w:top w:val="single" w:color="auto" w:sz="4" w:space="0"/>
              <w:left w:val="nil"/>
              <w:bottom w:val="single" w:color="auto" w:sz="4" w:space="0"/>
              <w:right w:val="single" w:color="000000" w:sz="4" w:space="0"/>
            </w:tcBorders>
            <w:shd w:val="clear" w:color="auto" w:fill="auto"/>
            <w:textDirection w:val="lrTb"/>
            <w:vAlign w:val="top"/>
          </w:tcPr>
          <w:p>
            <w:pPr>
              <w:snapToGrid w:val="0"/>
              <w:spacing w:line="300" w:lineRule="exac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rPr>
              <w:t>十二、零售连锁企业应制定符合《药品经营质量管理规范》（总局令第28号）和《药品经营质量管理规范现场检查指导原则》（修订稿）要求的质量管理制度。</w:t>
            </w:r>
          </w:p>
        </w:tc>
        <w:tc>
          <w:tcPr>
            <w:tcW w:w="1065" w:type="dxa"/>
            <w:tcBorders>
              <w:top w:val="single" w:color="auto" w:sz="4" w:space="0"/>
              <w:left w:val="nil"/>
              <w:bottom w:val="single" w:color="auto" w:sz="4" w:space="0"/>
              <w:right w:val="single" w:color="000000" w:sz="4" w:space="0"/>
            </w:tcBorders>
            <w:shd w:val="clear" w:color="auto" w:fill="auto"/>
            <w:textDirection w:val="lrTb"/>
            <w:vAlign w:val="center"/>
          </w:tcPr>
          <w:p>
            <w:pPr>
              <w:spacing w:line="300" w:lineRule="exact"/>
              <w:jc w:val="center"/>
              <w:rPr>
                <w:rFonts w:hint="eastAsia" w:ascii="仿宋_GB2312" w:hAnsi="仿宋_GB2312" w:eastAsia="仿宋_GB2312" w:cs="仿宋_GB2312"/>
                <w:kern w:val="0"/>
                <w:sz w:val="21"/>
                <w:szCs w:val="21"/>
                <w:lang w:val="en-US"/>
              </w:rPr>
            </w:pPr>
            <w:r>
              <w:rPr>
                <w:rFonts w:hint="eastAsia" w:ascii="仿宋_GB2312" w:hAnsi="仿宋_GB2312" w:eastAsia="仿宋_GB2312" w:cs="仿宋_GB2312"/>
                <w:kern w:val="0"/>
                <w:sz w:val="21"/>
                <w:szCs w:val="21"/>
              </w:rPr>
              <w:t>应符合标准要求</w:t>
            </w:r>
          </w:p>
        </w:tc>
        <w:tc>
          <w:tcPr>
            <w:tcW w:w="900" w:type="dxa"/>
            <w:tcBorders>
              <w:top w:val="single" w:color="auto"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top w:val="single" w:color="auto"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795" w:type="dxa"/>
            <w:tcBorders>
              <w:top w:val="single" w:color="auto"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1020" w:type="dxa"/>
            <w:tcBorders>
              <w:top w:val="single" w:color="auto" w:sz="4" w:space="0"/>
              <w:left w:val="nil"/>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仿宋_GB2312" w:hAnsi="仿宋_GB2312" w:eastAsia="仿宋_GB2312" w:cs="仿宋_GB2312"/>
                <w:sz w:val="21"/>
                <w:szCs w:val="21"/>
                <w:lang w:val="en-US"/>
              </w:rPr>
            </w:pPr>
          </w:p>
        </w:tc>
        <w:tc>
          <w:tcPr>
            <w:tcW w:w="915" w:type="dxa"/>
            <w:gridSpan w:val="2"/>
            <w:tcBorders>
              <w:top w:val="single" w:color="auto" w:sz="4" w:space="0"/>
              <w:left w:val="nil"/>
              <w:bottom w:val="single" w:color="auto"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p>
        </w:tc>
      </w:tr>
    </w:tbl>
    <w:p>
      <w:pPr>
        <w:spacing w:line="360" w:lineRule="auto"/>
        <w:rPr>
          <w:rFonts w:ascii="仿宋_GB2312" w:eastAsia="仿宋_GB2312"/>
          <w:sz w:val="24"/>
        </w:rPr>
      </w:pPr>
      <w:r>
        <w:rPr>
          <w:rFonts w:hint="eastAsia" w:ascii="仿宋_GB2312" w:eastAsia="仿宋_GB2312"/>
          <w:sz w:val="24"/>
        </w:rPr>
        <w:t>企业法</w:t>
      </w:r>
      <w:r>
        <w:rPr>
          <w:rFonts w:hint="eastAsia" w:ascii="仿宋_GB2312" w:eastAsia="仿宋_GB2312"/>
          <w:sz w:val="24"/>
          <w:lang w:eastAsia="zh-CN"/>
        </w:rPr>
        <w:t>定</w:t>
      </w:r>
      <w:r>
        <w:rPr>
          <w:rFonts w:hint="eastAsia" w:ascii="仿宋_GB2312" w:eastAsia="仿宋_GB2312"/>
          <w:sz w:val="24"/>
        </w:rPr>
        <w:t>代表</w:t>
      </w:r>
      <w:r>
        <w:rPr>
          <w:rFonts w:hint="eastAsia" w:ascii="仿宋_GB2312" w:eastAsia="仿宋_GB2312"/>
          <w:sz w:val="24"/>
          <w:lang w:eastAsia="zh-CN"/>
        </w:rPr>
        <w:t>人</w:t>
      </w:r>
      <w:r>
        <w:rPr>
          <w:rFonts w:hint="eastAsia" w:ascii="仿宋_GB2312" w:eastAsia="仿宋_GB2312"/>
          <w:sz w:val="24"/>
        </w:rPr>
        <w:t xml:space="preserve">签字：                   </w:t>
      </w:r>
    </w:p>
    <w:p>
      <w:pPr>
        <w:jc w:val="center"/>
        <w:rPr>
          <w:rFonts w:hint="eastAsia" w:ascii="仿宋_GB2312" w:hAnsi="仿宋_GB2312" w:eastAsia="仿宋_GB2312" w:cs="仿宋_GB2312"/>
        </w:rPr>
      </w:pPr>
      <w:r>
        <w:rPr>
          <w:rFonts w:hint="eastAsia" w:ascii="仿宋_GB2312" w:hAnsi="仿宋_GB2312" w:eastAsia="仿宋_GB2312" w:cs="仿宋_GB2312"/>
          <w:lang w:eastAsia="zh-CN"/>
        </w:rPr>
        <w:t>检查人员</w:t>
      </w:r>
      <w:r>
        <w:rPr>
          <w:rFonts w:hint="eastAsia" w:ascii="仿宋_GB2312" w:hAnsi="仿宋_GB2312" w:eastAsia="仿宋_GB2312" w:cs="仿宋_GB2312"/>
        </w:rPr>
        <w:t xml:space="preserve">签名：                                   </w:t>
      </w:r>
      <w:r>
        <w:rPr>
          <w:rFonts w:hint="eastAsia" w:ascii="仿宋_GB2312" w:hAnsi="仿宋_GB2312" w:eastAsia="仿宋_GB2312" w:cs="仿宋_GB2312"/>
          <w:lang w:eastAsia="zh-CN"/>
        </w:rPr>
        <w:t>申请人</w:t>
      </w:r>
      <w:r>
        <w:rPr>
          <w:rFonts w:hint="eastAsia" w:ascii="仿宋_GB2312" w:hAnsi="仿宋_GB2312" w:eastAsia="仿宋_GB2312" w:cs="仿宋_GB2312"/>
        </w:rPr>
        <w:t>阅后签名：</w:t>
      </w:r>
    </w:p>
    <w:p>
      <w:pPr>
        <w:jc w:val="center"/>
        <w:rPr>
          <w:rFonts w:hint="eastAsia" w:ascii="仿宋_GB2312" w:hAnsi="仿宋_GB2312" w:eastAsia="仿宋_GB2312" w:cs="仿宋_GB2312"/>
        </w:rPr>
      </w:pPr>
      <w:r>
        <w:rPr>
          <w:rFonts w:hint="eastAsia" w:ascii="仿宋_GB2312" w:hAnsi="仿宋_GB2312" w:eastAsia="仿宋_GB2312" w:cs="仿宋_GB2312"/>
        </w:rPr>
        <w:t>日  期：                                           日  期：</w:t>
      </w:r>
    </w:p>
    <w:p>
      <w:pPr>
        <w:keepNext w:val="0"/>
        <w:keepLines w:val="0"/>
        <w:pageBreakBefore w:val="0"/>
        <w:widowControl w:val="0"/>
        <w:kinsoku/>
        <w:wordWrap/>
        <w:overflowPunct/>
        <w:topLinePunct w:val="0"/>
        <w:autoSpaceDE/>
        <w:autoSpaceDN w:val="0"/>
        <w:bidi w:val="0"/>
        <w:adjustRightInd/>
        <w:snapToGrid w:val="0"/>
        <w:spacing w:line="240" w:lineRule="exact"/>
        <w:ind w:left="0" w:leftChars="0" w:right="0" w:rightChars="0"/>
        <w:jc w:val="both"/>
        <w:textAlignment w:val="auto"/>
        <w:outlineLvl w:val="9"/>
        <w:rPr>
          <w:rFonts w:hint="eastAsia" w:ascii="仿宋" w:hAnsi="仿宋" w:eastAsia="仿宋"/>
          <w:sz w:val="21"/>
          <w:szCs w:val="21"/>
        </w:rPr>
      </w:pPr>
      <w:r>
        <w:rPr>
          <w:rFonts w:hint="eastAsia" w:ascii="仿宋" w:hAnsi="仿宋" w:eastAsia="仿宋" w:cs="仿宋"/>
          <w:sz w:val="21"/>
          <w:szCs w:val="21"/>
        </w:rPr>
        <w:t>附则</w:t>
      </w:r>
      <w:r>
        <w:rPr>
          <w:rFonts w:hint="eastAsia" w:ascii="仿宋" w:hAnsi="仿宋" w:eastAsia="仿宋" w:cs="仿宋"/>
          <w:sz w:val="21"/>
          <w:szCs w:val="21"/>
          <w:lang w:eastAsia="zh-CN"/>
        </w:rPr>
        <w:t>：</w:t>
      </w:r>
      <w:r>
        <w:rPr>
          <w:rFonts w:hint="eastAsia" w:ascii="仿宋" w:hAnsi="仿宋" w:eastAsia="仿宋"/>
          <w:sz w:val="21"/>
          <w:szCs w:val="21"/>
        </w:rPr>
        <w:t>1.本自查表根据《药品管理法》、《药品管理法</w:t>
      </w:r>
      <w:r>
        <w:rPr>
          <w:rFonts w:hint="eastAsia" w:ascii="仿宋" w:hAnsi="仿宋" w:eastAsia="仿宋"/>
          <w:sz w:val="21"/>
          <w:szCs w:val="21"/>
          <w:lang w:eastAsia="zh-CN"/>
        </w:rPr>
        <w:t>实施条例</w:t>
      </w:r>
      <w:r>
        <w:rPr>
          <w:rFonts w:hint="eastAsia" w:ascii="仿宋" w:hAnsi="仿宋" w:eastAsia="仿宋"/>
          <w:sz w:val="21"/>
          <w:szCs w:val="21"/>
        </w:rPr>
        <w:t>》</w:t>
      </w:r>
      <w:r>
        <w:rPr>
          <w:rFonts w:hint="eastAsia" w:ascii="仿宋" w:hAnsi="仿宋" w:eastAsia="仿宋"/>
          <w:sz w:val="21"/>
          <w:szCs w:val="21"/>
          <w:lang w:eastAsia="zh-CN"/>
        </w:rPr>
        <w:t>、《药品经营许可证管理办法》、</w:t>
      </w:r>
      <w:r>
        <w:rPr>
          <w:rFonts w:hint="eastAsia" w:ascii="仿宋" w:hAnsi="仿宋" w:eastAsia="仿宋"/>
          <w:sz w:val="21"/>
          <w:szCs w:val="21"/>
        </w:rPr>
        <w:t>《云南省药品监督管理局关于进一步促进药品零售企业健康发展的意见》（云药监规〔2019〕1号）</w:t>
      </w:r>
      <w:r>
        <w:rPr>
          <w:rFonts w:hint="eastAsia" w:ascii="仿宋" w:hAnsi="仿宋" w:eastAsia="仿宋"/>
          <w:sz w:val="21"/>
          <w:szCs w:val="21"/>
          <w:lang w:eastAsia="zh-CN"/>
        </w:rPr>
        <w:t>、《云南省药品零售连锁企业验收标准（试行）》</w:t>
      </w:r>
      <w:r>
        <w:rPr>
          <w:rFonts w:hint="eastAsia" w:ascii="仿宋" w:hAnsi="仿宋" w:eastAsia="仿宋"/>
          <w:sz w:val="21"/>
          <w:szCs w:val="21"/>
        </w:rPr>
        <w:t>制定</w:t>
      </w:r>
      <w:r>
        <w:rPr>
          <w:rFonts w:hint="eastAsia" w:ascii="仿宋" w:hAnsi="仿宋" w:eastAsia="仿宋"/>
          <w:sz w:val="21"/>
          <w:szCs w:val="21"/>
          <w:lang w:eastAsia="zh-CN"/>
        </w:rPr>
        <w:t>，如有与上述法律法规、文件、标准不符的，以现行的上述法律法规、文件、标准为准。</w:t>
      </w:r>
    </w:p>
    <w:p>
      <w:pPr>
        <w:keepNext w:val="0"/>
        <w:keepLines w:val="0"/>
        <w:pageBreakBefore w:val="0"/>
        <w:widowControl w:val="0"/>
        <w:kinsoku/>
        <w:wordWrap/>
        <w:overflowPunct/>
        <w:topLinePunct w:val="0"/>
        <w:autoSpaceDE/>
        <w:bidi w:val="0"/>
        <w:adjustRightInd/>
        <w:spacing w:line="240" w:lineRule="exact"/>
        <w:ind w:left="0" w:leftChars="0" w:right="0" w:rightChars="0" w:firstLine="420" w:firstLineChars="200"/>
        <w:jc w:val="both"/>
        <w:textAlignment w:val="auto"/>
        <w:outlineLvl w:val="9"/>
        <w:rPr>
          <w:rFonts w:hint="eastAsia"/>
          <w:sz w:val="28"/>
          <w:szCs w:val="28"/>
          <w:lang w:val="en-US" w:eastAsia="zh-CN"/>
        </w:rPr>
      </w:pPr>
      <w:r>
        <w:rPr>
          <w:rFonts w:hint="eastAsia" w:ascii="仿宋" w:hAnsi="仿宋" w:eastAsia="仿宋" w:cs="仿宋"/>
          <w:b w:val="0"/>
          <w:bCs/>
          <w:sz w:val="21"/>
          <w:szCs w:val="21"/>
          <w:lang w:val="en-US" w:eastAsia="zh-CN"/>
        </w:rPr>
        <w:t>2.零售</w:t>
      </w:r>
      <w:r>
        <w:rPr>
          <w:rFonts w:hint="eastAsia" w:ascii="仿宋" w:hAnsi="仿宋" w:eastAsia="仿宋" w:cs="仿宋"/>
          <w:sz w:val="21"/>
          <w:szCs w:val="21"/>
        </w:rPr>
        <w:t>连锁企业</w:t>
      </w:r>
      <w:r>
        <w:rPr>
          <w:rFonts w:hint="eastAsia" w:ascii="仿宋" w:hAnsi="仿宋" w:eastAsia="仿宋" w:cs="仿宋"/>
          <w:sz w:val="21"/>
          <w:szCs w:val="21"/>
          <w:lang w:eastAsia="zh-CN"/>
        </w:rPr>
        <w:t>门店</w:t>
      </w:r>
      <w:r>
        <w:rPr>
          <w:rFonts w:hint="eastAsia" w:ascii="仿宋" w:hAnsi="仿宋" w:eastAsia="仿宋" w:cs="仿宋"/>
          <w:sz w:val="21"/>
          <w:szCs w:val="21"/>
        </w:rPr>
        <w:t>取得《药品经营许可证》后，应</w:t>
      </w:r>
      <w:r>
        <w:rPr>
          <w:rFonts w:hint="eastAsia" w:ascii="仿宋" w:hAnsi="仿宋" w:eastAsia="仿宋" w:cs="仿宋"/>
          <w:sz w:val="21"/>
          <w:szCs w:val="21"/>
          <w:lang w:eastAsia="zh-CN"/>
        </w:rPr>
        <w:t>当</w:t>
      </w:r>
      <w:r>
        <w:rPr>
          <w:rFonts w:hint="eastAsia" w:ascii="仿宋" w:hAnsi="仿宋" w:eastAsia="仿宋" w:cs="仿宋"/>
          <w:sz w:val="21"/>
          <w:szCs w:val="21"/>
        </w:rPr>
        <w:t>按</w:t>
      </w:r>
      <w:r>
        <w:rPr>
          <w:rFonts w:hint="eastAsia" w:ascii="仿宋" w:hAnsi="仿宋" w:eastAsia="仿宋" w:cs="仿宋"/>
          <w:sz w:val="21"/>
          <w:szCs w:val="21"/>
          <w:lang w:eastAsia="zh-CN"/>
        </w:rPr>
        <w:t>照</w:t>
      </w:r>
      <w:r>
        <w:rPr>
          <w:rFonts w:hint="eastAsia" w:ascii="仿宋" w:hAnsi="仿宋" w:eastAsia="仿宋" w:cs="仿宋"/>
          <w:sz w:val="21"/>
          <w:szCs w:val="21"/>
        </w:rPr>
        <w:t>《药品经营质量管理规范》（总局令第</w:t>
      </w:r>
      <w:r>
        <w:rPr>
          <w:rFonts w:hint="eastAsia" w:ascii="仿宋" w:hAnsi="仿宋" w:eastAsia="仿宋" w:cs="仿宋"/>
          <w:sz w:val="21"/>
          <w:szCs w:val="21"/>
          <w:lang w:val="en-US" w:eastAsia="zh-CN"/>
        </w:rPr>
        <w:t>28</w:t>
      </w:r>
      <w:r>
        <w:rPr>
          <w:rFonts w:hint="eastAsia" w:ascii="仿宋" w:hAnsi="仿宋" w:eastAsia="仿宋" w:cs="仿宋"/>
          <w:sz w:val="21"/>
          <w:szCs w:val="21"/>
        </w:rPr>
        <w:t>号）和《药品经营质量管理规范现场检查</w:t>
      </w:r>
      <w:r>
        <w:rPr>
          <w:rFonts w:hint="eastAsia" w:ascii="仿宋" w:hAnsi="仿宋" w:eastAsia="仿宋" w:cs="仿宋"/>
          <w:sz w:val="21"/>
          <w:szCs w:val="21"/>
          <w:lang w:eastAsia="zh-CN"/>
        </w:rPr>
        <w:t>指导原则（修订稿）</w:t>
      </w:r>
      <w:r>
        <w:rPr>
          <w:rFonts w:hint="eastAsia" w:ascii="仿宋" w:hAnsi="仿宋" w:eastAsia="仿宋" w:cs="仿宋"/>
          <w:sz w:val="21"/>
          <w:szCs w:val="21"/>
        </w:rPr>
        <w:t>》要求</w:t>
      </w:r>
      <w:r>
        <w:rPr>
          <w:rFonts w:hint="eastAsia" w:ascii="仿宋" w:hAnsi="仿宋" w:eastAsia="仿宋" w:cs="仿宋"/>
          <w:sz w:val="21"/>
          <w:szCs w:val="21"/>
          <w:lang w:eastAsia="zh-CN"/>
        </w:rPr>
        <w:t>规范药品经营行为，所在地的药品监督管理部门在</w:t>
      </w:r>
      <w:r>
        <w:rPr>
          <w:rFonts w:hint="eastAsia" w:ascii="仿宋" w:hAnsi="仿宋" w:eastAsia="仿宋" w:cs="仿宋"/>
          <w:sz w:val="21"/>
          <w:szCs w:val="21"/>
          <w:lang w:val="en-US" w:eastAsia="zh-CN"/>
        </w:rPr>
        <w:t>30个工作日内，将按照以上表格</w:t>
      </w:r>
      <w:r>
        <w:rPr>
          <w:rFonts w:hint="eastAsia" w:ascii="仿宋" w:hAnsi="仿宋" w:eastAsia="仿宋" w:cs="仿宋"/>
          <w:sz w:val="21"/>
          <w:szCs w:val="21"/>
          <w:lang w:eastAsia="zh-CN"/>
        </w:rPr>
        <w:t>内容进行现场检查，并严格按照《药品管理法》行使监管职责。</w:t>
      </w:r>
    </w:p>
    <w:p>
      <w:pPr>
        <w:rPr>
          <w:rFonts w:hint="eastAsia"/>
          <w:sz w:val="28"/>
          <w:szCs w:val="28"/>
          <w:lang w:eastAsia="zh-CN"/>
        </w:rPr>
        <w:sectPr>
          <w:pgSz w:w="16838" w:h="11906" w:orient="landscape"/>
          <w:pgMar w:top="1803" w:right="1440" w:bottom="1803" w:left="1440" w:header="851" w:footer="992" w:gutter="0"/>
          <w:cols w:space="0" w:num="1"/>
          <w:rtlGutter w:val="0"/>
          <w:docGrid w:type="lines" w:linePitch="319" w:charSpace="0"/>
        </w:sectPr>
      </w:pPr>
      <w:r>
        <w:rPr>
          <w:sz w:val="28"/>
          <w:szCs w:val="28"/>
        </w:rPr>
        <w:br w:type="page"/>
      </w:r>
    </w:p>
    <w:p>
      <w:pPr>
        <w:rPr>
          <w:rFonts w:hint="eastAsia"/>
          <w:sz w:val="28"/>
          <w:szCs w:val="28"/>
          <w:lang w:val="en-US" w:eastAsia="zh-CN"/>
        </w:rPr>
      </w:pPr>
      <w:r>
        <w:rPr>
          <w:rFonts w:hint="eastAsia"/>
          <w:sz w:val="28"/>
          <w:szCs w:val="28"/>
          <w:lang w:eastAsia="zh-CN"/>
        </w:rPr>
        <w:t>附件</w:t>
      </w:r>
      <w:r>
        <w:rPr>
          <w:rFonts w:hint="eastAsia"/>
          <w:sz w:val="28"/>
          <w:szCs w:val="28"/>
          <w:lang w:val="en-US" w:eastAsia="zh-CN"/>
        </w:rPr>
        <w:t>1-6</w:t>
      </w:r>
    </w:p>
    <w:p>
      <w:pPr>
        <w:widowControl/>
        <w:spacing w:line="560" w:lineRule="exact"/>
        <w:jc w:val="center"/>
        <w:rPr>
          <w:rFonts w:hint="eastAsia" w:cs="宋体" w:asciiTheme="majorEastAsia" w:hAnsiTheme="majorEastAsia" w:eastAsiaTheme="majorEastAsia"/>
          <w:b/>
          <w:kern w:val="0"/>
          <w:sz w:val="44"/>
          <w:szCs w:val="44"/>
        </w:rPr>
      </w:pPr>
      <w:r>
        <w:rPr>
          <w:rFonts w:hint="eastAsia" w:cs="宋体" w:asciiTheme="majorEastAsia" w:hAnsiTheme="majorEastAsia" w:eastAsiaTheme="majorEastAsia"/>
          <w:b/>
          <w:spacing w:val="-20"/>
          <w:kern w:val="0"/>
          <w:sz w:val="44"/>
          <w:szCs w:val="44"/>
          <w:lang w:eastAsia="zh-CN"/>
        </w:rPr>
        <w:t>昆明市</w:t>
      </w:r>
      <w:r>
        <w:rPr>
          <w:rFonts w:hint="eastAsia" w:cs="宋体" w:asciiTheme="majorEastAsia" w:hAnsiTheme="majorEastAsia" w:eastAsiaTheme="majorEastAsia"/>
          <w:b/>
          <w:spacing w:val="-20"/>
          <w:kern w:val="0"/>
          <w:sz w:val="44"/>
          <w:szCs w:val="44"/>
        </w:rPr>
        <w:t>零售连锁企业医疗器械经营许可“告知承诺制”</w:t>
      </w:r>
      <w:r>
        <w:rPr>
          <w:rFonts w:hint="eastAsia" w:cs="宋体" w:asciiTheme="majorEastAsia" w:hAnsiTheme="majorEastAsia" w:eastAsiaTheme="majorEastAsia"/>
          <w:b/>
          <w:kern w:val="0"/>
          <w:sz w:val="44"/>
          <w:szCs w:val="44"/>
          <w:lang w:eastAsia="zh-CN"/>
        </w:rPr>
        <w:t>后续检查</w:t>
      </w:r>
      <w:r>
        <w:rPr>
          <w:rFonts w:hint="eastAsia" w:cs="宋体" w:asciiTheme="majorEastAsia" w:hAnsiTheme="majorEastAsia" w:eastAsiaTheme="majorEastAsia"/>
          <w:b/>
          <w:kern w:val="0"/>
          <w:sz w:val="44"/>
          <w:szCs w:val="44"/>
        </w:rPr>
        <w:t>表</w:t>
      </w:r>
    </w:p>
    <w:p>
      <w:pPr>
        <w:widowControl/>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b w:val="0"/>
          <w:bCs/>
          <w:kern w:val="0"/>
          <w:sz w:val="32"/>
          <w:szCs w:val="32"/>
          <w:lang w:eastAsia="zh-CN"/>
        </w:rPr>
        <w:t>（适用于监管人员对零售连锁企业的后续检查）</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宋体" w:eastAsia="仿宋_GB2312" w:cs="宋体"/>
          <w:kern w:val="0"/>
          <w:sz w:val="24"/>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企业</w:t>
      </w:r>
      <w:r>
        <w:rPr>
          <w:rFonts w:hint="eastAsia" w:ascii="仿宋_GB2312" w:hAnsi="宋体" w:eastAsia="仿宋_GB2312" w:cs="宋体"/>
          <w:color w:val="auto"/>
          <w:kern w:val="0"/>
          <w:sz w:val="24"/>
        </w:rPr>
        <w:t>名称</w:t>
      </w:r>
      <w:r>
        <w:rPr>
          <w:rFonts w:hint="eastAsia" w:ascii="仿宋_GB2312" w:hAnsi="宋体" w:eastAsia="仿宋_GB2312" w:cs="宋体"/>
          <w:color w:val="auto"/>
          <w:kern w:val="0"/>
          <w:sz w:val="24"/>
          <w:lang w:eastAsia="zh-CN"/>
        </w:rPr>
        <w:t>（公章）</w:t>
      </w:r>
      <w:r>
        <w:rPr>
          <w:rFonts w:hint="eastAsia" w:ascii="仿宋_GB2312" w:hAnsi="宋体" w:eastAsia="仿宋_GB2312" w:cs="宋体"/>
          <w:color w:val="auto"/>
          <w:kern w:val="0"/>
          <w:sz w:val="24"/>
        </w:rPr>
        <w:t xml:space="preserve">：            </w:t>
      </w:r>
      <w:r>
        <w:rPr>
          <w:rFonts w:hint="eastAsia" w:ascii="仿宋_GB2312" w:hAnsi="宋体" w:eastAsia="仿宋_GB2312" w:cs="宋体"/>
          <w:color w:val="auto"/>
          <w:kern w:val="0"/>
          <w:sz w:val="24"/>
          <w:lang w:val="en-US" w:eastAsia="zh-CN"/>
        </w:rPr>
        <w:t xml:space="preserve">                                 </w:t>
      </w:r>
      <w:r>
        <w:rPr>
          <w:rFonts w:hint="eastAsia" w:ascii="仿宋_GB2312" w:hAnsi="宋体" w:eastAsia="仿宋_GB2312" w:cs="宋体"/>
          <w:color w:val="auto"/>
          <w:kern w:val="0"/>
          <w:sz w:val="24"/>
        </w:rPr>
        <w:t>申请事项（勾选）：□新办 □延续 □</w:t>
      </w:r>
      <w:r>
        <w:rPr>
          <w:rFonts w:hint="eastAsia" w:ascii="仿宋_GB2312" w:hAnsi="宋体" w:eastAsia="仿宋_GB2312" w:cs="宋体"/>
          <w:kern w:val="0"/>
          <w:sz w:val="24"/>
        </w:rPr>
        <w:t>变更</w:t>
      </w:r>
    </w:p>
    <w:tbl>
      <w:tblPr>
        <w:tblStyle w:val="5"/>
        <w:tblpPr w:leftFromText="180" w:rightFromText="180" w:vertAnchor="text" w:horzAnchor="page" w:tblpX="1312" w:tblpY="946"/>
        <w:tblOverlap w:val="never"/>
        <w:tblW w:w="1420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10"/>
        <w:gridCol w:w="7244"/>
        <w:gridCol w:w="1335"/>
        <w:gridCol w:w="1260"/>
        <w:gridCol w:w="1365"/>
        <w:gridCol w:w="1215"/>
        <w:gridCol w:w="11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25" w:hRule="atLeast"/>
        </w:trPr>
        <w:tc>
          <w:tcPr>
            <w:tcW w:w="610" w:type="dxa"/>
            <w:vMerge w:val="restart"/>
            <w:vAlign w:val="center"/>
          </w:tcPr>
          <w:p>
            <w:pPr>
              <w:keepNext w:val="0"/>
              <w:keepLines w:val="0"/>
              <w:pageBreakBefore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序号</w:t>
            </w:r>
          </w:p>
        </w:tc>
        <w:tc>
          <w:tcPr>
            <w:tcW w:w="7244" w:type="dxa"/>
            <w:vMerge w:val="restart"/>
            <w:vAlign w:val="center"/>
          </w:tcPr>
          <w:p>
            <w:pPr>
              <w:keepNext w:val="0"/>
              <w:keepLines w:val="0"/>
              <w:pageBreakBefore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val="0"/>
                <w:sz w:val="21"/>
                <w:szCs w:val="21"/>
              </w:rPr>
            </w:pPr>
            <w:r>
              <w:rPr>
                <w:rFonts w:hint="eastAsia" w:ascii="仿宋_GB2312" w:hAnsi="仿宋_GB2312" w:eastAsia="仿宋_GB2312" w:cs="仿宋_GB2312"/>
                <w:b/>
                <w:bCs w:val="0"/>
                <w:sz w:val="21"/>
                <w:szCs w:val="21"/>
                <w:lang w:eastAsia="zh-CN"/>
              </w:rPr>
              <w:t>检</w:t>
            </w:r>
            <w:r>
              <w:rPr>
                <w:rFonts w:hint="eastAsia" w:ascii="仿宋_GB2312" w:hAnsi="仿宋_GB2312" w:eastAsia="仿宋_GB2312" w:cs="仿宋_GB2312"/>
                <w:b/>
                <w:bCs w:val="0"/>
                <w:sz w:val="21"/>
                <w:szCs w:val="21"/>
                <w:lang w:val="en-US" w:eastAsia="zh-CN"/>
              </w:rPr>
              <w:t xml:space="preserve"> </w:t>
            </w:r>
            <w:r>
              <w:rPr>
                <w:rFonts w:hint="eastAsia" w:ascii="仿宋_GB2312" w:hAnsi="仿宋_GB2312" w:eastAsia="仿宋_GB2312" w:cs="仿宋_GB2312"/>
                <w:b/>
                <w:bCs w:val="0"/>
                <w:sz w:val="21"/>
                <w:szCs w:val="21"/>
              </w:rPr>
              <w:t>查</w:t>
            </w:r>
            <w:r>
              <w:rPr>
                <w:rFonts w:hint="eastAsia" w:ascii="仿宋_GB2312" w:hAnsi="仿宋_GB2312" w:eastAsia="仿宋_GB2312" w:cs="仿宋_GB2312"/>
                <w:b/>
                <w:bCs w:val="0"/>
                <w:sz w:val="21"/>
                <w:szCs w:val="21"/>
                <w:lang w:val="en-US" w:eastAsia="zh-CN"/>
              </w:rPr>
              <w:t xml:space="preserve"> </w:t>
            </w:r>
            <w:r>
              <w:rPr>
                <w:rFonts w:hint="eastAsia" w:ascii="仿宋_GB2312" w:hAnsi="仿宋_GB2312" w:eastAsia="仿宋_GB2312" w:cs="仿宋_GB2312"/>
                <w:b/>
                <w:bCs w:val="0"/>
                <w:sz w:val="21"/>
                <w:szCs w:val="21"/>
              </w:rPr>
              <w:t>项</w:t>
            </w:r>
            <w:r>
              <w:rPr>
                <w:rFonts w:hint="eastAsia" w:ascii="仿宋_GB2312" w:hAnsi="仿宋_GB2312" w:eastAsia="仿宋_GB2312" w:cs="仿宋_GB2312"/>
                <w:b/>
                <w:bCs w:val="0"/>
                <w:sz w:val="21"/>
                <w:szCs w:val="21"/>
                <w:lang w:val="en-US" w:eastAsia="zh-CN"/>
              </w:rPr>
              <w:t xml:space="preserve"> </w:t>
            </w:r>
            <w:r>
              <w:rPr>
                <w:rFonts w:hint="eastAsia" w:ascii="仿宋_GB2312" w:hAnsi="仿宋_GB2312" w:eastAsia="仿宋_GB2312" w:cs="仿宋_GB2312"/>
                <w:b/>
                <w:bCs w:val="0"/>
                <w:sz w:val="21"/>
                <w:szCs w:val="21"/>
              </w:rPr>
              <w:t>目</w:t>
            </w:r>
          </w:p>
        </w:tc>
        <w:tc>
          <w:tcPr>
            <w:tcW w:w="2595" w:type="dxa"/>
            <w:gridSpan w:val="2"/>
            <w:vAlign w:val="center"/>
          </w:tcPr>
          <w:p>
            <w:pPr>
              <w:keepNext w:val="0"/>
              <w:keepLines w:val="0"/>
              <w:pageBreakBefore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val="0"/>
                <w:color w:val="auto"/>
                <w:sz w:val="21"/>
                <w:szCs w:val="21"/>
                <w:lang w:eastAsia="zh-CN"/>
              </w:rPr>
            </w:pPr>
            <w:r>
              <w:rPr>
                <w:rFonts w:hint="eastAsia" w:ascii="仿宋_GB2312" w:hAnsi="仿宋_GB2312" w:eastAsia="仿宋_GB2312" w:cs="仿宋_GB2312"/>
                <w:b/>
                <w:bCs w:val="0"/>
                <w:color w:val="auto"/>
                <w:sz w:val="21"/>
                <w:szCs w:val="21"/>
                <w:lang w:eastAsia="zh-CN"/>
              </w:rPr>
              <w:t>经营实际情况与承诺内容是否相符</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val="0"/>
                <w:color w:val="auto"/>
                <w:sz w:val="21"/>
                <w:szCs w:val="21"/>
                <w:lang w:eastAsia="zh-CN"/>
              </w:rPr>
            </w:pPr>
            <w:r>
              <w:rPr>
                <w:rFonts w:hint="eastAsia" w:ascii="仿宋_GB2312" w:hAnsi="仿宋_GB2312" w:eastAsia="仿宋_GB2312" w:cs="仿宋_GB2312"/>
                <w:b/>
                <w:bCs w:val="0"/>
                <w:color w:val="auto"/>
                <w:sz w:val="21"/>
                <w:szCs w:val="21"/>
                <w:lang w:eastAsia="zh-CN"/>
              </w:rPr>
              <w:t>（打“√”）</w:t>
            </w:r>
          </w:p>
        </w:tc>
        <w:tc>
          <w:tcPr>
            <w:tcW w:w="2580" w:type="dxa"/>
            <w:gridSpan w:val="2"/>
            <w:vAlign w:val="center"/>
          </w:tcPr>
          <w:p>
            <w:pPr>
              <w:keepNext w:val="0"/>
              <w:keepLines w:val="0"/>
              <w:pageBreakBefore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b/>
                <w:bCs w:val="0"/>
                <w:color w:val="auto"/>
                <w:sz w:val="21"/>
                <w:szCs w:val="21"/>
                <w:lang w:eastAsia="zh-CN"/>
              </w:rPr>
            </w:pPr>
            <w:r>
              <w:rPr>
                <w:rFonts w:hint="eastAsia" w:ascii="仿宋_GB2312" w:hAnsi="仿宋_GB2312" w:eastAsia="仿宋_GB2312" w:cs="仿宋_GB2312"/>
                <w:b/>
                <w:bCs w:val="0"/>
                <w:color w:val="auto"/>
                <w:sz w:val="21"/>
                <w:szCs w:val="21"/>
                <w:lang w:eastAsia="zh-CN"/>
              </w:rPr>
              <w:t>经营条件是否符合要求（打“√”）</w:t>
            </w:r>
          </w:p>
        </w:tc>
        <w:tc>
          <w:tcPr>
            <w:tcW w:w="1171" w:type="dxa"/>
            <w:vAlign w:val="center"/>
          </w:tcPr>
          <w:p>
            <w:pPr>
              <w:keepNext w:val="0"/>
              <w:keepLines w:val="0"/>
              <w:pageBreakBefore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9" w:hRule="atLeast"/>
        </w:trPr>
        <w:tc>
          <w:tcPr>
            <w:tcW w:w="610" w:type="dxa"/>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b/>
                <w:sz w:val="21"/>
                <w:szCs w:val="21"/>
              </w:rPr>
            </w:pPr>
          </w:p>
        </w:tc>
        <w:tc>
          <w:tcPr>
            <w:tcW w:w="7244" w:type="dxa"/>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b/>
                <w:bCs w:val="0"/>
                <w:sz w:val="21"/>
                <w:szCs w:val="21"/>
              </w:rPr>
            </w:pPr>
          </w:p>
        </w:tc>
        <w:tc>
          <w:tcPr>
            <w:tcW w:w="1335"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118" w:firstLineChars="49"/>
              <w:jc w:val="center"/>
              <w:textAlignment w:val="auto"/>
              <w:outlineLvl w:val="9"/>
              <w:rPr>
                <w:rFonts w:hint="eastAsia" w:ascii="仿宋_GB2312" w:hAnsi="仿宋_GB2312" w:eastAsia="仿宋_GB2312" w:cs="仿宋_GB2312"/>
                <w:b/>
                <w:bCs w:val="0"/>
                <w:sz w:val="21"/>
                <w:szCs w:val="21"/>
                <w:lang w:eastAsia="zh-CN"/>
              </w:rPr>
            </w:pPr>
            <w:r>
              <w:rPr>
                <w:rFonts w:hint="eastAsia" w:ascii="仿宋_GB2312" w:hAnsi="仿宋_GB2312" w:eastAsia="仿宋_GB2312" w:cs="仿宋_GB2312"/>
                <w:b/>
                <w:bCs w:val="0"/>
                <w:sz w:val="21"/>
                <w:szCs w:val="21"/>
                <w:lang w:eastAsia="zh-CN"/>
              </w:rPr>
              <w:t>符合</w:t>
            </w:r>
          </w:p>
        </w:tc>
        <w:tc>
          <w:tcPr>
            <w:tcW w:w="1260"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b/>
                <w:sz w:val="21"/>
                <w:szCs w:val="21"/>
                <w:lang w:eastAsia="zh-CN"/>
              </w:rPr>
            </w:pPr>
            <w:r>
              <w:rPr>
                <w:rFonts w:hint="eastAsia" w:ascii="仿宋_GB2312" w:hAnsi="仿宋_GB2312" w:eastAsia="仿宋_GB2312" w:cs="仿宋_GB2312"/>
                <w:b/>
                <w:sz w:val="21"/>
                <w:szCs w:val="21"/>
                <w:lang w:eastAsia="zh-CN"/>
              </w:rPr>
              <w:t>不符合</w:t>
            </w:r>
          </w:p>
        </w:tc>
        <w:tc>
          <w:tcPr>
            <w:tcW w:w="1365"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b/>
                <w:sz w:val="21"/>
                <w:szCs w:val="21"/>
                <w:lang w:eastAsia="zh-CN"/>
              </w:rPr>
            </w:pPr>
            <w:r>
              <w:rPr>
                <w:rFonts w:hint="eastAsia" w:ascii="仿宋_GB2312" w:hAnsi="仿宋_GB2312" w:eastAsia="仿宋_GB2312" w:cs="仿宋_GB2312"/>
                <w:b/>
                <w:sz w:val="21"/>
                <w:szCs w:val="21"/>
                <w:lang w:eastAsia="zh-CN"/>
              </w:rPr>
              <w:t>符合</w:t>
            </w:r>
          </w:p>
        </w:tc>
        <w:tc>
          <w:tcPr>
            <w:tcW w:w="1215"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b/>
                <w:sz w:val="21"/>
                <w:szCs w:val="21"/>
                <w:lang w:eastAsia="zh-CN"/>
              </w:rPr>
            </w:pPr>
            <w:r>
              <w:rPr>
                <w:rFonts w:hint="eastAsia" w:ascii="仿宋_GB2312" w:hAnsi="仿宋_GB2312" w:eastAsia="仿宋_GB2312" w:cs="仿宋_GB2312"/>
                <w:b/>
                <w:sz w:val="21"/>
                <w:szCs w:val="21"/>
                <w:lang w:eastAsia="zh-CN"/>
              </w:rPr>
              <w:t>不符合</w:t>
            </w:r>
          </w:p>
        </w:tc>
        <w:tc>
          <w:tcPr>
            <w:tcW w:w="1171"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b/>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1" w:hRule="atLeast"/>
        </w:trPr>
        <w:tc>
          <w:tcPr>
            <w:tcW w:w="610"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7244" w:type="dxa"/>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FF0000"/>
                <w:kern w:val="0"/>
                <w:sz w:val="21"/>
                <w:szCs w:val="21"/>
              </w:rPr>
            </w:pPr>
            <w:r>
              <w:rPr>
                <w:rFonts w:hint="eastAsia" w:ascii="仿宋_GB2312" w:hAnsi="仿宋_GB2312" w:eastAsia="仿宋_GB2312" w:cs="仿宋_GB2312"/>
                <w:kern w:val="0"/>
                <w:sz w:val="21"/>
                <w:szCs w:val="21"/>
              </w:rPr>
              <w:t>应当具有与经营范围和经营规模相适应的经营场所和办公条件；</w:t>
            </w:r>
          </w:p>
        </w:tc>
        <w:tc>
          <w:tcPr>
            <w:tcW w:w="133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lang w:eastAsia="zh-CN"/>
              </w:rPr>
            </w:pPr>
          </w:p>
        </w:tc>
        <w:tc>
          <w:tcPr>
            <w:tcW w:w="1260"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36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21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171"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52" w:hRule="atLeast"/>
        </w:trPr>
        <w:tc>
          <w:tcPr>
            <w:tcW w:w="610"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7244" w:type="dxa"/>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应当配备陈列货架和柜台，将相关证照悬挂在醒目位置，公布市场监管部门的监督电话，设置顾客意见簿；</w:t>
            </w:r>
          </w:p>
        </w:tc>
        <w:tc>
          <w:tcPr>
            <w:tcW w:w="133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260"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36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21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171"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52" w:hRule="atLeast"/>
        </w:trPr>
        <w:tc>
          <w:tcPr>
            <w:tcW w:w="610"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7244" w:type="dxa"/>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企业法定代表人或负责人应当了解国家及地方有关医疗器械监督管理的法规、规章，对医疗器械经营质量负主要责任；</w:t>
            </w:r>
          </w:p>
        </w:tc>
        <w:tc>
          <w:tcPr>
            <w:tcW w:w="133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260"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36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21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171"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52" w:hRule="atLeast"/>
        </w:trPr>
        <w:tc>
          <w:tcPr>
            <w:tcW w:w="610"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7244" w:type="dxa"/>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应当配备国家认可的中专以上相关专业、学历或者职称的质量负责人，应当有三年以上相关工作经历并保证在职在岗；</w:t>
            </w:r>
          </w:p>
        </w:tc>
        <w:tc>
          <w:tcPr>
            <w:tcW w:w="133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260"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36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21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171"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52" w:hRule="atLeast"/>
        </w:trPr>
        <w:tc>
          <w:tcPr>
            <w:tcW w:w="610"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7244" w:type="dxa"/>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应建立医疗器械产品档案、工作销售人员健康档案和培训档案，销售人员应当经过医疗器械法规和专业知识培训，具有一定工作能力，并能行使质量管理职能；</w:t>
            </w:r>
          </w:p>
        </w:tc>
        <w:tc>
          <w:tcPr>
            <w:tcW w:w="133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260"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36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21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171"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52" w:hRule="atLeast"/>
        </w:trPr>
        <w:tc>
          <w:tcPr>
            <w:tcW w:w="610"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7244" w:type="dxa"/>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应当收集医疗器械相关法规、规章及文件；保留医疗器械进货验收、销售、不合格产品处理、顾客反馈等内容的记录，便于追溯；</w:t>
            </w:r>
          </w:p>
        </w:tc>
        <w:tc>
          <w:tcPr>
            <w:tcW w:w="133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260"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36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21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171"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52" w:hRule="atLeast"/>
        </w:trPr>
        <w:tc>
          <w:tcPr>
            <w:tcW w:w="610"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7244" w:type="dxa"/>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应当建立《医疗器械经营质量管理规范》第八条所列的，与企业经营的医疗器械相适应的质量管理制度和记录文件，并保证有效执行</w:t>
            </w:r>
          </w:p>
        </w:tc>
        <w:tc>
          <w:tcPr>
            <w:tcW w:w="133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260"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36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21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171"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83" w:hRule="atLeast"/>
        </w:trPr>
        <w:tc>
          <w:tcPr>
            <w:tcW w:w="610"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7244" w:type="dxa"/>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应当设置符合所经营医疗器械产品储存要求的拆零库或暂存区，并有明显标识；营业场所应当设置医疗器械专区或专柜，不同类别产品应当分类、分区摆放，做到标识明显，易于辨析，防止混杂；</w:t>
            </w:r>
          </w:p>
        </w:tc>
        <w:tc>
          <w:tcPr>
            <w:tcW w:w="133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260"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36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21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171"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52" w:hRule="atLeast"/>
        </w:trPr>
        <w:tc>
          <w:tcPr>
            <w:tcW w:w="610"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7244" w:type="dxa"/>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具有符合《医疗器械经营质量管理规范》第三十条要求的计算机信息管理系统，保证经营的产品可追溯；</w:t>
            </w:r>
          </w:p>
        </w:tc>
        <w:tc>
          <w:tcPr>
            <w:tcW w:w="133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260"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36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21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171"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83" w:hRule="atLeast"/>
        </w:trPr>
        <w:tc>
          <w:tcPr>
            <w:tcW w:w="610"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7244" w:type="dxa"/>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经营</w:t>
            </w:r>
            <w:r>
              <w:rPr>
                <w:rFonts w:hint="eastAsia" w:ascii="仿宋_GB2312" w:hAnsi="仿宋_GB2312" w:eastAsia="仿宋_GB2312" w:cs="仿宋_GB2312"/>
                <w:color w:val="auto"/>
                <w:kern w:val="0"/>
                <w:sz w:val="21"/>
                <w:szCs w:val="21"/>
              </w:rPr>
              <w:t>验配类医疗器械产品企业还应当</w:t>
            </w:r>
            <w:r>
              <w:rPr>
                <w:rFonts w:hint="eastAsia" w:ascii="仿宋_GB2312" w:hAnsi="仿宋_GB2312" w:eastAsia="仿宋_GB2312" w:cs="仿宋_GB2312"/>
                <w:color w:val="auto"/>
                <w:kern w:val="0"/>
                <w:sz w:val="21"/>
                <w:szCs w:val="21"/>
                <w:lang w:eastAsia="zh-CN"/>
              </w:rPr>
              <w:t>公示验配程序、验配人</w:t>
            </w:r>
            <w:bookmarkStart w:id="0" w:name="_GoBack"/>
            <w:bookmarkEnd w:id="0"/>
            <w:r>
              <w:rPr>
                <w:rFonts w:hint="eastAsia" w:ascii="仿宋_GB2312" w:hAnsi="仿宋_GB2312" w:eastAsia="仿宋_GB2312" w:cs="仿宋_GB2312"/>
                <w:color w:val="auto"/>
                <w:kern w:val="0"/>
                <w:sz w:val="21"/>
                <w:szCs w:val="21"/>
                <w:lang w:eastAsia="zh-CN"/>
              </w:rPr>
              <w:t>员资质、卫生管理制度等，</w:t>
            </w:r>
            <w:r>
              <w:rPr>
                <w:rFonts w:hint="eastAsia" w:ascii="仿宋_GB2312" w:hAnsi="仿宋_GB2312" w:eastAsia="仿宋_GB2312" w:cs="仿宋_GB2312"/>
                <w:color w:val="auto"/>
                <w:kern w:val="0"/>
                <w:sz w:val="21"/>
                <w:szCs w:val="21"/>
              </w:rPr>
              <w:t>设置</w:t>
            </w:r>
            <w:r>
              <w:rPr>
                <w:rFonts w:hint="eastAsia" w:ascii="仿宋_GB2312" w:hAnsi="仿宋_GB2312" w:eastAsia="仿宋_GB2312" w:cs="仿宋_GB2312"/>
                <w:color w:val="auto"/>
                <w:kern w:val="0"/>
                <w:sz w:val="21"/>
                <w:szCs w:val="21"/>
                <w:lang w:eastAsia="zh-CN"/>
              </w:rPr>
              <w:t>独立</w:t>
            </w:r>
            <w:r>
              <w:rPr>
                <w:rFonts w:hint="eastAsia" w:ascii="仿宋_GB2312" w:hAnsi="仿宋_GB2312" w:eastAsia="仿宋_GB2312" w:cs="仿宋_GB2312"/>
                <w:color w:val="auto"/>
                <w:kern w:val="0"/>
                <w:sz w:val="21"/>
                <w:szCs w:val="21"/>
              </w:rPr>
              <w:t>验配间、验配设施、设备</w:t>
            </w:r>
            <w:r>
              <w:rPr>
                <w:rFonts w:hint="eastAsia" w:ascii="仿宋_GB2312" w:hAnsi="仿宋_GB2312" w:eastAsia="仿宋_GB2312" w:cs="仿宋_GB2312"/>
                <w:color w:val="auto"/>
                <w:kern w:val="0"/>
                <w:sz w:val="21"/>
                <w:szCs w:val="21"/>
                <w:lang w:eastAsia="zh-CN"/>
              </w:rPr>
              <w:t>以及洗手干手装置</w:t>
            </w:r>
            <w:r>
              <w:rPr>
                <w:rFonts w:hint="eastAsia" w:ascii="仿宋_GB2312" w:hAnsi="仿宋_GB2312" w:eastAsia="仿宋_GB2312" w:cs="仿宋_GB2312"/>
                <w:color w:val="auto"/>
                <w:kern w:val="0"/>
                <w:sz w:val="21"/>
                <w:szCs w:val="21"/>
              </w:rPr>
              <w:t>等，符合验配类企业管理要求。</w:t>
            </w:r>
          </w:p>
        </w:tc>
        <w:tc>
          <w:tcPr>
            <w:tcW w:w="133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260"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36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215"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c>
          <w:tcPr>
            <w:tcW w:w="1171" w:type="dxa"/>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1"/>
                <w:szCs w:val="21"/>
              </w:rPr>
            </w:pPr>
          </w:p>
        </w:tc>
      </w:tr>
    </w:tbl>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kern w:val="0"/>
          <w:sz w:val="24"/>
        </w:rPr>
      </w:pPr>
    </w:p>
    <w:p>
      <w:pPr>
        <w:jc w:val="center"/>
        <w:rPr>
          <w:rFonts w:hint="eastAsia" w:ascii="仿宋_GB2312" w:hAnsi="仿宋_GB2312" w:eastAsia="仿宋_GB2312" w:cs="仿宋_GB2312"/>
        </w:rPr>
      </w:pPr>
      <w:r>
        <w:rPr>
          <w:rFonts w:hint="eastAsia" w:ascii="仿宋_GB2312" w:hAnsi="仿宋_GB2312" w:eastAsia="仿宋_GB2312" w:cs="仿宋_GB2312"/>
          <w:lang w:eastAsia="zh-CN"/>
        </w:rPr>
        <w:t>检查人员</w:t>
      </w:r>
      <w:r>
        <w:rPr>
          <w:rFonts w:hint="eastAsia" w:ascii="仿宋_GB2312" w:hAnsi="仿宋_GB2312" w:eastAsia="仿宋_GB2312" w:cs="仿宋_GB2312"/>
        </w:rPr>
        <w:t xml:space="preserve">签名：                          </w:t>
      </w:r>
      <w:r>
        <w:rPr>
          <w:rFonts w:hint="eastAsia" w:ascii="仿宋_GB2312" w:hAnsi="仿宋_GB2312" w:eastAsia="仿宋_GB2312" w:cs="仿宋_GB2312"/>
          <w:lang w:eastAsia="zh-CN"/>
        </w:rPr>
        <w:t>申请人</w:t>
      </w:r>
      <w:r>
        <w:rPr>
          <w:rFonts w:hint="eastAsia" w:ascii="仿宋_GB2312" w:hAnsi="仿宋_GB2312" w:eastAsia="仿宋_GB2312" w:cs="仿宋_GB2312"/>
        </w:rPr>
        <w:t>阅后签名：</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jc w:val="center"/>
        <w:rPr>
          <w:rFonts w:hint="eastAsia" w:ascii="仿宋_GB2312" w:hAnsi="仿宋_GB2312" w:eastAsia="仿宋_GB2312" w:cs="仿宋_GB2312"/>
        </w:rPr>
      </w:pPr>
      <w:r>
        <w:rPr>
          <w:rFonts w:hint="eastAsia" w:ascii="仿宋_GB2312" w:hAnsi="仿宋_GB2312" w:eastAsia="仿宋_GB2312" w:cs="仿宋_GB2312"/>
        </w:rPr>
        <w:t>日  期：                                  日  期：</w:t>
      </w:r>
    </w:p>
    <w:p>
      <w:pPr>
        <w:jc w:val="both"/>
        <w:rPr>
          <w:rFonts w:hint="eastAsia"/>
        </w:rPr>
      </w:pPr>
    </w:p>
    <w:p>
      <w:pPr>
        <w:spacing w:line="360" w:lineRule="auto"/>
        <w:rPr>
          <w:rFonts w:hint="eastAsia" w:ascii="仿宋_GB2312" w:hAnsi="仿宋_GB2312" w:eastAsia="仿宋_GB2312" w:cs="仿宋_GB2312"/>
          <w:sz w:val="28"/>
          <w:szCs w:val="28"/>
          <w:lang w:val="en-US" w:eastAsia="zh-CN"/>
        </w:rPr>
      </w:pPr>
      <w:r>
        <w:rPr>
          <w:rFonts w:hint="eastAsia" w:ascii="仿宋_GB2312" w:eastAsia="仿宋_GB2312"/>
          <w:sz w:val="28"/>
          <w:szCs w:val="28"/>
        </w:rPr>
        <w:t xml:space="preserve">             </w:t>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方正琥珀繁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等线">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黑体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mbria Math">
    <w:panose1 w:val="02040503050406030204"/>
    <w:charset w:val="00"/>
    <w:family w:val="auto"/>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体-簡">
    <w:altName w:val="MingLiU-ExtB"/>
    <w:panose1 w:val="00000000000000000000"/>
    <w:charset w:val="88"/>
    <w:family w:val="auto"/>
    <w:pitch w:val="default"/>
    <w:sig w:usb0="00000000" w:usb1="00000000" w:usb2="00000010" w:usb3="00000000" w:csb0="0010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MingLiU-ExtB">
    <w:panose1 w:val="02020500000000000000"/>
    <w:charset w:val="88"/>
    <w:family w:val="auto"/>
    <w:pitch w:val="default"/>
    <w:sig w:usb0="8000002F" w:usb1="02000008" w:usb2="00000000" w:usb3="00000000" w:csb0="0010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apple-system">
    <w:altName w:val="Latha"/>
    <w:panose1 w:val="00000000000000000000"/>
    <w:charset w:val="00"/>
    <w:family w:val="auto"/>
    <w:pitch w:val="default"/>
    <w:sig w:usb0="00000000" w:usb1="00000000" w:usb2="00000000" w:usb3="00000000" w:csb0="00000000" w:csb1="00000000"/>
  </w:font>
  <w:font w:name="Latha">
    <w:panose1 w:val="020B0604020202020204"/>
    <w:charset w:val="00"/>
    <w:family w:val="auto"/>
    <w:pitch w:val="default"/>
    <w:sig w:usb0="0010000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7C6748"/>
    <w:multiLevelType w:val="singleLevel"/>
    <w:tmpl w:val="9E7C6748"/>
    <w:lvl w:ilvl="0" w:tentative="0">
      <w:start w:val="1"/>
      <w:numFmt w:val="chineseCounting"/>
      <w:suff w:val="nothing"/>
      <w:lvlText w:val="%1、"/>
      <w:lvlJc w:val="left"/>
      <w:rPr>
        <w:rFonts w:hint="eastAsia"/>
      </w:rPr>
    </w:lvl>
  </w:abstractNum>
  <w:abstractNum w:abstractNumId="1">
    <w:nsid w:val="412F663F"/>
    <w:multiLevelType w:val="multilevel"/>
    <w:tmpl w:val="412F663F"/>
    <w:lvl w:ilvl="0" w:tentative="0">
      <w:start w:val="3"/>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0B0669"/>
    <w:rsid w:val="09872EA8"/>
    <w:rsid w:val="27754398"/>
    <w:rsid w:val="432D32F1"/>
    <w:rsid w:val="446F6A0B"/>
    <w:rsid w:val="47083897"/>
    <w:rsid w:val="6D0B0669"/>
    <w:rsid w:val="6E162863"/>
    <w:rsid w:val="7AE0048B"/>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rPr>
      <w:rFonts w:ascii="Times New Roman" w:hAnsi="Times New Roman" w:eastAsia="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2019-10-14T07:38:00Z</dcterms:created>
  <dc:creator>Administrator</dc:creator>
  <cp:lastModifiedBy>Administrator</cp:lastModifiedBy>
  <dcterms:modified xsi:type="dcterms:W3CDTF">2019-11-08T06:31:04Z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