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C7" w:rsidRPr="00E03077" w:rsidRDefault="00374AC7" w:rsidP="00E03077">
      <w:pPr>
        <w:spacing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 w:rsidRPr="00E03077">
        <w:rPr>
          <w:rFonts w:ascii="黑体" w:eastAsia="黑体" w:hAnsi="黑体" w:cs="黑体" w:hint="eastAsia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 xml:space="preserve">  </w:t>
      </w:r>
      <w:r w:rsidRPr="00E03077">
        <w:rPr>
          <w:rFonts w:ascii="黑体" w:eastAsia="黑体" w:hAnsi="黑体" w:cs="黑体" w:hint="eastAsia"/>
          <w:sz w:val="36"/>
          <w:szCs w:val="36"/>
        </w:rPr>
        <w:t>录</w:t>
      </w:r>
    </w:p>
    <w:p w:rsidR="00374AC7" w:rsidRPr="005719AB" w:rsidRDefault="00374AC7" w:rsidP="00184301">
      <w:pPr>
        <w:pStyle w:val="TOC1"/>
        <w:tabs>
          <w:tab w:val="right" w:leader="dot" w:pos="8296"/>
        </w:tabs>
        <w:rPr>
          <w:rFonts w:ascii="宋体" w:eastAsia="宋体" w:hAnsi="宋体" w:cs="Times New Roman"/>
          <w:noProof/>
          <w:sz w:val="32"/>
          <w:szCs w:val="32"/>
        </w:rPr>
      </w:pPr>
      <w:r w:rsidRPr="005719AB">
        <w:rPr>
          <w:rFonts w:ascii="宋体" w:eastAsia="宋体" w:hAnsi="宋体" w:cs="宋体"/>
          <w:sz w:val="32"/>
          <w:szCs w:val="32"/>
        </w:rPr>
        <w:fldChar w:fldCharType="begin"/>
      </w:r>
      <w:r w:rsidRPr="005719AB">
        <w:rPr>
          <w:rFonts w:ascii="宋体" w:eastAsia="宋体" w:hAnsi="宋体" w:cs="宋体"/>
          <w:sz w:val="32"/>
          <w:szCs w:val="32"/>
        </w:rPr>
        <w:instrText xml:space="preserve"> TOC \o "1-3" \n \h \z \u </w:instrText>
      </w:r>
      <w:r w:rsidRPr="005719AB">
        <w:rPr>
          <w:rFonts w:ascii="宋体" w:eastAsia="宋体" w:hAnsi="宋体" w:cs="宋体"/>
          <w:sz w:val="32"/>
          <w:szCs w:val="32"/>
        </w:rPr>
        <w:fldChar w:fldCharType="separate"/>
      </w:r>
      <w:hyperlink w:anchor="_Toc521395553" w:history="1">
        <w:r w:rsidRPr="005719AB">
          <w:rPr>
            <w:rStyle w:val="Hyperlink"/>
            <w:rFonts w:ascii="宋体" w:eastAsia="宋体" w:hAnsi="宋体" w:cs="宋体" w:hint="eastAsia"/>
            <w:noProof/>
            <w:sz w:val="32"/>
            <w:szCs w:val="32"/>
          </w:rPr>
          <w:t>一</w:t>
        </w:r>
        <w:r w:rsidRPr="005719AB">
          <w:rPr>
            <w:rStyle w:val="Hyperlink"/>
            <w:rFonts w:ascii="宋体" w:eastAsia="宋体" w:hAnsi="宋体" w:cs="宋体"/>
            <w:noProof/>
            <w:sz w:val="32"/>
            <w:szCs w:val="32"/>
          </w:rPr>
          <w:t xml:space="preserve">  </w:t>
        </w:r>
        <w:r w:rsidRPr="005719AB">
          <w:rPr>
            <w:rStyle w:val="Hyperlink"/>
            <w:rFonts w:ascii="宋体" w:eastAsia="宋体" w:hAnsi="宋体" w:cs="宋体" w:hint="eastAsia"/>
            <w:noProof/>
            <w:sz w:val="32"/>
            <w:szCs w:val="32"/>
          </w:rPr>
          <w:t>报告类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54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1.1-001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自然人纳税人信息采集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55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1.2-002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扣缴税款登记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56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1.3-003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存款账户账号报告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57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1.4-004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财务会计制度及核算软件备案报告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58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1.5-005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企业年金、职业年金扣缴报告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59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1.6-006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个人所得税递延纳税报告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0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1.7-007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跨区域涉税事项报告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1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1.8-008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跨区域涉税事项报验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2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1.9-009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跨区域涉税事项反馈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3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1.10-010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一般纳税人登记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4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1.11-011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选择按增值税小规模纳税人纳税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5" w:history="1">
        <w:r w:rsidRPr="005719AB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1.12-012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增值税一般纳税人选择简易计税方法计算缴纳增值税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6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1.13-013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欠税人处置不动产或大额资产报告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7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1.14-014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纳税人合并分立情况报告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8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1.15-015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发包、出租情况报告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69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1.16-016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变更登记（不涉及税务登记证件内容变化）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0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1.17-017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登记信息确认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1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1.18-018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实名办税认证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2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1.19-019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停业登记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3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1.20-020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复业登记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4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1.21-021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一照一码信息变更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5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1.22-022 </w:t>
        </w:r>
        <w:r>
          <w:rPr>
            <w:rStyle w:val="Hyperlink"/>
            <w:rFonts w:ascii="宋体" w:eastAsia="宋体" w:hAnsi="宋体" w:cs="宋体" w:hint="eastAsia"/>
            <w:sz w:val="32"/>
            <w:szCs w:val="32"/>
          </w:rPr>
          <w:t>清税</w:t>
        </w:r>
        <w:r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注销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（定期定额个体工商户）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6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1.23-023</w:t>
        </w:r>
        <w:r>
          <w:rPr>
            <w:rStyle w:val="Hyperlink"/>
            <w:rFonts w:ascii="宋体" w:eastAsia="宋体" w:hAnsi="宋体" w:cs="宋体"/>
            <w:sz w:val="32"/>
            <w:szCs w:val="32"/>
          </w:rPr>
          <w:t xml:space="preserve">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注销社会保险费缴费登记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7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1.24-024</w:t>
        </w:r>
        <w:r>
          <w:rPr>
            <w:rStyle w:val="Hyperlink"/>
            <w:rFonts w:ascii="宋体" w:eastAsia="宋体" w:hAnsi="宋体" w:cs="宋体"/>
            <w:sz w:val="32"/>
            <w:szCs w:val="32"/>
          </w:rPr>
          <w:t xml:space="preserve">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灵活就业人员社会保险费缴费登记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578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1.25-025</w:t>
        </w:r>
        <w:r>
          <w:rPr>
            <w:rStyle w:val="Hyperlink"/>
            <w:rFonts w:ascii="宋体" w:eastAsia="宋体" w:hAnsi="宋体" w:cs="宋体"/>
            <w:sz w:val="32"/>
            <w:szCs w:val="32"/>
          </w:rPr>
          <w:t xml:space="preserve">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社保费缴费登记</w:t>
        </w:r>
      </w:hyperlink>
    </w:p>
    <w:p w:rsidR="00374AC7" w:rsidRPr="005719AB" w:rsidRDefault="00374AC7" w:rsidP="00184301">
      <w:pPr>
        <w:pStyle w:val="TOC1"/>
        <w:tabs>
          <w:tab w:val="right" w:leader="dot" w:pos="8296"/>
        </w:tabs>
        <w:rPr>
          <w:rFonts w:ascii="宋体" w:eastAsia="宋体" w:hAnsi="宋体" w:cs="Times New Roman"/>
          <w:noProof/>
          <w:sz w:val="32"/>
          <w:szCs w:val="32"/>
        </w:rPr>
      </w:pPr>
      <w:r w:rsidRPr="005719AB">
        <w:rPr>
          <w:rFonts w:ascii="宋体" w:eastAsia="宋体" w:hAnsi="宋体" w:cs="宋体"/>
          <w:sz w:val="32"/>
          <w:szCs w:val="32"/>
        </w:rPr>
        <w:fldChar w:fldCharType="end"/>
      </w:r>
      <w:r w:rsidRPr="005719AB">
        <w:rPr>
          <w:rFonts w:ascii="宋体" w:eastAsia="宋体" w:hAnsi="宋体" w:cs="宋体"/>
          <w:sz w:val="32"/>
          <w:szCs w:val="32"/>
        </w:rPr>
        <w:fldChar w:fldCharType="begin"/>
      </w:r>
      <w:r w:rsidRPr="005719AB">
        <w:rPr>
          <w:rFonts w:ascii="宋体" w:eastAsia="宋体" w:hAnsi="宋体" w:cs="宋体"/>
          <w:sz w:val="32"/>
          <w:szCs w:val="32"/>
        </w:rPr>
        <w:instrText xml:space="preserve"> TOC \o "1-3" \n \h \z \u </w:instrText>
      </w:r>
      <w:r w:rsidRPr="005719AB">
        <w:rPr>
          <w:rFonts w:ascii="宋体" w:eastAsia="宋体" w:hAnsi="宋体" w:cs="宋体"/>
          <w:sz w:val="32"/>
          <w:szCs w:val="32"/>
        </w:rPr>
        <w:fldChar w:fldCharType="separate"/>
      </w:r>
      <w:hyperlink w:anchor="_Toc521395779" w:history="1">
        <w:r w:rsidRPr="005719AB">
          <w:rPr>
            <w:rStyle w:val="Hyperlink"/>
            <w:rFonts w:ascii="宋体" w:eastAsia="宋体" w:hAnsi="宋体" w:cs="宋体" w:hint="eastAsia"/>
            <w:noProof/>
            <w:sz w:val="32"/>
            <w:szCs w:val="32"/>
          </w:rPr>
          <w:t>二</w:t>
        </w:r>
        <w:r w:rsidRPr="005719AB">
          <w:rPr>
            <w:rStyle w:val="Hyperlink"/>
            <w:rFonts w:ascii="宋体" w:eastAsia="宋体" w:hAnsi="宋体" w:cs="宋体"/>
            <w:noProof/>
            <w:sz w:val="32"/>
            <w:szCs w:val="32"/>
          </w:rPr>
          <w:t xml:space="preserve">  </w:t>
        </w:r>
        <w:r w:rsidRPr="005719AB">
          <w:rPr>
            <w:rStyle w:val="Hyperlink"/>
            <w:rFonts w:ascii="宋体" w:eastAsia="宋体" w:hAnsi="宋体" w:cs="宋体" w:hint="eastAsia"/>
            <w:noProof/>
            <w:sz w:val="32"/>
            <w:szCs w:val="32"/>
          </w:rPr>
          <w:t>发票类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0" w:history="1">
        <w:r w:rsidRPr="005719AB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 xml:space="preserve">2.1-026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发票票种核定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1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>2.2-027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增值税专用发票（增值税税控系统）最高开票限额审批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2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2.3-028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增值税税控系统专用设备初始发行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3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2.4-029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增值税税控系统专用设备变更发行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4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2.5-030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增值税税控系统专用设备注销发行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5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2.6-031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发票领用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6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2.7-032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发票退回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7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2.8-033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代开增值税发票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8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2.9-034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发票验旧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89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2.10-035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增值税发票存根联数据采集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0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2.11-036 </w:t>
        </w:r>
        <w:r w:rsidRPr="005719AB">
          <w:rPr>
            <w:rStyle w:val="Hyperlink"/>
            <w:rFonts w:ascii="宋体" w:eastAsia="宋体" w:hAnsi="宋体" w:cs="宋体" w:hint="eastAsia"/>
            <w:sz w:val="32"/>
            <w:szCs w:val="32"/>
          </w:rPr>
          <w:t>发票认证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1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2.12-037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海关完税凭证数据采集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2" w:history="1">
        <w:r w:rsidRPr="005719AB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 xml:space="preserve">2.13-038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发票缴销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3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2.14-039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发票挂失、损毁报备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4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2.15-040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丢失被盗税控专用设备处理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5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2.16-041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红废票管理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6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2.17-042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发票票种核定调整</w:t>
        </w:r>
      </w:hyperlink>
    </w:p>
    <w:p w:rsidR="00374AC7" w:rsidRPr="005719AB" w:rsidRDefault="00374AC7" w:rsidP="002165EA">
      <w:pPr>
        <w:pStyle w:val="TOC2"/>
        <w:ind w:left="31680"/>
        <w:rPr>
          <w:rFonts w:ascii="宋体" w:eastAsia="宋体" w:hAnsi="宋体" w:cs="Times New Roman"/>
          <w:sz w:val="32"/>
          <w:szCs w:val="32"/>
        </w:rPr>
      </w:pPr>
      <w:hyperlink w:anchor="_Toc521395797" w:history="1">
        <w:r w:rsidRPr="005719AB">
          <w:rPr>
            <w:rStyle w:val="Hyperlink"/>
            <w:rFonts w:ascii="宋体" w:eastAsia="宋体" w:hAnsi="宋体" w:cs="宋体"/>
            <w:sz w:val="32"/>
            <w:szCs w:val="32"/>
          </w:rPr>
          <w:t xml:space="preserve">2.18-043 </w:t>
        </w:r>
        <w:r w:rsidRPr="005719AB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代开发票作废</w:t>
        </w:r>
      </w:hyperlink>
    </w:p>
    <w:p w:rsidR="00374AC7" w:rsidRPr="008A6018" w:rsidRDefault="00374AC7" w:rsidP="008A6018">
      <w:pPr>
        <w:pStyle w:val="TOC2"/>
        <w:ind w:leftChars="0" w:left="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r w:rsidRPr="005719AB">
        <w:rPr>
          <w:rFonts w:ascii="宋体" w:eastAsia="宋体" w:hAnsi="宋体" w:cs="宋体"/>
          <w:sz w:val="32"/>
          <w:szCs w:val="32"/>
        </w:rPr>
        <w:fldChar w:fldCharType="end"/>
      </w: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begin"/>
      </w: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instrText xml:space="preserve"> TOC \o "1-3" \n \h \z \u </w:instrText>
      </w: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separate"/>
      </w:r>
      <w:hyperlink w:anchor="_Toc521572483" w:history="1"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三</w:t>
        </w:r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 xml:space="preserve"> 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申报类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8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3.1-044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增值税一般纳税人申报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8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3.2-045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增值税小规模纳税人（非定期定额户）申报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8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3.3-046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增值税预缴申报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8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3.4-047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航空运输企业汇总缴纳增值税年度清算申报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8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3.5-048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烟类应税消费品消费税申报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8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3.6-049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酒类应税消费品消费税申报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3.7-050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成品油消费税申报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3.8-051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小汽车消费税申报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3.9-052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电池消费税申报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3.10-053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涂料消费税申报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3.11-054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其他类消费税申报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3.12-055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车辆购置税申报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3.13-056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居民企业所得税月（季）度预缴纳税申报（适用查账征收）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3.14-057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居民企业所得税月（季）度预缴纳税申报（适用核定征收）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3.15-058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居民企业所得税年度纳税申报（适用查账征收）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49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3.16-059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居民企业所得税年度纳税申报（适用核定征收）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3.17-060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居民企业清算企业所得税申报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3.18-061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非居民企业所得税季度纳税申报（适用据实申报）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3.19-062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非居民企业所得税季度纳税申报（适用核定征收）及不构成常设机构和国际运输免税申报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3.20-063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非居民企业所得税年度纳税申报（适用据实申报）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3.21-064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非居民企业所得税年度纳税申报（适用核定征收）及不构成常设机构和国际运输免税申报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3.22-065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自然人纳税人个人所得税自行纳税申报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3.23-066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生产、经营纳税人个人所得税自行纳税申报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3.24-067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房产税申报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3.25-068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城镇土地使用税申报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0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3.26-069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土地增值税纳税申报（从事房地产开发的纳税人预征适用）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3.27-070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耕地占用税申报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3.28-071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资源税申报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3.29-072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印花税申报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3.30-073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车船税申报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3.31-074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烟叶税申报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3.32-075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城市维护建设税申报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3.33-076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废弃电器电子产品处理基金申报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3.34-077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文化事业建设费申报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3.35-078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教育费附加和地方教育附加申报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1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3.36-079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定期定额个体工商户增值税申报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3.37-080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定期定额个体工商户消费税申报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3.38-081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委托代征申报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3.39-082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扣缴车船税申报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3.40-083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扣缴非居民增值税申报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3.41-084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扣缴非居民企业所得税申报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3.42-085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扣缴个人所得税申报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3.43-086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代扣代缴文化事业建设费申报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3.44-087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代扣代缴证券交易印花税申报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3.45-088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代扣代缴、代收代缴报告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2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3.46-089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财务会计报告报送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3.47-090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关联申报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3.48-091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国别报告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3.49-092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成本分摊协议副本报送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3.50-093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增值税小规模纳税人（非定期定额户）申报更正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3.51-094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增值税小规模纳税人（非定期定额户）申报作废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3.52-095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增值税一般纳税人申报更正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3.53-096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增值税一般纳税人申报作废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3.54-097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耕地占用税退税审核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3.55-098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社会保险费缴费申报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3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3.56-99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耕地占用税优惠办理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3.57-100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居民企业所得税月（季）度预缴纳税申报更正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3.58-101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居民企业所得税月（季）度预缴纳税申报作废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3.59-102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自查、评估补税及个体户补税申报</w:t>
        </w:r>
      </w:hyperlink>
    </w:p>
    <w:p w:rsidR="00374AC7" w:rsidRPr="008A6018" w:rsidRDefault="00374AC7" w:rsidP="008A6018">
      <w:pPr>
        <w:pStyle w:val="TOC2"/>
        <w:ind w:leftChars="0" w:left="0"/>
        <w:rPr>
          <w:rStyle w:val="Hyperlink"/>
          <w:rFonts w:ascii="宋体" w:eastAsia="宋体" w:cs="Times New Roman"/>
          <w:kern w:val="0"/>
          <w:sz w:val="32"/>
          <w:szCs w:val="32"/>
        </w:rPr>
      </w:pP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end"/>
      </w: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begin"/>
      </w: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instrText xml:space="preserve"> TOC \o "1-3" \n \h \z \u </w:instrText>
      </w: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separate"/>
      </w:r>
      <w:hyperlink w:anchor="_Toc521572543" w:history="1"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四</w:t>
        </w:r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 xml:space="preserve"> 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备案类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4.1-103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4.2-104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消费税优惠备案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4.3-105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车辆购置税优惠备案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4.4-106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非居民企业享受税收协定待遇办理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4.5-107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个人所得税优惠备案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4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4.6-108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股权激励或以技术成果投资入股递延纳税报告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4.7-109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非居民个人享受税收协定待遇办理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4.8-110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资源税优惠备案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4.9-111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印花税优惠备案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4.10-112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出口退（免）税备案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4.11-113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集团公司成员企业备案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4.12-114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融资租赁企业退税备案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4.13-115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边贸代理出口备案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4.14-116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出口企业放弃退（免）税权备案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4.15-117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出口企业申请出口退税提醒服务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5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4.16-118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跨境应税行为免征增值税备案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4.17-119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非居民企业股权转让适用特殊性税务处理的备案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4.18-120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服务贸易等项目对外支付税务备案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4.19-121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地方教育附加优惠备案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4.20-122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纳税人放弃增值税免（减）税权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4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4.21-123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集团公司具有免抵退税资格成员企业备案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5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4.22-124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企业年度关联业务往来报告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6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4.23-125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土地增值税优惠备案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7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4.24-126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城市维护建设税优惠备案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8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4.25-127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城镇土地使用税优惠备案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69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4.26-128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车船税优惠备案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70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4.27-129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退税商店备案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71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4.28-130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房产税优惠备案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72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4.29-131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增值税即征即退资格备案</w:t>
        </w:r>
      </w:hyperlink>
    </w:p>
    <w:p w:rsidR="00374AC7" w:rsidRPr="008A6018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572573" w:history="1">
        <w:r w:rsidRPr="008A6018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4.30-132</w:t>
        </w:r>
        <w:r w:rsidRPr="008A6018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教育费附加优惠备案</w:t>
        </w:r>
      </w:hyperlink>
    </w:p>
    <w:p w:rsidR="00374AC7" w:rsidRPr="008A6018" w:rsidRDefault="00374AC7" w:rsidP="00B0382B">
      <w:pPr>
        <w:pStyle w:val="TOC2"/>
        <w:ind w:leftChars="0" w:left="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r w:rsidRPr="008A6018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end"/>
      </w:r>
      <w:r w:rsidRPr="0073250A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begin"/>
      </w:r>
      <w:r w:rsidRPr="0073250A">
        <w:rPr>
          <w:rStyle w:val="Hyperlink"/>
          <w:rFonts w:ascii="宋体" w:eastAsia="宋体" w:hAnsi="宋体" w:cs="宋体"/>
          <w:kern w:val="0"/>
          <w:sz w:val="32"/>
          <w:szCs w:val="32"/>
        </w:rPr>
        <w:instrText xml:space="preserve"> TOC \o "1-3" \n \h \z \u </w:instrText>
      </w:r>
      <w:r w:rsidRPr="0073250A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separate"/>
      </w:r>
      <w:hyperlink w:anchor="_Toc521431370" w:history="1"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五</w:t>
        </w:r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 xml:space="preserve"> 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证明类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1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5.1-133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完税证明开具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2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5.2-134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开具个人所得税完税证明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3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5.3-135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《非居民企业汇总申报企业所得税证明》开具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4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5.4-136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丢失增值税专用发票已报税证明单开具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5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5.5-137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《车辆购置税完税证明》补办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6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5.6-138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《车辆购置税完税证明》更正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7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5.7-139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《资源税管理证明》开具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8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5.8-140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开具社会保险费缴费证明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79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5.9-141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纳税证明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80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5.10-142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通过保险机构缴纳车船税的完税凭证开具</w:t>
        </w:r>
      </w:hyperlink>
    </w:p>
    <w:p w:rsidR="00374AC7" w:rsidRPr="0073250A" w:rsidRDefault="00374AC7" w:rsidP="002165EA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hyperlink w:anchor="_Toc521431381" w:history="1">
        <w:r w:rsidRPr="0073250A">
          <w:rPr>
            <w:rStyle w:val="Hyperlink"/>
            <w:rFonts w:ascii="宋体" w:eastAsia="宋体" w:hAnsi="宋体" w:cs="宋体"/>
            <w:kern w:val="0"/>
            <w:sz w:val="32"/>
            <w:szCs w:val="32"/>
          </w:rPr>
          <w:t>5.11-143</w:t>
        </w:r>
        <w:r w:rsidRPr="0073250A">
          <w:rPr>
            <w:rStyle w:val="Hyperlink"/>
            <w:rFonts w:ascii="宋体" w:eastAsia="宋体" w:hAnsi="宋体" w:cs="宋体" w:hint="eastAsia"/>
            <w:kern w:val="0"/>
            <w:sz w:val="32"/>
            <w:szCs w:val="32"/>
          </w:rPr>
          <w:t>完税证明换开、重开</w:t>
        </w:r>
      </w:hyperlink>
    </w:p>
    <w:p w:rsidR="00374AC7" w:rsidRPr="0073250A" w:rsidRDefault="00374AC7" w:rsidP="00425EED">
      <w:pPr>
        <w:pStyle w:val="TOC2"/>
        <w:ind w:left="31680"/>
        <w:rPr>
          <w:rStyle w:val="Hyperlink"/>
          <w:rFonts w:ascii="宋体" w:eastAsia="宋体" w:hAnsi="宋体" w:cs="Times New Roman"/>
          <w:kern w:val="0"/>
          <w:sz w:val="32"/>
          <w:szCs w:val="32"/>
        </w:rPr>
      </w:pPr>
      <w:r w:rsidRPr="0073250A">
        <w:rPr>
          <w:rStyle w:val="Hyperlink"/>
          <w:rFonts w:ascii="宋体" w:eastAsia="宋体" w:hAnsi="宋体" w:cs="宋体"/>
          <w:kern w:val="0"/>
          <w:sz w:val="32"/>
          <w:szCs w:val="32"/>
        </w:rPr>
        <w:fldChar w:fldCharType="end"/>
      </w:r>
    </w:p>
    <w:sectPr w:rsidR="00374AC7" w:rsidRPr="0073250A" w:rsidSect="00CB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C7" w:rsidRDefault="00374AC7" w:rsidP="00D653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4AC7" w:rsidRDefault="00374AC7" w:rsidP="00D653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C7" w:rsidRDefault="00374AC7" w:rsidP="00D653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4AC7" w:rsidRDefault="00374AC7" w:rsidP="00D653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77"/>
    <w:rsid w:val="000633CA"/>
    <w:rsid w:val="000A4942"/>
    <w:rsid w:val="000D2286"/>
    <w:rsid w:val="00184301"/>
    <w:rsid w:val="00186E47"/>
    <w:rsid w:val="001947F3"/>
    <w:rsid w:val="001C3F9A"/>
    <w:rsid w:val="001E59F1"/>
    <w:rsid w:val="00205D3B"/>
    <w:rsid w:val="002157AF"/>
    <w:rsid w:val="002165EA"/>
    <w:rsid w:val="002438B6"/>
    <w:rsid w:val="00286ED9"/>
    <w:rsid w:val="0031589E"/>
    <w:rsid w:val="00322EB4"/>
    <w:rsid w:val="00340828"/>
    <w:rsid w:val="00374AC7"/>
    <w:rsid w:val="003A2660"/>
    <w:rsid w:val="003A3AFD"/>
    <w:rsid w:val="003B4651"/>
    <w:rsid w:val="003F2658"/>
    <w:rsid w:val="00425EED"/>
    <w:rsid w:val="00450E2D"/>
    <w:rsid w:val="00477BFE"/>
    <w:rsid w:val="00515374"/>
    <w:rsid w:val="00534163"/>
    <w:rsid w:val="005719AB"/>
    <w:rsid w:val="005931B3"/>
    <w:rsid w:val="006420A1"/>
    <w:rsid w:val="00643696"/>
    <w:rsid w:val="007004A8"/>
    <w:rsid w:val="00707501"/>
    <w:rsid w:val="0073250A"/>
    <w:rsid w:val="00752F6D"/>
    <w:rsid w:val="007647DE"/>
    <w:rsid w:val="007A1F82"/>
    <w:rsid w:val="007C2D13"/>
    <w:rsid w:val="00815BA2"/>
    <w:rsid w:val="00851926"/>
    <w:rsid w:val="00882F93"/>
    <w:rsid w:val="008A11D9"/>
    <w:rsid w:val="008A6018"/>
    <w:rsid w:val="008F73B7"/>
    <w:rsid w:val="00913A3A"/>
    <w:rsid w:val="00924B5D"/>
    <w:rsid w:val="00954976"/>
    <w:rsid w:val="00987056"/>
    <w:rsid w:val="00A36CD7"/>
    <w:rsid w:val="00B0382B"/>
    <w:rsid w:val="00B34BCB"/>
    <w:rsid w:val="00B76CCD"/>
    <w:rsid w:val="00B87F06"/>
    <w:rsid w:val="00B912BC"/>
    <w:rsid w:val="00B93809"/>
    <w:rsid w:val="00C13FCD"/>
    <w:rsid w:val="00C54417"/>
    <w:rsid w:val="00C61A93"/>
    <w:rsid w:val="00CB3FE9"/>
    <w:rsid w:val="00CC5221"/>
    <w:rsid w:val="00D537F2"/>
    <w:rsid w:val="00D62BEE"/>
    <w:rsid w:val="00D653B4"/>
    <w:rsid w:val="00E03077"/>
    <w:rsid w:val="00E24C61"/>
    <w:rsid w:val="00E41AC8"/>
    <w:rsid w:val="00E64746"/>
    <w:rsid w:val="00EC656A"/>
    <w:rsid w:val="00F106A7"/>
    <w:rsid w:val="00F34C7E"/>
    <w:rsid w:val="00F9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77"/>
    <w:pPr>
      <w:widowControl w:val="0"/>
      <w:jc w:val="both"/>
    </w:pPr>
    <w:rPr>
      <w:rFonts w:ascii="等线" w:eastAsia="等线" w:hAnsi="等线" w:cs="等线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250A"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A6018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3250A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A6018"/>
    <w:rPr>
      <w:rFonts w:ascii="Arial" w:eastAsia="黑体" w:hAnsi="Arial" w:cs="Arial"/>
      <w:b/>
      <w:bCs/>
      <w:kern w:val="2"/>
      <w:sz w:val="28"/>
      <w:szCs w:val="28"/>
      <w:lang w:val="en-US" w:eastAsia="zh-CN"/>
    </w:rPr>
  </w:style>
  <w:style w:type="character" w:styleId="Hyperlink">
    <w:name w:val="Hyperlink"/>
    <w:basedOn w:val="DefaultParagraphFont"/>
    <w:uiPriority w:val="99"/>
    <w:rsid w:val="00E0307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E03077"/>
  </w:style>
  <w:style w:type="paragraph" w:styleId="TOC2">
    <w:name w:val="toc 2"/>
    <w:basedOn w:val="Normal"/>
    <w:next w:val="Normal"/>
    <w:autoRedefine/>
    <w:uiPriority w:val="99"/>
    <w:semiHidden/>
    <w:rsid w:val="00882F93"/>
    <w:pPr>
      <w:tabs>
        <w:tab w:val="right" w:leader="dot" w:pos="8296"/>
      </w:tabs>
      <w:ind w:leftChars="200" w:left="420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D65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53B4"/>
    <w:rPr>
      <w:rFonts w:ascii="等线" w:eastAsia="等线" w:hAnsi="等线" w:cs="等线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6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53B4"/>
    <w:rPr>
      <w:rFonts w:ascii="等线" w:eastAsia="等线" w:hAnsi="等线" w:cs="等线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F73B7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86ED9"/>
    <w:rPr>
      <w:rFonts w:ascii="Times New Roman" w:eastAsia="等线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8</Pages>
  <Words>1174</Words>
  <Characters>6694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周庆云</cp:lastModifiedBy>
  <cp:revision>16</cp:revision>
  <dcterms:created xsi:type="dcterms:W3CDTF">2018-06-22T00:38:00Z</dcterms:created>
  <dcterms:modified xsi:type="dcterms:W3CDTF">2018-12-25T09:14:00Z</dcterms:modified>
</cp:coreProperties>
</file>