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outlineLvl w:val="0"/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  <w:lang w:eastAsia="zh-CN"/>
        </w:rPr>
        <w:t>昆明经济技术开发区</w:t>
      </w: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  <w:t>第四次全国经济普查公报（第七号）</w:t>
      </w:r>
    </w:p>
    <w:p>
      <w:pPr>
        <w:widowControl/>
        <w:spacing w:line="600" w:lineRule="exact"/>
        <w:jc w:val="center"/>
        <w:outlineLvl w:val="0"/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  <w:t>——分区域单位和从业人员情况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pStyle w:val="2"/>
        <w:jc w:val="center"/>
        <w:rPr>
          <w:rFonts w:hint="default" w:ascii="Times New Roman" w:hAnsi="Times New Roman" w:eastAsia="楷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昆明经济技术开发区经济发展局</w:t>
      </w:r>
    </w:p>
    <w:p>
      <w:pPr>
        <w:jc w:val="center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sz w:val="32"/>
          <w:szCs w:val="32"/>
        </w:rPr>
        <w:t>昆明经济技术开发区第四次全国经济普查领导小组办公室</w:t>
      </w:r>
    </w:p>
    <w:p>
      <w:pPr>
        <w:jc w:val="center"/>
        <w:rPr>
          <w:rFonts w:hint="default" w:ascii="Times New Roman" w:hAnsi="Times New Roman" w:eastAsia="楷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2020年5月9日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根据第四次全国经济普查结果，现将我区分区域的单位和从业人员基本情况公布如下：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1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2018年末，经开区拥有法人单位147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个。其中，阿拉街道办事处1775个，占12.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%，经济技术开发区75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个，占5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%，洛羊街道办事处5469个，占3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经开区拥有产业活动单位1541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个。其中，阿拉街道办事处1891个，占12.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%，经济技术开发区78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个，占50.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%，洛羊街道办事处5682个，占36.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%（详见表7-1）。</w:t>
      </w:r>
    </w:p>
    <w:tbl>
      <w:tblPr>
        <w:tblStyle w:val="8"/>
        <w:tblW w:w="858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51"/>
        <w:gridCol w:w="1729"/>
        <w:gridCol w:w="1329"/>
        <w:gridCol w:w="1615"/>
        <w:gridCol w:w="11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8580" w:type="dxa"/>
            <w:gridSpan w:val="5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表7-1按地区分组的法人单位和产业活动单位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751" w:type="dxa"/>
            <w:vMerge w:val="restart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4"/>
                <w:szCs w:val="24"/>
                <w:u w:val="none"/>
              </w:rPr>
            </w:pPr>
          </w:p>
        </w:tc>
        <w:tc>
          <w:tcPr>
            <w:tcW w:w="3058" w:type="dxa"/>
            <w:gridSpan w:val="2"/>
            <w:tcBorders>
              <w:top w:val="single" w:color="000000" w:sz="12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法人单位</w:t>
            </w:r>
          </w:p>
        </w:tc>
        <w:tc>
          <w:tcPr>
            <w:tcW w:w="2771" w:type="dxa"/>
            <w:gridSpan w:val="2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产业活动单位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751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4"/>
                <w:szCs w:val="24"/>
                <w:u w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数量（个）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比重（</w:t>
            </w:r>
            <w:r>
              <w:rPr>
                <w:rFonts w:hint="eastAsia" w:ascii="宋体" w:hAnsi="宋体" w:eastAsia="宋体" w:cs="宋体"/>
                <w:b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%）</w:t>
            </w:r>
          </w:p>
        </w:tc>
        <w:tc>
          <w:tcPr>
            <w:tcW w:w="1615" w:type="dxa"/>
            <w:tcBorders>
              <w:top w:val="single" w:color="000000" w:sz="8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数量（个）</w:t>
            </w:r>
          </w:p>
        </w:tc>
        <w:tc>
          <w:tcPr>
            <w:tcW w:w="1156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比重（</w:t>
            </w:r>
            <w:r>
              <w:rPr>
                <w:rFonts w:hint="eastAsia" w:ascii="宋体" w:hAnsi="宋体" w:eastAsia="宋体" w:cs="宋体"/>
                <w:b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合　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14786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1615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15418</w:t>
            </w:r>
          </w:p>
        </w:tc>
        <w:tc>
          <w:tcPr>
            <w:tcW w:w="1156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阿拉街道办事处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普照居委会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石坝居委会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阿拉居委会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高坡居委会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海子居委会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清水居委会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昆明经济技术开发区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7542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7845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昆明经济技术开发区本级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昌宏路居委会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昆船社区居委会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航天社区居委会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顺通社区居委会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洛羊街道办事处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5682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洛羊街道办事处本级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倪家营社区居委会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大冲社区居委会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大洛羊社区居委会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小洛羊社区居委会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大新册社区居委会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小新册社区居委会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黄土坡社区居委会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751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果林社区居委会</w:t>
            </w:r>
          </w:p>
        </w:tc>
        <w:tc>
          <w:tcPr>
            <w:tcW w:w="172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2892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19.6 </w:t>
            </w:r>
          </w:p>
        </w:tc>
        <w:tc>
          <w:tcPr>
            <w:tcW w:w="1615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2951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19.1 </w:t>
            </w:r>
          </w:p>
        </w:tc>
      </w:tr>
    </w:tbl>
    <w:p>
      <w:pPr>
        <w:pStyle w:val="2"/>
        <w:rPr>
          <w:rFonts w:hint="eastAsia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outlineLvl w:val="1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从业人员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2018年末，全区法人单位从业人员218309人。其中，阿拉街道办事处14330人，占6.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%，经济技术开发区117911人，占54.0%，洛羊街道办事处86068人，占39.4%（详见表7-2）。</w:t>
      </w:r>
    </w:p>
    <w:tbl>
      <w:tblPr>
        <w:tblW w:w="8580" w:type="dxa"/>
        <w:jc w:val="center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93"/>
        <w:gridCol w:w="1909"/>
        <w:gridCol w:w="2978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858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表7-2　按地区分组的法人单位从业人员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3693" w:type="dxa"/>
            <w:vMerge w:val="restart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Calibri" w:hAnsi="Calibri" w:eastAsia="宋体" w:cs="Calibri"/>
                <w:i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909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法人单位从业人员</w:t>
            </w:r>
          </w:p>
        </w:tc>
        <w:tc>
          <w:tcPr>
            <w:tcW w:w="2978" w:type="dxa"/>
            <w:vMerge w:val="restart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其中:女性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3693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（人）</w:t>
            </w:r>
          </w:p>
        </w:tc>
        <w:tc>
          <w:tcPr>
            <w:tcW w:w="2978" w:type="dxa"/>
            <w:vMerge w:val="continue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合　计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218309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76938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阿拉街道办事处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14330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普照居委会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3992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石坝居委会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4978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阿拉居委会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2557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高坡居委会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1679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海子居委会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886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清水居委会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昆明经济技术开发区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117911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昆明经济技术开发区本级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7212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昌宏路居委会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81887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昆船社区居委会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2254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航天社区居委会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2174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顺通社区居委会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24384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洛羊街道办事处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86068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14"/>
                <w:bdr w:val="none" w:color="auto" w:sz="0" w:space="0"/>
                <w:lang w:val="en-US" w:eastAsia="zh-CN" w:bidi="ar"/>
              </w:rPr>
              <w:t>洛羊街道办事处本级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倪家营社区居委会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3743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大冲社区居委会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39931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22027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大洛羊社区居委会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1932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小洛羊社区居委会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1594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大新册社区居委会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5281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小新册社区居委会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6451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黄土坡社区居委会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2067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3693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果林社区居委会</w:t>
            </w:r>
          </w:p>
        </w:tc>
        <w:tc>
          <w:tcPr>
            <w:tcW w:w="190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24901</w:t>
            </w:r>
          </w:p>
        </w:tc>
        <w:tc>
          <w:tcPr>
            <w:tcW w:w="2978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7770</w:t>
            </w:r>
          </w:p>
        </w:tc>
      </w:tr>
      <w:bookmarkEnd w:id="0"/>
    </w:tbl>
    <w:p>
      <w:pPr>
        <w:pStyle w:val="2"/>
        <w:rPr>
          <w:rFonts w:hint="eastAsia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outlineLvl w:val="1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分区域资产负债和营业收入情况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法人单位资产总计7884.49亿元。其中，阿拉街道办事处法人单位资产总计为130.22亿元，经济技术开发区法人单位资产总计为4665.83亿元，洛羊街道办事处法人单位资产总计3088.44亿元，阿拉街道办事处、经济技术开发区和洛羊街道办事处的占比分别为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%、59.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%和39.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%；法人单位负债总计为4705.09亿元。其中，阿拉街道办事处法人单位资产总计为80.02亿元，经济技术开发区法人单位负债总计2808.77亿元，洛羊街道办事处法人单位负债合计为1816.30亿元。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2018年，全区第二产业和第三产业企业法人单位实现营业收入2591.7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亿元。其中，阿拉街道办事处企业单位营业收入占比为3.6%，经济技术开发区营业收入占比为55.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%，洛羊街道办事处营业收入占比为40.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%（详见表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8"/>
        <w:gridCol w:w="1901"/>
        <w:gridCol w:w="1659"/>
        <w:gridCol w:w="18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8280" w:type="dxa"/>
            <w:gridSpan w:val="4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表7-3　按地区分组的法人单位资产负债状况和营业收入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211D1E"/>
                <w:sz w:val="24"/>
                <w:szCs w:val="24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资产总计（亿元）</w:t>
            </w:r>
          </w:p>
        </w:tc>
        <w:tc>
          <w:tcPr>
            <w:tcW w:w="1659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负债总计（亿元）</w:t>
            </w:r>
          </w:p>
        </w:tc>
        <w:tc>
          <w:tcPr>
            <w:tcW w:w="1852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营业收入（亿元）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i w:val="0"/>
                <w:color w:val="211D1E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211D1E"/>
                <w:kern w:val="0"/>
                <w:sz w:val="21"/>
                <w:szCs w:val="21"/>
                <w:u w:val="none"/>
                <w:lang w:val="en-US" w:eastAsia="zh-CN" w:bidi="ar"/>
              </w:rPr>
              <w:t>合　计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7884.49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4705.09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2591.75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阿拉街道办事处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130.22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80.02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93.28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普照居委会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26.55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16.31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22.91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石坝居委会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38.37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20.77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33.55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阿拉居委会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11.21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6.72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高坡居委会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48.01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34.79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24.69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海子居委会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2.85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清水居委会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1.68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0.41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昆明经济技术开发区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4665.83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2808.77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1440.40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昆明经济技术开发区本级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7.72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1.65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昌宏路居委会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3821.73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2286.79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1092.24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昆船社区居委会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27.60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15.33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15.82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航天社区居委会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61.28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42.10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164.04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顺通社区居委会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747.50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463.23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166.65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洛羊街道办事处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3088.44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1816.30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1058.06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洛羊街道办事处本级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0.63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0.43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1.25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倪家营社区居委会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71.26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45.82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84.26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大冲社区居委会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2240.32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1236.83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556.07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大洛羊社区居委会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36.63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28.51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18.08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小洛羊社区居委会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2.46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5.85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大新册社区居委会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166.39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83.44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98.53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小新册社区居委会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110.18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89.45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59.68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黄土坡社区居委会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69.44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46.93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8.43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2868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果林社区居委会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388.52 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282.43 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225.91 </w:t>
            </w:r>
          </w:p>
        </w:tc>
      </w:tr>
    </w:tbl>
    <w:p>
      <w:pPr>
        <w:widowControl/>
        <w:jc w:val="left"/>
        <w:rPr>
          <w:rFonts w:hint="eastAsia" w:ascii="仿宋" w:hAnsi="仿宋" w:eastAsia="仿宋" w:cs="仿宋"/>
          <w:b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bidi="ar"/>
        </w:rPr>
        <w:t>注释：</w:t>
      </w:r>
    </w:p>
    <w:p>
      <w:pPr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  <w:lang w:bidi="ar"/>
        </w:rPr>
        <w:t>[1]表中的合计数和部分计算数据因小数取舍而产生的误差，均未作机械调整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eastAsia="zh-CN" w:bidi="ar"/>
        </w:rPr>
        <w:t>。</w:t>
      </w: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D3D65"/>
    <w:rsid w:val="09124219"/>
    <w:rsid w:val="0DE02ECD"/>
    <w:rsid w:val="4FFD3D65"/>
    <w:rsid w:val="50604921"/>
    <w:rsid w:val="6072599E"/>
    <w:rsid w:val="6D586D57"/>
    <w:rsid w:val="79FE1C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Times New Roman"/>
      <w:b/>
      <w:bCs/>
      <w:kern w:val="44"/>
      <w:sz w:val="32"/>
      <w:szCs w:val="44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tabs>
        <w:tab w:val="left" w:pos="596"/>
      </w:tabs>
      <w:adjustRightInd w:val="0"/>
      <w:spacing w:before="120" w:line="360" w:lineRule="auto"/>
      <w:ind w:left="596" w:hanging="596"/>
      <w:outlineLvl w:val="1"/>
    </w:pPr>
    <w:rPr>
      <w:rFonts w:ascii="Times New Roman" w:hAnsi="Times New Roman" w:eastAsia="楷体" w:cs="Times New Roman"/>
      <w:b/>
      <w:kern w:val="0"/>
      <w:sz w:val="32"/>
      <w:szCs w:val="20"/>
    </w:rPr>
  </w:style>
  <w:style w:type="paragraph" w:styleId="6">
    <w:name w:val="heading 3"/>
    <w:basedOn w:val="1"/>
    <w:next w:val="1"/>
    <w:link w:val="12"/>
    <w:semiHidden/>
    <w:unhideWhenUsed/>
    <w:qFormat/>
    <w:uiPriority w:val="0"/>
    <w:pPr>
      <w:tabs>
        <w:tab w:val="left" w:pos="900"/>
        <w:tab w:val="left" w:pos="1588"/>
      </w:tabs>
      <w:adjustRightInd w:val="0"/>
      <w:spacing w:before="120" w:line="360" w:lineRule="auto"/>
      <w:ind w:left="1588" w:hanging="737"/>
      <w:outlineLvl w:val="2"/>
    </w:pPr>
    <w:rPr>
      <w:rFonts w:ascii="Times New Roman" w:hAnsi="Times New Roman" w:eastAsia="仿宋" w:cs="Times New Roman"/>
      <w:b/>
      <w:kern w:val="0"/>
      <w:sz w:val="32"/>
      <w:szCs w:val="20"/>
    </w:rPr>
  </w:style>
  <w:style w:type="paragraph" w:styleId="7">
    <w:name w:val="heading 4"/>
    <w:basedOn w:val="1"/>
    <w:next w:val="1"/>
    <w:link w:val="13"/>
    <w:semiHidden/>
    <w:unhideWhenUsed/>
    <w:qFormat/>
    <w:uiPriority w:val="0"/>
    <w:pPr>
      <w:keepNext/>
      <w:keepLines/>
      <w:spacing w:line="240" w:lineRule="auto"/>
      <w:ind w:firstLine="723" w:firstLineChars="200"/>
      <w:outlineLvl w:val="3"/>
    </w:pPr>
    <w:rPr>
      <w:rFonts w:eastAsia="仿宋" w:asciiTheme="majorAscii" w:hAnsiTheme="majorAscii" w:cstheme="majorBidi"/>
      <w:bCs/>
      <w:sz w:val="32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880" w:firstLineChars="200"/>
    </w:pPr>
  </w:style>
  <w:style w:type="paragraph" w:styleId="3">
    <w:name w:val="Body Text"/>
    <w:basedOn w:val="1"/>
    <w:qFormat/>
    <w:uiPriority w:val="0"/>
    <w:pPr>
      <w:spacing w:after="120" w:afterLines="0"/>
    </w:pPr>
  </w:style>
  <w:style w:type="character" w:customStyle="1" w:styleId="10">
    <w:name w:val="标题 1 Char"/>
    <w:basedOn w:val="9"/>
    <w:link w:val="4"/>
    <w:uiPriority w:val="9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11">
    <w:name w:val="标题 2 Char1"/>
    <w:link w:val="5"/>
    <w:qFormat/>
    <w:locked/>
    <w:uiPriority w:val="0"/>
    <w:rPr>
      <w:rFonts w:ascii="Times New Roman" w:hAnsi="Times New Roman" w:eastAsia="楷体" w:cs="Times New Roman"/>
      <w:b/>
      <w:kern w:val="0"/>
      <w:sz w:val="32"/>
      <w:szCs w:val="20"/>
    </w:rPr>
  </w:style>
  <w:style w:type="character" w:customStyle="1" w:styleId="12">
    <w:name w:val="标题 3 Char1"/>
    <w:link w:val="6"/>
    <w:qFormat/>
    <w:locked/>
    <w:uiPriority w:val="0"/>
    <w:rPr>
      <w:rFonts w:ascii="Times New Roman" w:hAnsi="Times New Roman" w:eastAsia="仿宋" w:cs="Times New Roman"/>
      <w:b/>
      <w:kern w:val="0"/>
      <w:sz w:val="32"/>
      <w:szCs w:val="20"/>
    </w:rPr>
  </w:style>
  <w:style w:type="character" w:customStyle="1" w:styleId="13">
    <w:name w:val="标题 4 Char"/>
    <w:basedOn w:val="9"/>
    <w:link w:val="7"/>
    <w:qFormat/>
    <w:uiPriority w:val="9"/>
    <w:rPr>
      <w:rFonts w:eastAsia="仿宋" w:asciiTheme="majorAscii" w:hAnsiTheme="majorAscii" w:cstheme="majorBidi"/>
      <w:bCs/>
      <w:sz w:val="32"/>
      <w:szCs w:val="28"/>
    </w:rPr>
  </w:style>
  <w:style w:type="character" w:customStyle="1" w:styleId="14">
    <w:name w:val="font21"/>
    <w:basedOn w:val="9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云南省昆明空港经济区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2020-06-09T08:05:00Z</dcterms:created>
  <dc:creator>shiping</dc:creator>
  <cp:lastModifiedBy>shiping</cp:lastModifiedBy>
  <dcterms:modified xsi:type="dcterms:W3CDTF">2020-06-09T08:11:11Z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