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70" w:lineRule="exact"/>
        <w:jc w:val="both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  <w:lang w:eastAsia="zh-CN"/>
        </w:rPr>
        <w:t>昆明经济技术开发区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第四次全国经济普查公报（第三号）</w:t>
      </w:r>
    </w:p>
    <w:p>
      <w:pPr>
        <w:widowControl/>
        <w:snapToGrid w:val="0"/>
        <w:spacing w:line="570" w:lineRule="exact"/>
        <w:ind w:firstLine="640" w:firstLineChars="200"/>
        <w:jc w:val="center"/>
        <w:outlineLvl w:val="0"/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kern w:val="0"/>
          <w:sz w:val="32"/>
          <w:szCs w:val="32"/>
        </w:rPr>
        <w:t>——第二产业基本情况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" w:cs="Times New Roman"/>
          <w:kern w:val="0"/>
          <w:sz w:val="32"/>
          <w:szCs w:val="32"/>
        </w:rPr>
      </w:pPr>
    </w:p>
    <w:p>
      <w:pPr>
        <w:pStyle w:val="2"/>
        <w:jc w:val="center"/>
        <w:rPr>
          <w:rFonts w:hint="default" w:ascii="Times New Roman" w:hAnsi="Times New Roman" w:eastAsia="楷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" w:cs="Times New Roman"/>
          <w:kern w:val="2"/>
          <w:sz w:val="32"/>
          <w:szCs w:val="32"/>
          <w:lang w:val="en-US" w:eastAsia="zh-CN" w:bidi="ar-SA"/>
        </w:rPr>
        <w:t>昆明经济技术开发区经济发展局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昆明经济技术开发区第四次全国经济普查领导小组办公室</w:t>
      </w:r>
    </w:p>
    <w:p>
      <w:pPr>
        <w:jc w:val="center"/>
        <w:rPr>
          <w:rFonts w:hint="default" w:ascii="Times New Roman" w:hAnsi="Times New Roman" w:eastAsia="楷体" w:cs="Times New Roman"/>
          <w:sz w:val="32"/>
          <w:szCs w:val="32"/>
        </w:rPr>
      </w:pPr>
      <w:r>
        <w:rPr>
          <w:rFonts w:hint="default" w:ascii="Times New Roman" w:hAnsi="Times New Roman" w:eastAsia="楷体" w:cs="Times New Roman"/>
          <w:sz w:val="32"/>
          <w:szCs w:val="32"/>
        </w:rPr>
        <w:t>2020年</w:t>
      </w:r>
      <w:r>
        <w:rPr>
          <w:rFonts w:hint="default" w:ascii="Times New Roman" w:hAnsi="Times New Roman" w:eastAsia="楷体" w:cs="Times New Roman"/>
          <w:sz w:val="32"/>
          <w:szCs w:val="32"/>
          <w:lang w:val="en-US" w:eastAsia="zh-CN"/>
        </w:rPr>
        <w:t>5月9日</w:t>
      </w:r>
    </w:p>
    <w:p>
      <w:pPr>
        <w:widowControl/>
        <w:spacing w:line="600" w:lineRule="exact"/>
        <w:jc w:val="left"/>
        <w:rPr>
          <w:rFonts w:ascii="宋体" w:hAnsi="宋体" w:cs="宋体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根据第四次全国经济普查结果，现将我区工业和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建筑业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的主要数据公布如下：</w:t>
      </w:r>
    </w:p>
    <w:p>
      <w:pPr>
        <w:spacing w:line="600" w:lineRule="exact"/>
        <w:ind w:firstLine="640" w:firstLineChars="200"/>
        <w:outlineLvl w:val="1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一、工业</w:t>
      </w:r>
    </w:p>
    <w:p>
      <w:pPr>
        <w:widowControl/>
        <w:spacing w:line="600" w:lineRule="exact"/>
        <w:ind w:firstLine="640" w:firstLineChars="200"/>
        <w:outlineLvl w:val="2"/>
        <w:rPr>
          <w:rFonts w:hint="eastAsia"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2018年末，全区共有工业企业法人单位1518个，比2013年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末增长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148.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从业人员37284人，比2013年末上升3.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在工业企业法人单位中，内资企业1484个，占97.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%；港、澳、台商投资企业15个，占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%；外商投资企业19个，占1.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%。内资企业中，国有企业4个，占全部企业的0.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%；集体企业5个，占0.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%；私营企业1217个，占80.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在工业企业法人单位从业人员中，内资企业占92.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%，港、澳、台商投资企业占2.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%，外商投资企业占4.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%。内资企业中，国有企业占全部企业的2.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%，集体企业占0.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%，私营企业占38.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-1）。</w:t>
      </w:r>
    </w:p>
    <w:p>
      <w:pPr>
        <w:pStyle w:val="2"/>
        <w:rPr>
          <w:rFonts w:hint="eastAsia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7"/>
        <w:gridCol w:w="2093"/>
        <w:gridCol w:w="20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50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3-1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按登记注册类型分组的工业企业法人单位和从业人员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4367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2040" w:type="dxa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67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2040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4367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93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1518</w:t>
            </w:r>
          </w:p>
        </w:tc>
        <w:tc>
          <w:tcPr>
            <w:tcW w:w="2040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37284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内资企业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1484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34542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国有企业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集体企业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股份合作企业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联营企业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有限责任公司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241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14290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股份有限公司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5109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私营企业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1217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14230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港、澳、台商投资企业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1067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  <w:jc w:val="center"/>
        </w:trPr>
        <w:tc>
          <w:tcPr>
            <w:tcW w:w="4367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外商投资企业</w:t>
            </w:r>
          </w:p>
        </w:tc>
        <w:tc>
          <w:tcPr>
            <w:tcW w:w="2093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040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1675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在工业企业法人单位中，采矿业7个，制造业1482个，电力、热力、燃气及水生产和供应业29个，分别占0.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%、97.6%和1.9%。在工业行业大类中，金属制品业、家具制造业、食品制造业企业法人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数位居前三位，分别占11.9%、11.2%和8.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在工业企业法人单位从业人员中，采矿业占0.3%，制造业占91.2%，电力、热力、燃气及水生产和供应业占8.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%。在工业行业大类中，食品制造业、专用设备制造业、化学原料和化学制品制造业从业人员数位居前三位，分别占9.7%、8.5%和7.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-2）。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60"/>
        <w:gridCol w:w="1900"/>
        <w:gridCol w:w="20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862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3-2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按行业大类分组的工业企业法人单位和从业人员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4660" w:type="dxa"/>
            <w:vMerge w:val="restart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2060" w:type="dxa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4660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2060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466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1900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1518</w:t>
            </w:r>
          </w:p>
        </w:tc>
        <w:tc>
          <w:tcPr>
            <w:tcW w:w="2060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37284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煤炭开采和洗选业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石油和天然气开采业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黑色金属矿采选业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有色金属矿采选业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 xml:space="preserve">非金属矿采选业    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开采专业及辅助性活动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其他采矿业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农副食品加工业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食品制造业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3616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酒、饮料和精制茶制造业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58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烟草制品业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纺织业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纺织服装、服饰业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皮革、毛皮、羽毛及其制品和制鞋业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木材加工和木、竹、藤、棕、草制品业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家具制造业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170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造纸和纸制品业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印刷和记录媒介复制业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1684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文教、工美、体育和娱乐用品制造业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石油、煤炭及其他燃料加工业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化学原料和化学制品制造业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医药制造业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24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化学纤维制造业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橡胶和塑料制品业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非金属矿物制品业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黑色金属冶炼和压延加工业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有色金属冶炼和压延加工业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金属制品业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181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1779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通用设备制造业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2152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专用设备制造业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3170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汽车制造业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铁路、船舶、航空航天和其他运输设备制造业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电气机械和器材制造业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计算机、通信和其他电子设备制造业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仪器仪表制造业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其他制造业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废弃资源综合利用业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金属制品、机械和设备修理业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电力、热力生产和供应业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燃气生产和供应业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2488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4660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10" w:firstLineChars="100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水的生产和供应业</w:t>
            </w:r>
          </w:p>
        </w:tc>
        <w:tc>
          <w:tcPr>
            <w:tcW w:w="1900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2060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541</w:t>
            </w:r>
          </w:p>
        </w:tc>
      </w:tr>
    </w:tbl>
    <w:p>
      <w:pPr>
        <w:widowControl/>
        <w:spacing w:line="56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</w:t>
      </w:r>
      <w:r>
        <w:rPr>
          <w:rFonts w:ascii="楷体_GB2312" w:hAnsi="楷体" w:eastAsia="楷体_GB2312" w:cs="宋体"/>
          <w:kern w:val="0"/>
          <w:sz w:val="32"/>
          <w:szCs w:val="32"/>
        </w:rPr>
        <w:t>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2018年末，工业企业法人单位资产总计1145.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38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亿元，比2013年末增长163.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690.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。全年实现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502.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-3）。</w:t>
      </w:r>
    </w:p>
    <w:tbl>
      <w:tblPr>
        <w:tblStyle w:val="8"/>
        <w:tblW w:w="81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7"/>
        <w:gridCol w:w="1768"/>
        <w:gridCol w:w="1665"/>
        <w:gridCol w:w="12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8180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3-3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按行业大类分组的工业企业法人单位主要经济指标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3497" w:type="dxa"/>
            <w:vMerge w:val="restart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8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665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250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vMerge w:val="continue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8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665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250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3497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768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1145.38 </w:t>
            </w:r>
          </w:p>
        </w:tc>
        <w:tc>
          <w:tcPr>
            <w:tcW w:w="1665" w:type="dxa"/>
            <w:tcBorders>
              <w:top w:val="single" w:color="auto" w:sz="12" w:space="0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690.16 </w:t>
            </w:r>
          </w:p>
        </w:tc>
        <w:tc>
          <w:tcPr>
            <w:tcW w:w="1250" w:type="dxa"/>
            <w:tcBorders>
              <w:top w:val="single" w:color="auto" w:sz="12" w:space="0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502.35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煤炭开采和洗选业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石油和天然气开采业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黑色金属矿采选业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有色金属矿采选业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非金属矿采选业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1.07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开采专业及辅助性活动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19.32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19.42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其他采矿业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农副食品加工业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30.48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15.95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35.11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16.41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7.88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29.15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酒、饮料和精制茶制造业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19.50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10.84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13.26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55.19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37.41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纺织服装、服饰业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0.19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皮革、毛皮、羽毛及其制品和制鞋业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0.29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木材加工和木、竹、藤、棕、草制品业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6.32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5.34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2.67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0.99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造纸和纸制品业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3.34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0.88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印刷和记录媒介复制业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20.21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8.56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13.55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文教、工美、体育和娱乐用品制造业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5.26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2.28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石油、煤炭及其他燃料加工业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化学原料和化学制品制造业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87.65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31.03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75.19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24.96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9.12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21.03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化学纤维制造业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橡胶和塑料制品业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6.81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2.46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5.57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31.72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25.87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22.66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黑色金属冶炼和压延加工业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3.96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2.39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12.33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有色金属冶炼和压延加工业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9.90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5.87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26.90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12.37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8.00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13.44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通用设备制造业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25.10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21.69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11.87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专用设备制造业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25.87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17.03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10.82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132.22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73.17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68.53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铁路、船舶、航空航天和其他运输设备制造业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0.39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0.01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电气机械和器材制造业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96.60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77.72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14.99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计算机、通信和其他电子设备制造业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58.38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53.34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仪器仪表制造业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17.54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10.12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9.09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其他制造业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0.23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废弃资源综合利用业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金属制品、机械和设备修理业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1.71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0.74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电力、热力生产和供应业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40.56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36.75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0.98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燃气生产和供应业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333.75 </w:t>
            </w:r>
          </w:p>
        </w:tc>
        <w:tc>
          <w:tcPr>
            <w:tcW w:w="1665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140.80 </w:t>
            </w:r>
          </w:p>
        </w:tc>
        <w:tc>
          <w:tcPr>
            <w:tcW w:w="1250" w:type="dxa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46.77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center"/>
        </w:trPr>
        <w:tc>
          <w:tcPr>
            <w:tcW w:w="3497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水的生产和供应业</w:t>
            </w:r>
          </w:p>
        </w:tc>
        <w:tc>
          <w:tcPr>
            <w:tcW w:w="1768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53.39 </w:t>
            </w:r>
          </w:p>
        </w:tc>
        <w:tc>
          <w:tcPr>
            <w:tcW w:w="1665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62.12 </w:t>
            </w:r>
          </w:p>
        </w:tc>
        <w:tc>
          <w:tcPr>
            <w:tcW w:w="1250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2.89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8180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both"/>
              <w:textAlignment w:val="center"/>
              <w:rPr>
                <w:rFonts w:ascii="楷体" w:hAnsi="楷体" w:eastAsia="楷体" w:cs="楷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注：表中数据因单位为亿元，可能导致部分分项数据四舍五入后为零，故分项相加数不等于合计数。</w:t>
            </w:r>
          </w:p>
        </w:tc>
      </w:tr>
    </w:tbl>
    <w:p>
      <w:pPr>
        <w:pStyle w:val="2"/>
        <w:rPr>
          <w:rFonts w:hint="eastAsia"/>
        </w:rPr>
      </w:pPr>
    </w:p>
    <w:p>
      <w:pPr>
        <w:spacing w:line="600" w:lineRule="exact"/>
        <w:ind w:firstLine="640" w:firstLineChars="200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二、建筑业</w:t>
      </w:r>
    </w:p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（一）企业法人单位数和从业人员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2018年末，全区共有建筑业企业法人单位1417个，从业人员46483人，分别比2013年末增长88.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%和250.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建筑业企业法人单位中，内资企业1415个，占99.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%。其中，国有企业占内资企业的0.2%，无集体企业，私营企业占90.7%。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建筑业企业法人单位从业人员中，内资企业占99.9%。其中，国有企业占内资企业的5.3%，无集体企业，私营企业占55.8%（详见表3-5）。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49"/>
        <w:gridCol w:w="2086"/>
        <w:gridCol w:w="2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8460" w:type="dxa"/>
            <w:gridSpan w:val="3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3-5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按登记注册类型分组的建筑业企业法人单位和从业人员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4349" w:type="dxa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333333"/>
                <w:sz w:val="18"/>
                <w:szCs w:val="18"/>
              </w:rPr>
            </w:pPr>
          </w:p>
        </w:tc>
        <w:tc>
          <w:tcPr>
            <w:tcW w:w="2086" w:type="dxa"/>
            <w:tcBorders>
              <w:top w:val="single" w:color="000000" w:sz="12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  <w:lang w:bidi="ar"/>
              </w:rPr>
              <w:t>企业法人单位（个）</w:t>
            </w:r>
          </w:p>
        </w:tc>
        <w:tc>
          <w:tcPr>
            <w:tcW w:w="2025" w:type="dxa"/>
            <w:tcBorders>
              <w:top w:val="single" w:color="000000" w:sz="12" w:space="0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333333"/>
                <w:szCs w:val="21"/>
              </w:rPr>
            </w:pPr>
            <w:r>
              <w:rPr>
                <w:rFonts w:hint="eastAsia" w:ascii="宋体" w:hAnsi="宋体" w:cs="宋体"/>
                <w:b/>
                <w:color w:val="333333"/>
                <w:kern w:val="0"/>
                <w:szCs w:val="21"/>
                <w:lang w:bidi="ar"/>
              </w:rPr>
              <w:t>从业人员（人）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4349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086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141</w:t>
            </w: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2025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464</w:t>
            </w:r>
            <w:r>
              <w:rPr>
                <w:rFonts w:hint="eastAsia"/>
                <w:b/>
                <w:color w:val="000000"/>
                <w:kern w:val="0"/>
                <w:szCs w:val="21"/>
                <w:lang w:bidi="ar"/>
              </w:rPr>
              <w:t>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211D1E"/>
                <w:szCs w:val="21"/>
              </w:rPr>
            </w:pPr>
            <w:r>
              <w:rPr>
                <w:rFonts w:hint="eastAsia" w:ascii="宋体" w:hAnsi="宋体" w:cs="宋体"/>
                <w:b/>
                <w:color w:val="211D1E"/>
                <w:kern w:val="0"/>
                <w:szCs w:val="21"/>
                <w:lang w:bidi="ar"/>
              </w:rPr>
              <w:t>内资企业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1415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46479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国有企业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2481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集体企业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股份合作企业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联营企业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有限责任公司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15033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股份有限公司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3016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私营企业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1284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25949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firstLine="210" w:firstLineChars="100"/>
              <w:textAlignment w:val="center"/>
              <w:rPr>
                <w:rFonts w:hint="eastAsia" w:ascii="宋体" w:hAnsi="宋体" w:cs="宋体"/>
                <w:color w:val="211D1E"/>
                <w:szCs w:val="21"/>
              </w:rPr>
            </w:pPr>
            <w:r>
              <w:rPr>
                <w:rFonts w:hint="eastAsia" w:ascii="宋体" w:hAnsi="宋体" w:cs="宋体"/>
                <w:color w:val="211D1E"/>
                <w:kern w:val="0"/>
                <w:szCs w:val="21"/>
                <w:lang w:bidi="ar"/>
              </w:rPr>
              <w:t>其他企业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211D1E"/>
                <w:szCs w:val="21"/>
              </w:rPr>
            </w:pPr>
            <w:r>
              <w:rPr>
                <w:rFonts w:hint="eastAsia" w:ascii="宋体" w:hAnsi="宋体" w:cs="宋体"/>
                <w:b/>
                <w:color w:val="211D1E"/>
                <w:kern w:val="0"/>
                <w:szCs w:val="21"/>
                <w:lang w:bidi="ar"/>
              </w:rPr>
              <w:t>港、澳、台商投资企业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4349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211D1E"/>
                <w:szCs w:val="21"/>
              </w:rPr>
            </w:pPr>
            <w:r>
              <w:rPr>
                <w:rFonts w:hint="eastAsia" w:ascii="宋体" w:hAnsi="宋体" w:cs="宋体"/>
                <w:b/>
                <w:color w:val="211D1E"/>
                <w:kern w:val="0"/>
                <w:szCs w:val="21"/>
                <w:lang w:bidi="ar"/>
              </w:rPr>
              <w:t>外商投资企业</w:t>
            </w:r>
          </w:p>
        </w:tc>
        <w:tc>
          <w:tcPr>
            <w:tcW w:w="2086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  <w:tc>
          <w:tcPr>
            <w:tcW w:w="2025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eastAsia="zh-CN" w:bidi="ar"/>
              </w:rPr>
              <w:t>—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建筑业企业法人单位中，房屋建筑业占18.8%，土木工程建筑业占32.7%，建筑安装业占15.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%，建筑装饰、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装修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和其他建筑业占3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建筑业企业法人单位从业人员中，房屋建筑业占33.5%，土木工程建筑业占48.4%，建筑安装业占5.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%，建筑装饰、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装修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和其他建筑业占12.2%（详见表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3-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6）。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1"/>
        <w:gridCol w:w="2100"/>
        <w:gridCol w:w="203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8520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表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3-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6按行业分组的建筑业企业法人单位和从业人员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1" w:type="dxa"/>
            <w:vMerge w:val="restart"/>
            <w:tcBorders>
              <w:top w:val="single" w:color="auto" w:sz="12" w:space="0"/>
              <w:left w:val="nil"/>
              <w:bottom w:val="nil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color="auto" w:sz="12" w:space="0"/>
              <w:left w:val="single" w:color="auto" w:sz="8" w:space="0"/>
              <w:bottom w:val="nil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企业法人单位</w:t>
            </w:r>
          </w:p>
        </w:tc>
        <w:tc>
          <w:tcPr>
            <w:tcW w:w="2039" w:type="dxa"/>
            <w:tcBorders>
              <w:top w:val="single" w:color="auto" w:sz="12" w:space="0"/>
              <w:left w:val="single" w:color="auto" w:sz="8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从业人员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4381" w:type="dxa"/>
            <w:vMerge w:val="continue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（个）</w:t>
            </w:r>
          </w:p>
        </w:tc>
        <w:tc>
          <w:tcPr>
            <w:tcW w:w="2039" w:type="dxa"/>
            <w:tcBorders>
              <w:top w:val="nil"/>
              <w:left w:val="single" w:color="auto" w:sz="8" w:space="0"/>
              <w:bottom w:val="single" w:color="auto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1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bidi="ar"/>
              </w:rPr>
              <w:t>合 计</w:t>
            </w:r>
          </w:p>
        </w:tc>
        <w:tc>
          <w:tcPr>
            <w:tcW w:w="2100" w:type="dxa"/>
            <w:tcBorders>
              <w:top w:val="single" w:color="auto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1417</w:t>
            </w:r>
          </w:p>
        </w:tc>
        <w:tc>
          <w:tcPr>
            <w:tcW w:w="2039" w:type="dxa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kern w:val="0"/>
                <w:szCs w:val="21"/>
                <w:lang w:bidi="ar"/>
              </w:rPr>
              <w:t>46483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43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房屋建筑业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267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15576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43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土木工程建筑业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464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22507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4381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建筑安装业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4381" w:type="dxa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/>
                <w:color w:val="000000"/>
                <w:kern w:val="0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建筑装饰、装修和其他建筑业</w:t>
            </w:r>
          </w:p>
        </w:tc>
        <w:tc>
          <w:tcPr>
            <w:tcW w:w="2100" w:type="dxa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467</w:t>
            </w:r>
          </w:p>
        </w:tc>
        <w:tc>
          <w:tcPr>
            <w:tcW w:w="2039" w:type="dxa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right"/>
              <w:textAlignment w:val="top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5684</w:t>
            </w:r>
          </w:p>
        </w:tc>
      </w:tr>
      <w:bookmarkEnd w:id="0"/>
    </w:tbl>
    <w:p>
      <w:pPr>
        <w:spacing w:line="40" w:lineRule="exact"/>
        <w:ind w:firstLine="200" w:firstLineChars="200"/>
        <w:rPr>
          <w:rFonts w:ascii="仿宋_GB2312" w:hAnsi="宋体" w:eastAsia="仿宋_GB2312" w:cs="宋体"/>
          <w:kern w:val="0"/>
          <w:sz w:val="10"/>
          <w:szCs w:val="10"/>
        </w:rPr>
      </w:pPr>
    </w:p>
    <w:p>
      <w:pPr>
        <w:widowControl/>
        <w:spacing w:line="600" w:lineRule="exact"/>
        <w:ind w:firstLine="640" w:firstLineChars="200"/>
        <w:outlineLvl w:val="2"/>
        <w:rPr>
          <w:rFonts w:ascii="楷体_GB2312" w:hAnsi="楷体" w:eastAsia="楷体_GB2312" w:cs="宋体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kern w:val="0"/>
          <w:sz w:val="32"/>
          <w:szCs w:val="32"/>
        </w:rPr>
        <w:t>（二）主要经济指标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2018年末，建筑业企业法人单位资产总计1582.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47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亿元，比2013年末增长625.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%。负债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合计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990.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。全年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实现营业收入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788.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亿元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（详见表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3-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tbl>
      <w:tblPr>
        <w:tblStyle w:val="8"/>
        <w:tblW w:w="85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16"/>
        <w:gridCol w:w="1512"/>
        <w:gridCol w:w="1512"/>
        <w:gridCol w:w="15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  <w:jc w:val="center"/>
        </w:trPr>
        <w:tc>
          <w:tcPr>
            <w:tcW w:w="8560" w:type="dxa"/>
            <w:gridSpan w:val="4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3-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7按行业分组的建筑业企业法人单位主要经济指标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4016" w:type="dxa"/>
            <w:vMerge w:val="restart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资产总计</w:t>
            </w:r>
          </w:p>
        </w:tc>
        <w:tc>
          <w:tcPr>
            <w:tcW w:w="1512" w:type="dxa"/>
            <w:tcBorders>
              <w:top w:val="single" w:color="000000" w:sz="12" w:space="0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负债合计</w:t>
            </w:r>
          </w:p>
        </w:tc>
        <w:tc>
          <w:tcPr>
            <w:tcW w:w="1520" w:type="dxa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营业收入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4016" w:type="dxa"/>
            <w:vMerge w:val="continue"/>
            <w:tcBorders>
              <w:top w:val="nil"/>
              <w:left w:val="nil"/>
              <w:bottom w:val="single" w:color="000000" w:sz="12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（亿元）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1582.47 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990.12 </w:t>
            </w:r>
          </w:p>
        </w:tc>
        <w:tc>
          <w:tcPr>
            <w:tcW w:w="0" w:type="auto"/>
            <w:tcBorders>
              <w:top w:val="single" w:color="000000" w:sz="12" w:space="0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788.12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房屋建筑业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1201.08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736.33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408.23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土木工程建筑业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339.25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231.51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340.87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建筑安装业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13.30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5.29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8.46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4016" w:type="dxa"/>
            <w:tcBorders>
              <w:top w:val="nil"/>
              <w:left w:val="nil"/>
              <w:bottom w:val="single" w:color="000000" w:sz="12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建筑装饰、装修和其他建筑业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28.84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16.99 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12" w:space="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30.56 </w:t>
            </w:r>
          </w:p>
        </w:tc>
      </w:tr>
    </w:tbl>
    <w:p>
      <w:pPr>
        <w:pStyle w:val="2"/>
      </w:pPr>
    </w:p>
    <w:p>
      <w:pPr>
        <w:widowControl/>
        <w:spacing w:line="600" w:lineRule="exact"/>
        <w:ind w:firstLine="560" w:firstLineChars="200"/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注释：</w:t>
      </w:r>
    </w:p>
    <w:p>
      <w:pPr>
        <w:widowControl/>
        <w:spacing w:line="60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[1]本公报</w:t>
      </w:r>
      <w:r>
        <w:rPr>
          <w:rFonts w:ascii="仿宋_GB2312" w:hAnsi="宋体" w:eastAsia="仿宋_GB2312" w:cs="宋体"/>
          <w:kern w:val="0"/>
          <w:sz w:val="28"/>
          <w:szCs w:val="28"/>
        </w:rPr>
        <w:t>中的企业法人单位，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包括机构类型为企业的法人单位，以及执行</w:t>
      </w:r>
      <w:r>
        <w:rPr>
          <w:rFonts w:ascii="仿宋_GB2312" w:hAnsi="宋体" w:eastAsia="仿宋_GB2312" w:cs="宋体"/>
          <w:kern w:val="0"/>
          <w:sz w:val="28"/>
          <w:szCs w:val="28"/>
        </w:rPr>
        <w:t>企业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会计</w:t>
      </w:r>
      <w:r>
        <w:rPr>
          <w:rFonts w:ascii="仿宋_GB2312" w:hAnsi="宋体" w:eastAsia="仿宋_GB2312" w:cs="宋体"/>
          <w:kern w:val="0"/>
          <w:sz w:val="28"/>
          <w:szCs w:val="28"/>
        </w:rPr>
        <w:t>制度的事业法人单位、民办非企业法人单位和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基金会，</w:t>
      </w:r>
      <w:r>
        <w:rPr>
          <w:rFonts w:ascii="仿宋_GB2312" w:hAnsi="宋体" w:eastAsia="仿宋_GB2312" w:cs="宋体"/>
          <w:kern w:val="0"/>
          <w:sz w:val="28"/>
          <w:szCs w:val="28"/>
        </w:rPr>
        <w:t>农民专业合作社，农村集体经济组织和除宗教活动场所以外的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机构</w:t>
      </w:r>
      <w:r>
        <w:rPr>
          <w:rFonts w:ascii="仿宋_GB2312" w:hAnsi="宋体" w:eastAsia="仿宋_GB2312" w:cs="宋体"/>
          <w:kern w:val="0"/>
          <w:sz w:val="28"/>
          <w:szCs w:val="28"/>
        </w:rPr>
        <w:t>类型为其他组织机构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</w:t>
      </w:r>
      <w:r>
        <w:rPr>
          <w:rFonts w:ascii="仿宋_GB2312" w:hAnsi="宋体" w:eastAsia="仿宋_GB2312" w:cs="宋体"/>
          <w:kern w:val="0"/>
          <w:sz w:val="28"/>
          <w:szCs w:val="28"/>
        </w:rPr>
        <w:t>法人单位。</w:t>
      </w:r>
    </w:p>
    <w:p>
      <w:pPr>
        <w:widowControl/>
        <w:spacing w:line="60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[2]表中的合计数和部分计算数据因小数取舍而产生的误差，均未作机械调整。</w:t>
      </w:r>
    </w:p>
    <w:p/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B7303"/>
    <w:rsid w:val="09124219"/>
    <w:rsid w:val="0DBB7303"/>
    <w:rsid w:val="0DE02ECD"/>
    <w:rsid w:val="50604921"/>
    <w:rsid w:val="6072599E"/>
    <w:rsid w:val="6D586D57"/>
    <w:rsid w:val="79FE1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tabs>
        <w:tab w:val="left" w:pos="596"/>
      </w:tabs>
      <w:adjustRightInd w:val="0"/>
      <w:spacing w:before="120" w:line="360" w:lineRule="auto"/>
      <w:ind w:left="596" w:hanging="596"/>
      <w:outlineLvl w:val="1"/>
    </w:pPr>
    <w:rPr>
      <w:rFonts w:ascii="Times New Roman" w:hAnsi="Times New Roman" w:eastAsia="楷体" w:cs="Times New Roman"/>
      <w:b/>
      <w:kern w:val="0"/>
      <w:sz w:val="32"/>
      <w:szCs w:val="20"/>
    </w:rPr>
  </w:style>
  <w:style w:type="paragraph" w:styleId="6">
    <w:name w:val="heading 3"/>
    <w:basedOn w:val="1"/>
    <w:next w:val="1"/>
    <w:link w:val="12"/>
    <w:semiHidden/>
    <w:unhideWhenUsed/>
    <w:qFormat/>
    <w:uiPriority w:val="0"/>
    <w:pPr>
      <w:tabs>
        <w:tab w:val="left" w:pos="900"/>
        <w:tab w:val="left" w:pos="1588"/>
      </w:tabs>
      <w:adjustRightInd w:val="0"/>
      <w:spacing w:before="120" w:line="360" w:lineRule="auto"/>
      <w:ind w:left="1588" w:hanging="737"/>
      <w:outlineLvl w:val="2"/>
    </w:pPr>
    <w:rPr>
      <w:rFonts w:ascii="Times New Roman" w:hAnsi="Times New Roman" w:eastAsia="仿宋" w:cs="Times New Roman"/>
      <w:b/>
      <w:kern w:val="0"/>
      <w:sz w:val="32"/>
      <w:szCs w:val="20"/>
    </w:rPr>
  </w:style>
  <w:style w:type="paragraph" w:styleId="7">
    <w:name w:val="heading 4"/>
    <w:basedOn w:val="1"/>
    <w:next w:val="1"/>
    <w:link w:val="13"/>
    <w:semiHidden/>
    <w:unhideWhenUsed/>
    <w:qFormat/>
    <w:uiPriority w:val="0"/>
    <w:pPr>
      <w:keepNext/>
      <w:keepLines/>
      <w:spacing w:line="240" w:lineRule="auto"/>
      <w:ind w:firstLine="723" w:firstLineChars="200"/>
      <w:outlineLvl w:val="3"/>
    </w:pPr>
    <w:rPr>
      <w:rFonts w:eastAsia="仿宋" w:asciiTheme="majorAscii" w:hAnsiTheme="majorAscii" w:cstheme="majorBidi"/>
      <w:bCs/>
      <w:sz w:val="32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ind w:firstLine="880" w:firstLineChars="200"/>
    </w:pPr>
  </w:style>
  <w:style w:type="paragraph" w:styleId="3">
    <w:name w:val="Body Text"/>
    <w:basedOn w:val="1"/>
    <w:uiPriority w:val="0"/>
    <w:pPr>
      <w:spacing w:after="120" w:afterLines="0"/>
    </w:pPr>
  </w:style>
  <w:style w:type="character" w:customStyle="1" w:styleId="10">
    <w:name w:val="标题 1 Char"/>
    <w:basedOn w:val="9"/>
    <w:link w:val="4"/>
    <w:qFormat/>
    <w:uiPriority w:val="9"/>
    <w:rPr>
      <w:rFonts w:ascii="Times New Roman" w:hAnsi="Times New Roman" w:eastAsia="黑体" w:cs="Times New Roman"/>
      <w:b/>
      <w:bCs/>
      <w:kern w:val="44"/>
      <w:sz w:val="32"/>
      <w:szCs w:val="44"/>
    </w:rPr>
  </w:style>
  <w:style w:type="character" w:customStyle="1" w:styleId="11">
    <w:name w:val="标题 2 Char1"/>
    <w:link w:val="5"/>
    <w:qFormat/>
    <w:locked/>
    <w:uiPriority w:val="0"/>
    <w:rPr>
      <w:rFonts w:ascii="Times New Roman" w:hAnsi="Times New Roman" w:eastAsia="楷体" w:cs="Times New Roman"/>
      <w:b/>
      <w:kern w:val="0"/>
      <w:sz w:val="32"/>
      <w:szCs w:val="20"/>
    </w:rPr>
  </w:style>
  <w:style w:type="character" w:customStyle="1" w:styleId="12">
    <w:name w:val="标题 3 Char1"/>
    <w:link w:val="6"/>
    <w:qFormat/>
    <w:locked/>
    <w:uiPriority w:val="0"/>
    <w:rPr>
      <w:rFonts w:ascii="Times New Roman" w:hAnsi="Times New Roman" w:eastAsia="仿宋" w:cs="Times New Roman"/>
      <w:b/>
      <w:kern w:val="0"/>
      <w:sz w:val="32"/>
      <w:szCs w:val="20"/>
    </w:rPr>
  </w:style>
  <w:style w:type="character" w:customStyle="1" w:styleId="13">
    <w:name w:val="标题 4 Char"/>
    <w:basedOn w:val="9"/>
    <w:link w:val="7"/>
    <w:qFormat/>
    <w:uiPriority w:val="9"/>
    <w:rPr>
      <w:rFonts w:eastAsia="仿宋" w:asciiTheme="majorAscii" w:hAnsiTheme="majorAscii" w:cstheme="majorBidi"/>
      <w:bCs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云南省昆明空港经济区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2020-06-09T07:55:00Z</dcterms:created>
  <dc:creator>shiping</dc:creator>
  <cp:lastModifiedBy>shiping</cp:lastModifiedBy>
  <dcterms:modified xsi:type="dcterms:W3CDTF">2020-06-09T07:59:47Z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