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570" w:lineRule="exact"/>
        <w:jc w:val="both"/>
        <w:outlineLvl w:val="0"/>
        <w:rPr>
          <w:rFonts w:hint="eastAsia" w:ascii="方正小标宋_GBK" w:hAnsi="方正小标宋_GBK" w:eastAsia="方正小标宋_GBK" w:cs="方正小标宋_GBK"/>
          <w:kern w:val="0"/>
          <w:sz w:val="36"/>
          <w:szCs w:val="36"/>
        </w:rPr>
      </w:pPr>
      <w:bookmarkStart w:id="0" w:name="_GoBack"/>
      <w:bookmarkEnd w:id="0"/>
      <w:r>
        <w:rPr>
          <w:rFonts w:hint="eastAsia" w:ascii="方正小标宋_GBK" w:hAnsi="方正小标宋_GBK" w:eastAsia="方正小标宋_GBK" w:cs="方正小标宋_GBK"/>
          <w:bCs/>
          <w:kern w:val="0"/>
          <w:sz w:val="36"/>
          <w:szCs w:val="36"/>
        </w:rPr>
        <w:t>昆明经济技术开发区第四次全国经济普查公报（第二号）</w:t>
      </w:r>
    </w:p>
    <w:p>
      <w:pPr>
        <w:widowControl/>
        <w:spacing w:line="570" w:lineRule="exact"/>
        <w:jc w:val="center"/>
        <w:outlineLvl w:val="0"/>
        <w:rPr>
          <w:rFonts w:hint="eastAsia" w:ascii="方正小标宋_GBK" w:hAnsi="方正小标宋_GBK" w:eastAsia="方正小标宋_GBK" w:cs="方正小标宋_GBK"/>
          <w:bCs/>
          <w:kern w:val="0"/>
          <w:sz w:val="36"/>
          <w:szCs w:val="32"/>
        </w:rPr>
      </w:pPr>
      <w:r>
        <w:rPr>
          <w:rFonts w:hint="eastAsia" w:ascii="方正小标宋_GBK" w:hAnsi="方正小标宋_GBK" w:eastAsia="方正小标宋_GBK" w:cs="方正小标宋_GBK"/>
          <w:bCs/>
          <w:kern w:val="0"/>
          <w:sz w:val="36"/>
          <w:szCs w:val="32"/>
        </w:rPr>
        <w:t>——单位基本情况</w:t>
      </w:r>
    </w:p>
    <w:p>
      <w:pPr>
        <w:pStyle w:val="2"/>
        <w:rPr>
          <w:rFonts w:hint="eastAsia" w:ascii="楷体" w:hAnsi="楷体" w:eastAsia="楷体" w:cs="楷体"/>
        </w:rPr>
      </w:pPr>
    </w:p>
    <w:p>
      <w:pPr>
        <w:jc w:val="center"/>
        <w:rPr>
          <w:rFonts w:hint="eastAsia" w:ascii="楷体" w:hAnsi="楷体" w:eastAsia="楷体" w:cs="楷体"/>
          <w:sz w:val="32"/>
          <w:szCs w:val="32"/>
          <w:lang w:eastAsia="zh-CN"/>
        </w:rPr>
      </w:pPr>
      <w:r>
        <w:rPr>
          <w:rFonts w:hint="eastAsia" w:ascii="楷体" w:hAnsi="楷体" w:eastAsia="楷体" w:cs="楷体"/>
          <w:sz w:val="32"/>
          <w:szCs w:val="32"/>
          <w:lang w:eastAsia="zh-CN"/>
        </w:rPr>
        <w:t>昆明经济技术开发区经济发展局</w:t>
      </w:r>
    </w:p>
    <w:p>
      <w:pPr>
        <w:jc w:val="center"/>
        <w:rPr>
          <w:rFonts w:hint="eastAsia" w:ascii="楷体" w:hAnsi="楷体" w:eastAsia="楷体" w:cs="楷体"/>
          <w:sz w:val="32"/>
          <w:szCs w:val="32"/>
        </w:rPr>
      </w:pPr>
      <w:r>
        <w:rPr>
          <w:rFonts w:hint="eastAsia" w:ascii="楷体" w:hAnsi="楷体" w:eastAsia="楷体" w:cs="楷体"/>
          <w:sz w:val="32"/>
          <w:szCs w:val="32"/>
        </w:rPr>
        <w:t>昆明经济技术开发区第四次全国经济普查领导小组办公室</w:t>
      </w:r>
    </w:p>
    <w:p>
      <w:pPr>
        <w:jc w:val="center"/>
        <w:rPr>
          <w:rFonts w:hint="default" w:ascii="Times New Roman" w:hAnsi="Times New Roman" w:eastAsia="楷体" w:cs="Times New Roman"/>
          <w:sz w:val="32"/>
          <w:szCs w:val="32"/>
          <w:lang w:eastAsia="zh-CN"/>
        </w:rPr>
      </w:pPr>
      <w:r>
        <w:rPr>
          <w:rFonts w:hint="default" w:ascii="Times New Roman" w:hAnsi="Times New Roman" w:eastAsia="楷体" w:cs="Times New Roman"/>
          <w:sz w:val="32"/>
          <w:szCs w:val="32"/>
          <w:lang w:eastAsia="zh-CN"/>
        </w:rPr>
        <w:t>2020年5月9日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根据第四次全国经济普查结果，现将我区单位的基本情况、从业人员、资产负债状况和营业收入公布如下：</w:t>
      </w:r>
    </w:p>
    <w:p>
      <w:pPr>
        <w:adjustRightInd w:val="0"/>
        <w:snapToGrid w:val="0"/>
        <w:spacing w:line="600" w:lineRule="exact"/>
        <w:ind w:firstLine="640" w:firstLineChars="200"/>
        <w:outlineLvl w:val="1"/>
        <w:rPr>
          <w:rFonts w:hint="eastAsia" w:ascii="黑体" w:hAnsi="黑体" w:eastAsia="黑体"/>
          <w:sz w:val="32"/>
          <w:szCs w:val="32"/>
        </w:rPr>
      </w:pPr>
      <w:r>
        <w:rPr>
          <w:rFonts w:hint="eastAsia" w:ascii="黑体" w:hAnsi="黑体" w:eastAsia="黑体"/>
          <w:sz w:val="32"/>
          <w:szCs w:val="32"/>
        </w:rPr>
        <w:t>一、单位基本情况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2018年末，全区共有从事第二产业和第三产业活动的法人单位147</w:t>
      </w:r>
      <w:r>
        <w:rPr>
          <w:rFonts w:hint="default" w:ascii="Times New Roman" w:hAnsi="Times New Roman" w:eastAsia="仿宋_GB2312" w:cs="Times New Roman"/>
          <w:sz w:val="32"/>
          <w:szCs w:val="32"/>
          <w:lang w:val="en-US" w:eastAsia="zh-CN"/>
        </w:rPr>
        <w:t>86</w:t>
      </w:r>
      <w:r>
        <w:rPr>
          <w:rFonts w:hint="default" w:ascii="Times New Roman" w:hAnsi="Times New Roman" w:eastAsia="仿宋_GB2312" w:cs="Times New Roman"/>
          <w:sz w:val="32"/>
          <w:szCs w:val="32"/>
        </w:rPr>
        <w:t>个，比2013年末（2013年是第三次全国经济普查年份，下同）增加79</w:t>
      </w:r>
      <w:r>
        <w:rPr>
          <w:rFonts w:hint="default" w:ascii="Times New Roman" w:hAnsi="Times New Roman" w:eastAsia="仿宋_GB2312" w:cs="Times New Roman"/>
          <w:sz w:val="32"/>
          <w:szCs w:val="32"/>
          <w:lang w:val="en-US" w:eastAsia="zh-CN"/>
        </w:rPr>
        <w:t>58</w:t>
      </w:r>
      <w:r>
        <w:rPr>
          <w:rFonts w:hint="default" w:ascii="Times New Roman" w:hAnsi="Times New Roman" w:eastAsia="仿宋_GB2312" w:cs="Times New Roman"/>
          <w:sz w:val="32"/>
          <w:szCs w:val="32"/>
        </w:rPr>
        <w:t>个，增长116.</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%；产业活动单位1541</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个，增加1506</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个，增长431</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清查</w:t>
      </w:r>
      <w:r>
        <w:rPr>
          <w:rFonts w:hint="default" w:ascii="Times New Roman" w:hAnsi="Times New Roman" w:eastAsia="仿宋_GB2312" w:cs="Times New Roman"/>
          <w:sz w:val="32"/>
          <w:szCs w:val="32"/>
        </w:rPr>
        <w:t>个体经营户588</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个（详见表2-1）。</w:t>
      </w:r>
    </w:p>
    <w:tbl>
      <w:tblPr>
        <w:tblStyle w:val="8"/>
        <w:tblW w:w="8600" w:type="dxa"/>
        <w:tblInd w:w="0" w:type="dxa"/>
        <w:tblLayout w:type="autofit"/>
        <w:tblCellMar>
          <w:top w:w="0" w:type="dxa"/>
          <w:left w:w="0" w:type="dxa"/>
          <w:bottom w:w="0" w:type="dxa"/>
          <w:right w:w="0" w:type="dxa"/>
        </w:tblCellMar>
      </w:tblPr>
      <w:tblGrid>
        <w:gridCol w:w="3418"/>
        <w:gridCol w:w="3418"/>
        <w:gridCol w:w="1764"/>
      </w:tblGrid>
      <w:tr>
        <w:tblPrEx>
          <w:tblCellMar>
            <w:top w:w="0" w:type="dxa"/>
            <w:left w:w="0" w:type="dxa"/>
            <w:bottom w:w="0" w:type="dxa"/>
            <w:right w:w="0" w:type="dxa"/>
          </w:tblCellMar>
        </w:tblPrEx>
        <w:trPr>
          <w:trHeight w:val="90" w:hRule="atLeast"/>
        </w:trPr>
        <w:tc>
          <w:tcPr>
            <w:tcW w:w="8600" w:type="dxa"/>
            <w:gridSpan w:val="3"/>
            <w:tcBorders>
              <w:top w:val="nil"/>
              <w:left w:val="nil"/>
              <w:bottom w:val="single" w:color="000000" w:sz="12"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表2-1　单位数与个体经营户数</w:t>
            </w:r>
          </w:p>
        </w:tc>
      </w:tr>
      <w:tr>
        <w:tblPrEx>
          <w:tblCellMar>
            <w:top w:w="0" w:type="dxa"/>
            <w:left w:w="0" w:type="dxa"/>
            <w:bottom w:w="0" w:type="dxa"/>
            <w:right w:w="0" w:type="dxa"/>
          </w:tblCellMar>
        </w:tblPrEx>
        <w:trPr>
          <w:trHeight w:val="90" w:hRule="atLeast"/>
        </w:trPr>
        <w:tc>
          <w:tcPr>
            <w:tcW w:w="3418" w:type="dxa"/>
            <w:tcBorders>
              <w:top w:val="nil"/>
              <w:left w:val="nil"/>
              <w:bottom w:val="single" w:color="000000" w:sz="12" w:space="0"/>
              <w:right w:val="single" w:color="000000" w:sz="8" w:space="0"/>
            </w:tcBorders>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3418" w:type="dxa"/>
            <w:tcBorders>
              <w:top w:val="single" w:color="000000" w:sz="12" w:space="0"/>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单位数（个）</w:t>
            </w:r>
          </w:p>
        </w:tc>
        <w:tc>
          <w:tcPr>
            <w:tcW w:w="1764" w:type="dxa"/>
            <w:tcBorders>
              <w:top w:val="single" w:color="000000" w:sz="12" w:space="0"/>
              <w:left w:val="nil"/>
              <w:bottom w:val="single" w:color="000000" w:sz="12"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比重（</w:t>
            </w:r>
            <w:r>
              <w:rPr>
                <w:rFonts w:hint="default" w:ascii="Times New Roman" w:hAnsi="Times New Roman" w:eastAsia="宋体" w:cs="Times New Roman"/>
                <w:b/>
                <w:i w:val="0"/>
                <w:color w:val="000000"/>
                <w:kern w:val="0"/>
                <w:sz w:val="21"/>
                <w:szCs w:val="21"/>
                <w:u w:val="none"/>
                <w:lang w:val="en-US" w:eastAsia="zh-CN" w:bidi="ar"/>
              </w:rPr>
              <w:t>%</w:t>
            </w:r>
            <w:r>
              <w:rPr>
                <w:rFonts w:hint="eastAsia" w:ascii="宋体" w:hAnsi="宋体" w:eastAsia="宋体" w:cs="宋体"/>
                <w:b/>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90" w:hRule="atLeast"/>
        </w:trPr>
        <w:tc>
          <w:tcPr>
            <w:tcW w:w="3418"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一、法人单位</w:t>
            </w:r>
          </w:p>
        </w:tc>
        <w:tc>
          <w:tcPr>
            <w:tcW w:w="3418"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14786</w:t>
            </w:r>
          </w:p>
        </w:tc>
        <w:tc>
          <w:tcPr>
            <w:tcW w:w="1764"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b/>
                <w:i w:val="0"/>
                <w:color w:val="000000"/>
                <w:sz w:val="21"/>
                <w:szCs w:val="21"/>
                <w:u w:val="none"/>
                <w:lang w:val="en-US"/>
              </w:rPr>
            </w:pPr>
            <w:r>
              <w:rPr>
                <w:rFonts w:hint="default" w:ascii="Times New Roman" w:hAnsi="Times New Roman" w:eastAsia="宋体" w:cs="Times New Roman"/>
                <w:b/>
                <w:i w:val="0"/>
                <w:color w:val="000000"/>
                <w:kern w:val="0"/>
                <w:sz w:val="21"/>
                <w:szCs w:val="21"/>
                <w:u w:val="none"/>
                <w:lang w:val="en-US" w:eastAsia="zh-CN" w:bidi="ar"/>
              </w:rPr>
              <w:t>100</w:t>
            </w:r>
            <w:r>
              <w:rPr>
                <w:rFonts w:hint="eastAsia" w:ascii="Times New Roman" w:hAnsi="Times New Roman" w:eastAsia="宋体" w:cs="Times New Roman"/>
                <w:b/>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90" w:hRule="atLeast"/>
        </w:trPr>
        <w:tc>
          <w:tcPr>
            <w:tcW w:w="3418"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企业法人</w:t>
            </w:r>
          </w:p>
        </w:tc>
        <w:tc>
          <w:tcPr>
            <w:tcW w:w="3418"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14558</w:t>
            </w:r>
          </w:p>
        </w:tc>
        <w:tc>
          <w:tcPr>
            <w:tcW w:w="1764"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98.5</w:t>
            </w:r>
          </w:p>
        </w:tc>
      </w:tr>
      <w:tr>
        <w:tblPrEx>
          <w:tblCellMar>
            <w:top w:w="0" w:type="dxa"/>
            <w:left w:w="0" w:type="dxa"/>
            <w:bottom w:w="0" w:type="dxa"/>
            <w:right w:w="0" w:type="dxa"/>
          </w:tblCellMar>
        </w:tblPrEx>
        <w:trPr>
          <w:trHeight w:val="90" w:hRule="atLeast"/>
        </w:trPr>
        <w:tc>
          <w:tcPr>
            <w:tcW w:w="3418"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机关、事业法人</w:t>
            </w:r>
          </w:p>
        </w:tc>
        <w:tc>
          <w:tcPr>
            <w:tcW w:w="3418"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84</w:t>
            </w:r>
          </w:p>
        </w:tc>
        <w:tc>
          <w:tcPr>
            <w:tcW w:w="1764"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0.6</w:t>
            </w:r>
          </w:p>
        </w:tc>
      </w:tr>
      <w:tr>
        <w:tblPrEx>
          <w:tblCellMar>
            <w:top w:w="0" w:type="dxa"/>
            <w:left w:w="0" w:type="dxa"/>
            <w:bottom w:w="0" w:type="dxa"/>
            <w:right w:w="0" w:type="dxa"/>
          </w:tblCellMar>
        </w:tblPrEx>
        <w:trPr>
          <w:trHeight w:val="90" w:hRule="atLeast"/>
        </w:trPr>
        <w:tc>
          <w:tcPr>
            <w:tcW w:w="3418"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社会团体</w:t>
            </w:r>
          </w:p>
        </w:tc>
        <w:tc>
          <w:tcPr>
            <w:tcW w:w="3418"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30</w:t>
            </w:r>
          </w:p>
        </w:tc>
        <w:tc>
          <w:tcPr>
            <w:tcW w:w="1764"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0.2</w:t>
            </w:r>
          </w:p>
        </w:tc>
      </w:tr>
      <w:tr>
        <w:tblPrEx>
          <w:tblCellMar>
            <w:top w:w="0" w:type="dxa"/>
            <w:left w:w="0" w:type="dxa"/>
            <w:bottom w:w="0" w:type="dxa"/>
            <w:right w:w="0" w:type="dxa"/>
          </w:tblCellMar>
        </w:tblPrEx>
        <w:trPr>
          <w:trHeight w:val="90" w:hRule="atLeast"/>
        </w:trPr>
        <w:tc>
          <w:tcPr>
            <w:tcW w:w="3418"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其他法人</w:t>
            </w:r>
          </w:p>
        </w:tc>
        <w:tc>
          <w:tcPr>
            <w:tcW w:w="3418"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95</w:t>
            </w:r>
          </w:p>
        </w:tc>
        <w:tc>
          <w:tcPr>
            <w:tcW w:w="1764"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0.7</w:t>
            </w:r>
          </w:p>
        </w:tc>
      </w:tr>
      <w:tr>
        <w:tblPrEx>
          <w:tblCellMar>
            <w:top w:w="0" w:type="dxa"/>
            <w:left w:w="0" w:type="dxa"/>
            <w:bottom w:w="0" w:type="dxa"/>
            <w:right w:w="0" w:type="dxa"/>
          </w:tblCellMar>
        </w:tblPrEx>
        <w:trPr>
          <w:trHeight w:val="90" w:hRule="atLeast"/>
        </w:trPr>
        <w:tc>
          <w:tcPr>
            <w:tcW w:w="3418"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二、产业活动单位</w:t>
            </w:r>
          </w:p>
        </w:tc>
        <w:tc>
          <w:tcPr>
            <w:tcW w:w="3418"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15418</w:t>
            </w:r>
          </w:p>
        </w:tc>
        <w:tc>
          <w:tcPr>
            <w:tcW w:w="1764"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b/>
                <w:i w:val="0"/>
                <w:color w:val="000000"/>
                <w:sz w:val="21"/>
                <w:szCs w:val="21"/>
                <w:u w:val="none"/>
                <w:lang w:val="en-US"/>
              </w:rPr>
            </w:pPr>
            <w:r>
              <w:rPr>
                <w:rFonts w:hint="default" w:ascii="Times New Roman" w:hAnsi="Times New Roman" w:eastAsia="宋体" w:cs="Times New Roman"/>
                <w:b/>
                <w:i w:val="0"/>
                <w:color w:val="000000"/>
                <w:kern w:val="0"/>
                <w:sz w:val="21"/>
                <w:szCs w:val="21"/>
                <w:u w:val="none"/>
                <w:lang w:val="en-US" w:eastAsia="zh-CN" w:bidi="ar"/>
              </w:rPr>
              <w:t>100</w:t>
            </w:r>
            <w:r>
              <w:rPr>
                <w:rFonts w:hint="eastAsia" w:ascii="Times New Roman" w:hAnsi="Times New Roman" w:eastAsia="宋体" w:cs="Times New Roman"/>
                <w:b/>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90" w:hRule="atLeast"/>
        </w:trPr>
        <w:tc>
          <w:tcPr>
            <w:tcW w:w="3418"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第二产业</w:t>
            </w:r>
          </w:p>
        </w:tc>
        <w:tc>
          <w:tcPr>
            <w:tcW w:w="3418"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3052</w:t>
            </w:r>
          </w:p>
        </w:tc>
        <w:tc>
          <w:tcPr>
            <w:tcW w:w="1764"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19.8</w:t>
            </w:r>
          </w:p>
        </w:tc>
      </w:tr>
      <w:tr>
        <w:tblPrEx>
          <w:tblCellMar>
            <w:top w:w="0" w:type="dxa"/>
            <w:left w:w="0" w:type="dxa"/>
            <w:bottom w:w="0" w:type="dxa"/>
            <w:right w:w="0" w:type="dxa"/>
          </w:tblCellMar>
        </w:tblPrEx>
        <w:trPr>
          <w:trHeight w:val="90" w:hRule="atLeast"/>
        </w:trPr>
        <w:tc>
          <w:tcPr>
            <w:tcW w:w="3418"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第三产业</w:t>
            </w:r>
          </w:p>
        </w:tc>
        <w:tc>
          <w:tcPr>
            <w:tcW w:w="3418"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12366</w:t>
            </w:r>
          </w:p>
        </w:tc>
        <w:tc>
          <w:tcPr>
            <w:tcW w:w="1764"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80.2</w:t>
            </w:r>
          </w:p>
        </w:tc>
      </w:tr>
      <w:tr>
        <w:tblPrEx>
          <w:tblCellMar>
            <w:top w:w="0" w:type="dxa"/>
            <w:left w:w="0" w:type="dxa"/>
            <w:bottom w:w="0" w:type="dxa"/>
            <w:right w:w="0" w:type="dxa"/>
          </w:tblCellMar>
        </w:tblPrEx>
        <w:trPr>
          <w:trHeight w:val="90" w:hRule="atLeast"/>
        </w:trPr>
        <w:tc>
          <w:tcPr>
            <w:tcW w:w="3418"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三、个体经营户</w:t>
            </w:r>
          </w:p>
        </w:tc>
        <w:tc>
          <w:tcPr>
            <w:tcW w:w="3418"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5888</w:t>
            </w:r>
          </w:p>
        </w:tc>
        <w:tc>
          <w:tcPr>
            <w:tcW w:w="1764"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b/>
                <w:i w:val="0"/>
                <w:color w:val="000000"/>
                <w:sz w:val="21"/>
                <w:szCs w:val="21"/>
                <w:u w:val="none"/>
                <w:lang w:val="en-US"/>
              </w:rPr>
            </w:pPr>
            <w:r>
              <w:rPr>
                <w:rFonts w:hint="default" w:ascii="Times New Roman" w:hAnsi="Times New Roman" w:eastAsia="宋体" w:cs="Times New Roman"/>
                <w:b/>
                <w:i w:val="0"/>
                <w:color w:val="000000"/>
                <w:kern w:val="0"/>
                <w:sz w:val="21"/>
                <w:szCs w:val="21"/>
                <w:u w:val="none"/>
                <w:lang w:val="en-US" w:eastAsia="zh-CN" w:bidi="ar"/>
              </w:rPr>
              <w:t>100</w:t>
            </w:r>
            <w:r>
              <w:rPr>
                <w:rFonts w:hint="eastAsia" w:ascii="Times New Roman" w:hAnsi="Times New Roman" w:eastAsia="宋体" w:cs="Times New Roman"/>
                <w:b/>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90" w:hRule="atLeast"/>
        </w:trPr>
        <w:tc>
          <w:tcPr>
            <w:tcW w:w="3418"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第二产业</w:t>
            </w:r>
          </w:p>
        </w:tc>
        <w:tc>
          <w:tcPr>
            <w:tcW w:w="3418"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351</w:t>
            </w:r>
          </w:p>
        </w:tc>
        <w:tc>
          <w:tcPr>
            <w:tcW w:w="1764"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6</w:t>
            </w:r>
            <w:r>
              <w:rPr>
                <w:rFonts w:hint="eastAsia" w:ascii="Times New Roman" w:hAnsi="Times New Roman" w:eastAsia="宋体" w:cs="Times New Roman"/>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90" w:hRule="atLeast"/>
        </w:trPr>
        <w:tc>
          <w:tcPr>
            <w:tcW w:w="3418"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第三产业</w:t>
            </w:r>
          </w:p>
        </w:tc>
        <w:tc>
          <w:tcPr>
            <w:tcW w:w="3418" w:type="dxa"/>
            <w:tcBorders>
              <w:top w:val="nil"/>
              <w:left w:val="nil"/>
              <w:bottom w:val="single" w:color="000000" w:sz="12" w:space="0"/>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5537</w:t>
            </w:r>
          </w:p>
        </w:tc>
        <w:tc>
          <w:tcPr>
            <w:tcW w:w="1764" w:type="dxa"/>
            <w:tcBorders>
              <w:top w:val="nil"/>
              <w:left w:val="nil"/>
              <w:bottom w:val="single" w:color="000000" w:sz="12" w:space="0"/>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94</w:t>
            </w:r>
            <w:r>
              <w:rPr>
                <w:rFonts w:hint="eastAsia" w:ascii="Times New Roman" w:hAnsi="Times New Roman" w:eastAsia="宋体" w:cs="Times New Roman"/>
                <w:i w:val="0"/>
                <w:color w:val="000000"/>
                <w:kern w:val="0"/>
                <w:sz w:val="21"/>
                <w:szCs w:val="21"/>
                <w:u w:val="none"/>
                <w:lang w:val="en-US" w:eastAsia="zh-CN" w:bidi="ar"/>
              </w:rPr>
              <w:t>.0</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default" w:ascii="Times New Roman" w:hAnsi="Times New Roman" w:eastAsia="仿宋_GB2312" w:cs="Times New Roman"/>
          <w:sz w:val="32"/>
          <w:szCs w:val="32"/>
        </w:rPr>
        <w:t>2018</w:t>
      </w:r>
      <w:r>
        <w:rPr>
          <w:rFonts w:hint="eastAsia" w:ascii="Times New Roman" w:hAnsi="Times New Roman" w:eastAsia="仿宋_GB2312" w:cs="Times New Roman"/>
          <w:sz w:val="32"/>
          <w:szCs w:val="32"/>
        </w:rPr>
        <w:t>年末，在第二产业和第三产业法人单位中，位居前三位的行业是：批发和零售业6455个，占43.</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；租赁和商务服务业1491个，占10.</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；制造业1482个，占10.0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。在个体经营户中，位居前三位的行业是：批发和零售业3293个，占55.9</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；住宿和餐饮业1383个，占23.</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；居民服务、修理和其他服务业547个，占9.</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（详见表</w:t>
      </w:r>
      <w:r>
        <w:rPr>
          <w:rFonts w:hint="default" w:ascii="Times New Roman" w:hAnsi="Times New Roman" w:eastAsia="仿宋_GB2312" w:cs="Times New Roman"/>
          <w:sz w:val="32"/>
          <w:szCs w:val="32"/>
        </w:rPr>
        <w:t>2-2</w:t>
      </w:r>
      <w:r>
        <w:rPr>
          <w:rFonts w:hint="eastAsia" w:ascii="Times New Roman" w:hAnsi="Times New Roman" w:eastAsia="仿宋_GB2312" w:cs="Times New Roman"/>
          <w:sz w:val="32"/>
          <w:szCs w:val="32"/>
        </w:rPr>
        <w:t>）。</w:t>
      </w:r>
    </w:p>
    <w:tbl>
      <w:tblPr>
        <w:tblStyle w:val="8"/>
        <w:tblW w:w="8620" w:type="dxa"/>
        <w:jc w:val="center"/>
        <w:tblLayout w:type="autofit"/>
        <w:tblCellMar>
          <w:top w:w="0" w:type="dxa"/>
          <w:left w:w="0" w:type="dxa"/>
          <w:bottom w:w="0" w:type="dxa"/>
          <w:right w:w="0" w:type="dxa"/>
        </w:tblCellMar>
      </w:tblPr>
      <w:tblGrid>
        <w:gridCol w:w="3715"/>
        <w:gridCol w:w="1370"/>
        <w:gridCol w:w="1216"/>
        <w:gridCol w:w="1133"/>
        <w:gridCol w:w="1186"/>
      </w:tblGrid>
      <w:tr>
        <w:tblPrEx>
          <w:tblCellMar>
            <w:top w:w="0" w:type="dxa"/>
            <w:left w:w="0" w:type="dxa"/>
            <w:bottom w:w="0" w:type="dxa"/>
            <w:right w:w="0" w:type="dxa"/>
          </w:tblCellMar>
        </w:tblPrEx>
        <w:trPr>
          <w:trHeight w:val="353" w:hRule="atLeast"/>
          <w:jc w:val="center"/>
        </w:trPr>
        <w:tc>
          <w:tcPr>
            <w:tcW w:w="8620" w:type="dxa"/>
            <w:gridSpan w:val="5"/>
            <w:tcBorders>
              <w:top w:val="nil"/>
              <w:left w:val="nil"/>
              <w:bottom w:val="single" w:color="000000" w:sz="12"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w:t>
            </w:r>
            <w:r>
              <w:rPr>
                <w:rFonts w:hint="default" w:ascii="Times New Roman" w:hAnsi="Times New Roman" w:eastAsia="宋体" w:cs="Times New Roman"/>
                <w:b/>
                <w:i w:val="0"/>
                <w:color w:val="000000"/>
                <w:kern w:val="0"/>
                <w:sz w:val="24"/>
                <w:szCs w:val="24"/>
                <w:u w:val="none"/>
                <w:lang w:val="en-US" w:eastAsia="zh-CN" w:bidi="ar"/>
              </w:rPr>
              <w:t>2-2</w:t>
            </w:r>
            <w:r>
              <w:rPr>
                <w:rFonts w:hint="eastAsia" w:ascii="宋体" w:hAnsi="宋体" w:eastAsia="宋体" w:cs="宋体"/>
                <w:b/>
                <w:i w:val="0"/>
                <w:color w:val="000000"/>
                <w:kern w:val="0"/>
                <w:sz w:val="24"/>
                <w:szCs w:val="24"/>
                <w:u w:val="none"/>
                <w:lang w:val="en-US" w:eastAsia="zh-CN" w:bidi="ar"/>
              </w:rPr>
              <w:t>按行业门类分组的法人单位与个体经营户</w:t>
            </w:r>
          </w:p>
        </w:tc>
      </w:tr>
      <w:tr>
        <w:tblPrEx>
          <w:tblCellMar>
            <w:top w:w="0" w:type="dxa"/>
            <w:left w:w="0" w:type="dxa"/>
            <w:bottom w:w="0" w:type="dxa"/>
            <w:right w:w="0" w:type="dxa"/>
          </w:tblCellMar>
        </w:tblPrEx>
        <w:trPr>
          <w:trHeight w:val="414" w:hRule="atLeast"/>
          <w:jc w:val="center"/>
        </w:trPr>
        <w:tc>
          <w:tcPr>
            <w:tcW w:w="3715" w:type="dxa"/>
            <w:vMerge w:val="restart"/>
            <w:tcBorders>
              <w:top w:val="nil"/>
              <w:left w:val="nil"/>
              <w:bottom w:val="single" w:color="000000" w:sz="12" w:space="0"/>
              <w:right w:val="single" w:color="000000" w:sz="8" w:space="0"/>
            </w:tcBorders>
            <w:noWrap w:val="0"/>
            <w:tcMar>
              <w:top w:w="15" w:type="dxa"/>
              <w:left w:w="15" w:type="dxa"/>
              <w:right w:w="15" w:type="dxa"/>
            </w:tcMar>
            <w:vAlign w:val="center"/>
          </w:tcPr>
          <w:p>
            <w:pPr>
              <w:jc w:val="both"/>
              <w:rPr>
                <w:rFonts w:hint="eastAsia" w:ascii="宋体" w:hAnsi="宋体" w:eastAsia="宋体" w:cs="宋体"/>
                <w:b/>
                <w:i w:val="0"/>
                <w:color w:val="000000"/>
                <w:sz w:val="21"/>
                <w:szCs w:val="21"/>
                <w:u w:val="none"/>
              </w:rPr>
            </w:pPr>
          </w:p>
        </w:tc>
        <w:tc>
          <w:tcPr>
            <w:tcW w:w="2586" w:type="dxa"/>
            <w:gridSpan w:val="2"/>
            <w:tcBorders>
              <w:top w:val="single" w:color="000000" w:sz="12"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法人单位</w:t>
            </w:r>
          </w:p>
        </w:tc>
        <w:tc>
          <w:tcPr>
            <w:tcW w:w="2319" w:type="dxa"/>
            <w:gridSpan w:val="2"/>
            <w:tcBorders>
              <w:top w:val="single" w:color="000000" w:sz="12" w:space="0"/>
              <w:left w:val="nil"/>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清查个体经营户</w:t>
            </w:r>
          </w:p>
        </w:tc>
      </w:tr>
      <w:tr>
        <w:tblPrEx>
          <w:tblCellMar>
            <w:top w:w="0" w:type="dxa"/>
            <w:left w:w="0" w:type="dxa"/>
            <w:bottom w:w="0" w:type="dxa"/>
            <w:right w:w="0" w:type="dxa"/>
          </w:tblCellMar>
        </w:tblPrEx>
        <w:trPr>
          <w:trHeight w:val="414" w:hRule="atLeast"/>
          <w:jc w:val="center"/>
        </w:trPr>
        <w:tc>
          <w:tcPr>
            <w:tcW w:w="3715" w:type="dxa"/>
            <w:vMerge w:val="continue"/>
            <w:tcBorders>
              <w:top w:val="nil"/>
              <w:left w:val="nil"/>
              <w:bottom w:val="single" w:color="000000" w:sz="12" w:space="0"/>
              <w:right w:val="single" w:color="000000" w:sz="8" w:space="0"/>
            </w:tcBorders>
            <w:noWrap w:val="0"/>
            <w:tcMar>
              <w:top w:w="15" w:type="dxa"/>
              <w:left w:w="15" w:type="dxa"/>
              <w:right w:w="15" w:type="dxa"/>
            </w:tcMar>
            <w:vAlign w:val="center"/>
          </w:tcPr>
          <w:p>
            <w:pPr>
              <w:jc w:val="both"/>
              <w:rPr>
                <w:rFonts w:hint="eastAsia" w:ascii="宋体" w:hAnsi="宋体" w:eastAsia="宋体" w:cs="宋体"/>
                <w:b/>
                <w:i w:val="0"/>
                <w:color w:val="000000"/>
                <w:sz w:val="21"/>
                <w:szCs w:val="21"/>
                <w:u w:val="none"/>
              </w:rPr>
            </w:pPr>
          </w:p>
        </w:tc>
        <w:tc>
          <w:tcPr>
            <w:tcW w:w="1370" w:type="dxa"/>
            <w:tcBorders>
              <w:top w:val="nil"/>
              <w:left w:val="nil"/>
              <w:bottom w:val="single" w:color="000000" w:sz="12"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数量(个)</w:t>
            </w:r>
          </w:p>
        </w:tc>
        <w:tc>
          <w:tcPr>
            <w:tcW w:w="1216" w:type="dxa"/>
            <w:tcBorders>
              <w:top w:val="nil"/>
              <w:left w:val="nil"/>
              <w:bottom w:val="single" w:color="000000" w:sz="12"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比重(%)</w:t>
            </w:r>
          </w:p>
        </w:tc>
        <w:tc>
          <w:tcPr>
            <w:tcW w:w="1133" w:type="dxa"/>
            <w:tcBorders>
              <w:top w:val="single" w:color="000000" w:sz="8" w:space="0"/>
              <w:left w:val="nil"/>
              <w:bottom w:val="single" w:color="000000" w:sz="12"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数量(个)</w:t>
            </w:r>
          </w:p>
        </w:tc>
        <w:tc>
          <w:tcPr>
            <w:tcW w:w="1186" w:type="dxa"/>
            <w:tcBorders>
              <w:top w:val="single" w:color="000000" w:sz="8" w:space="0"/>
              <w:left w:val="nil"/>
              <w:bottom w:val="single" w:color="000000" w:sz="12" w:space="0"/>
              <w:right w:val="nil"/>
            </w:tcBorders>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比重(%)</w:t>
            </w:r>
          </w:p>
        </w:tc>
      </w:tr>
      <w:tr>
        <w:tblPrEx>
          <w:tblCellMar>
            <w:top w:w="0" w:type="dxa"/>
            <w:left w:w="0" w:type="dxa"/>
            <w:bottom w:w="0" w:type="dxa"/>
            <w:right w:w="0" w:type="dxa"/>
          </w:tblCellMar>
        </w:tblPrEx>
        <w:trPr>
          <w:trHeight w:val="414"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合 计</w:t>
            </w:r>
          </w:p>
        </w:tc>
        <w:tc>
          <w:tcPr>
            <w:tcW w:w="137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14786</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lang w:val="en-US"/>
              </w:rPr>
            </w:pPr>
            <w:r>
              <w:rPr>
                <w:rFonts w:hint="default" w:ascii="Times New Roman" w:hAnsi="Times New Roman" w:eastAsia="宋体" w:cs="Times New Roman"/>
                <w:b/>
                <w:i w:val="0"/>
                <w:color w:val="000000"/>
                <w:kern w:val="0"/>
                <w:sz w:val="21"/>
                <w:szCs w:val="21"/>
                <w:u w:val="none"/>
                <w:lang w:val="en-US" w:eastAsia="zh-CN" w:bidi="ar"/>
              </w:rPr>
              <w:t>100</w:t>
            </w:r>
            <w:r>
              <w:rPr>
                <w:rFonts w:hint="eastAsia" w:ascii="Times New Roman" w:hAnsi="Times New Roman" w:eastAsia="宋体" w:cs="Times New Roman"/>
                <w:b/>
                <w:i w:val="0"/>
                <w:color w:val="000000"/>
                <w:kern w:val="0"/>
                <w:sz w:val="21"/>
                <w:szCs w:val="21"/>
                <w:u w:val="none"/>
                <w:lang w:val="en-US" w:eastAsia="zh-CN" w:bidi="ar"/>
              </w:rPr>
              <w:t>.0</w:t>
            </w:r>
          </w:p>
        </w:tc>
        <w:tc>
          <w:tcPr>
            <w:tcW w:w="1133"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5888</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b/>
                <w:i w:val="0"/>
                <w:color w:val="000000"/>
                <w:sz w:val="21"/>
                <w:szCs w:val="21"/>
                <w:u w:val="none"/>
                <w:lang w:val="en-US"/>
              </w:rPr>
            </w:pPr>
            <w:r>
              <w:rPr>
                <w:rFonts w:hint="default" w:ascii="Times New Roman" w:hAnsi="Times New Roman" w:eastAsia="宋体" w:cs="Times New Roman"/>
                <w:b/>
                <w:i w:val="0"/>
                <w:color w:val="000000"/>
                <w:kern w:val="0"/>
                <w:sz w:val="21"/>
                <w:szCs w:val="21"/>
                <w:u w:val="none"/>
                <w:lang w:val="en-US" w:eastAsia="zh-CN" w:bidi="ar"/>
              </w:rPr>
              <w:t>100</w:t>
            </w:r>
            <w:r>
              <w:rPr>
                <w:rFonts w:hint="eastAsia" w:ascii="Times New Roman" w:hAnsi="Times New Roman" w:eastAsia="宋体" w:cs="Times New Roman"/>
                <w:b/>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采矿业</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0.1</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0</w:t>
            </w:r>
            <w:r>
              <w:rPr>
                <w:rFonts w:hint="eastAsia" w:ascii="Times New Roman" w:hAnsi="Times New Roman" w:eastAsia="宋体" w:cs="Times New Roman"/>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制造业</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1482</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10</w:t>
            </w:r>
            <w:r>
              <w:rPr>
                <w:rFonts w:hint="eastAsia" w:ascii="Times New Roman" w:hAnsi="Times New Roman" w:eastAsia="宋体" w:cs="Times New Roman"/>
                <w:i w:val="0"/>
                <w:color w:val="000000"/>
                <w:kern w:val="0"/>
                <w:sz w:val="21"/>
                <w:szCs w:val="21"/>
                <w:u w:val="none"/>
                <w:lang w:val="en-US" w:eastAsia="zh-CN" w:bidi="ar"/>
              </w:rPr>
              <w:t>.0</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340</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5.8</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电力、热力、燃气及水生产和供应业</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29</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0.2</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0</w:t>
            </w:r>
            <w:r>
              <w:rPr>
                <w:rFonts w:hint="eastAsia" w:ascii="Times New Roman" w:hAnsi="Times New Roman" w:eastAsia="宋体" w:cs="Times New Roman"/>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建筑业</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1417</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9.6</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11</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0.2</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批发和零售业</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6455</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43.7</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3293</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55.9</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交通运输、仓储和邮政业</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697</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4.7</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86</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住宿和餐饮业</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145</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1</w:t>
            </w:r>
            <w:r>
              <w:rPr>
                <w:rFonts w:hint="eastAsia" w:ascii="Times New Roman" w:hAnsi="Times New Roman" w:eastAsia="宋体" w:cs="Times New Roman"/>
                <w:i w:val="0"/>
                <w:color w:val="000000"/>
                <w:kern w:val="0"/>
                <w:sz w:val="21"/>
                <w:szCs w:val="21"/>
                <w:u w:val="none"/>
                <w:lang w:val="en-US" w:eastAsia="zh-CN" w:bidi="ar"/>
              </w:rPr>
              <w:t>.0</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1383</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23.5</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信息传输、软件和信息技术服务业</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687</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4.7</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10</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0.2</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金融业</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290</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2</w:t>
            </w:r>
            <w:r>
              <w:rPr>
                <w:rFonts w:hint="eastAsia" w:ascii="Times New Roman" w:hAnsi="Times New Roman" w:eastAsia="宋体" w:cs="Times New Roman"/>
                <w:i w:val="0"/>
                <w:color w:val="000000"/>
                <w:kern w:val="0"/>
                <w:sz w:val="21"/>
                <w:szCs w:val="21"/>
                <w:u w:val="none"/>
                <w:lang w:val="en-US" w:eastAsia="zh-CN" w:bidi="ar"/>
              </w:rPr>
              <w:t>.0</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房地产业</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344</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2.3</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0.1</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租赁和商务服务业</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1491</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10.1</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89</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科学研究和技术服务业</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929</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6.3</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8</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0.1</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水利、环境和公共设施管理业</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59</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0.4</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居民服务、修理和其他服务业</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250</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1.7</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551</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9.4</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教育</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118</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0.8</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0.3</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卫生和社会工作</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37</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0.3</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54</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0.9</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文化、体育和娱乐业</w:t>
            </w:r>
          </w:p>
        </w:tc>
        <w:tc>
          <w:tcPr>
            <w:tcW w:w="1370"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232</w:t>
            </w:r>
          </w:p>
        </w:tc>
        <w:tc>
          <w:tcPr>
            <w:tcW w:w="121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w:t>
            </w:r>
          </w:p>
        </w:tc>
        <w:tc>
          <w:tcPr>
            <w:tcW w:w="1133"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38</w:t>
            </w:r>
          </w:p>
        </w:tc>
        <w:tc>
          <w:tcPr>
            <w:tcW w:w="118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0.6</w:t>
            </w:r>
          </w:p>
        </w:tc>
      </w:tr>
      <w:tr>
        <w:tblPrEx>
          <w:tblCellMar>
            <w:top w:w="0" w:type="dxa"/>
            <w:left w:w="0" w:type="dxa"/>
            <w:bottom w:w="0" w:type="dxa"/>
            <w:right w:w="0" w:type="dxa"/>
          </w:tblCellMar>
        </w:tblPrEx>
        <w:trPr>
          <w:trHeight w:val="353" w:hRule="atLeast"/>
          <w:jc w:val="center"/>
        </w:trPr>
        <w:tc>
          <w:tcPr>
            <w:tcW w:w="3715"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公共管理、社会保障和社会组织</w:t>
            </w:r>
          </w:p>
        </w:tc>
        <w:tc>
          <w:tcPr>
            <w:tcW w:w="1370" w:type="dxa"/>
            <w:tcBorders>
              <w:top w:val="nil"/>
              <w:left w:val="nil"/>
              <w:bottom w:val="single" w:color="000000" w:sz="12" w:space="0"/>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98</w:t>
            </w:r>
          </w:p>
        </w:tc>
        <w:tc>
          <w:tcPr>
            <w:tcW w:w="1216" w:type="dxa"/>
            <w:tcBorders>
              <w:top w:val="nil"/>
              <w:left w:val="nil"/>
              <w:bottom w:val="single" w:color="000000" w:sz="12" w:space="0"/>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0.6</w:t>
            </w:r>
          </w:p>
        </w:tc>
        <w:tc>
          <w:tcPr>
            <w:tcW w:w="1133" w:type="dxa"/>
            <w:tcBorders>
              <w:top w:val="nil"/>
              <w:left w:val="nil"/>
              <w:bottom w:val="single" w:color="000000" w:sz="12" w:space="0"/>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1186" w:type="dxa"/>
            <w:tcBorders>
              <w:top w:val="nil"/>
              <w:left w:val="nil"/>
              <w:bottom w:val="single" w:color="000000" w:sz="12" w:space="0"/>
              <w:right w:val="nil"/>
            </w:tcBorders>
            <w:noWrap w:val="0"/>
            <w:tcMar>
              <w:top w:w="15" w:type="dxa"/>
              <w:left w:w="15" w:type="dxa"/>
              <w:right w:w="15" w:type="dxa"/>
            </w:tcMar>
            <w:vAlign w:val="top"/>
          </w:tcPr>
          <w:p>
            <w:pPr>
              <w:keepNext w:val="0"/>
              <w:keepLines w:val="0"/>
              <w:widowControl/>
              <w:suppressLineNumbers w:val="0"/>
              <w:jc w:val="right"/>
              <w:textAlignment w:val="top"/>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737" w:hRule="atLeast"/>
          <w:jc w:val="center"/>
        </w:trPr>
        <w:tc>
          <w:tcPr>
            <w:tcW w:w="8620" w:type="dxa"/>
            <w:gridSpan w:val="5"/>
            <w:tcBorders>
              <w:top w:val="nil"/>
              <w:left w:val="nil"/>
              <w:bottom w:val="nil"/>
              <w:right w:val="nil"/>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ascii="楷体" w:hAnsi="楷体" w:eastAsia="楷体" w:cs="楷体"/>
                <w:i w:val="0"/>
                <w:color w:val="000000"/>
                <w:sz w:val="21"/>
                <w:szCs w:val="21"/>
                <w:u w:val="none"/>
              </w:rPr>
            </w:pPr>
            <w:r>
              <w:rPr>
                <w:rFonts w:hint="eastAsia" w:ascii="楷体" w:hAnsi="楷体" w:eastAsia="楷体" w:cs="楷体"/>
                <w:i w:val="0"/>
                <w:color w:val="000000"/>
                <w:kern w:val="0"/>
                <w:sz w:val="21"/>
                <w:szCs w:val="21"/>
                <w:u w:val="none"/>
                <w:lang w:val="en-US" w:eastAsia="zh-CN" w:bidi="ar"/>
              </w:rPr>
              <w:t>注：表中合计数含从事农、林、牧、渔专业及辅助性活动和兼营第二、三产业活动的农、林、牧、渔业法人单位与个体经营户。</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default" w:ascii="Times New Roman" w:hAnsi="Times New Roman" w:eastAsia="仿宋_GB2312" w:cs="Times New Roman"/>
          <w:sz w:val="32"/>
          <w:szCs w:val="32"/>
        </w:rPr>
        <w:t>2018</w:t>
      </w:r>
      <w:r>
        <w:rPr>
          <w:rFonts w:hint="eastAsia" w:ascii="Times New Roman" w:hAnsi="Times New Roman" w:eastAsia="仿宋_GB2312" w:cs="Times New Roman"/>
          <w:sz w:val="32"/>
          <w:szCs w:val="32"/>
        </w:rPr>
        <w:t>年末，全区</w:t>
      </w:r>
      <w:r>
        <w:rPr>
          <w:rFonts w:hint="default" w:ascii="Times New Roman" w:hAnsi="Times New Roman" w:eastAsia="仿宋_GB2312" w:cs="Times New Roman"/>
          <w:sz w:val="32"/>
          <w:szCs w:val="32"/>
        </w:rPr>
        <w:t>共有</w:t>
      </w:r>
      <w:r>
        <w:rPr>
          <w:rFonts w:hint="eastAsia" w:ascii="Times New Roman" w:hAnsi="Times New Roman" w:eastAsia="仿宋_GB2312" w:cs="Times New Roman"/>
          <w:sz w:val="32"/>
          <w:szCs w:val="32"/>
        </w:rPr>
        <w:t>第二产业</w:t>
      </w:r>
      <w:r>
        <w:rPr>
          <w:rFonts w:hint="default" w:ascii="Times New Roman" w:hAnsi="Times New Roman" w:eastAsia="仿宋_GB2312" w:cs="Times New Roman"/>
          <w:sz w:val="32"/>
          <w:szCs w:val="32"/>
        </w:rPr>
        <w:t>和第三产业的</w:t>
      </w:r>
      <w:r>
        <w:rPr>
          <w:rFonts w:hint="eastAsia" w:ascii="Times New Roman" w:hAnsi="Times New Roman" w:eastAsia="仿宋_GB2312" w:cs="Times New Roman"/>
          <w:sz w:val="32"/>
          <w:szCs w:val="32"/>
        </w:rPr>
        <w:t>企业法人单位14558</w:t>
      </w:r>
      <w:r>
        <w:rPr>
          <w:rFonts w:hint="default" w:ascii="Times New Roman" w:hAnsi="Times New Roman" w:eastAsia="仿宋_GB2312" w:cs="Times New Roman"/>
          <w:sz w:val="32"/>
          <w:szCs w:val="32"/>
        </w:rPr>
        <w:t>个，比</w:t>
      </w:r>
      <w:r>
        <w:rPr>
          <w:rFonts w:hint="eastAsia" w:ascii="Times New Roman" w:hAnsi="Times New Roman" w:eastAsia="仿宋_GB2312" w:cs="Times New Roman"/>
          <w:sz w:val="32"/>
          <w:szCs w:val="32"/>
        </w:rPr>
        <w:t>2013年末</w:t>
      </w:r>
      <w:r>
        <w:rPr>
          <w:rFonts w:hint="default" w:ascii="Times New Roman" w:hAnsi="Times New Roman" w:eastAsia="仿宋_GB2312" w:cs="Times New Roman"/>
          <w:sz w:val="32"/>
          <w:szCs w:val="32"/>
        </w:rPr>
        <w:t>增加</w:t>
      </w:r>
      <w:r>
        <w:rPr>
          <w:rFonts w:hint="eastAsia" w:ascii="Times New Roman" w:hAnsi="Times New Roman" w:eastAsia="仿宋_GB2312" w:cs="Times New Roman"/>
          <w:sz w:val="32"/>
          <w:szCs w:val="32"/>
        </w:rPr>
        <w:t>7</w:t>
      </w:r>
      <w:r>
        <w:rPr>
          <w:rFonts w:hint="eastAsia" w:ascii="Times New Roman" w:hAnsi="Times New Roman" w:eastAsia="仿宋_GB2312" w:cs="Times New Roman"/>
          <w:sz w:val="32"/>
          <w:szCs w:val="32"/>
          <w:lang w:val="en-US" w:eastAsia="zh-CN"/>
        </w:rPr>
        <w:t>856</w:t>
      </w:r>
      <w:r>
        <w:rPr>
          <w:rFonts w:hint="default" w:ascii="Times New Roman" w:hAnsi="Times New Roman" w:eastAsia="仿宋_GB2312" w:cs="Times New Roman"/>
          <w:sz w:val="32"/>
          <w:szCs w:val="32"/>
        </w:rPr>
        <w:t>个，增长</w:t>
      </w:r>
      <w:r>
        <w:rPr>
          <w:rFonts w:hint="eastAsia" w:ascii="Times New Roman" w:hAnsi="Times New Roman" w:eastAsia="仿宋_GB2312" w:cs="Times New Roman"/>
          <w:sz w:val="32"/>
          <w:szCs w:val="32"/>
        </w:rPr>
        <w:t>11</w:t>
      </w: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其中，内资企业占99.</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，港、澳、台商投资企业占0.</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，外商投资企业占0.</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。内资企业中，国有企业占全部企业法人单位的0.1</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，私营企业占88.</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（详见表</w:t>
      </w:r>
      <w:r>
        <w:rPr>
          <w:rFonts w:hint="default" w:ascii="Times New Roman" w:hAnsi="Times New Roman" w:eastAsia="仿宋_GB2312" w:cs="Times New Roman"/>
          <w:sz w:val="32"/>
          <w:szCs w:val="32"/>
        </w:rPr>
        <w:t>2-</w:t>
      </w:r>
      <w:r>
        <w:rPr>
          <w:rFonts w:hint="eastAsia" w:ascii="Times New Roman" w:hAnsi="Times New Roman" w:eastAsia="仿宋_GB2312" w:cs="Times New Roman"/>
          <w:sz w:val="32"/>
          <w:szCs w:val="32"/>
        </w:rPr>
        <w:t>3）。</w:t>
      </w:r>
    </w:p>
    <w:tbl>
      <w:tblPr>
        <w:tblStyle w:val="8"/>
        <w:tblW w:w="8580" w:type="dxa"/>
        <w:jc w:val="center"/>
        <w:tblLayout w:type="autofit"/>
        <w:tblCellMar>
          <w:top w:w="0" w:type="dxa"/>
          <w:left w:w="0" w:type="dxa"/>
          <w:bottom w:w="0" w:type="dxa"/>
          <w:right w:w="0" w:type="dxa"/>
        </w:tblCellMar>
      </w:tblPr>
      <w:tblGrid>
        <w:gridCol w:w="3412"/>
        <w:gridCol w:w="3412"/>
        <w:gridCol w:w="1756"/>
      </w:tblGrid>
      <w:tr>
        <w:tblPrEx>
          <w:tblCellMar>
            <w:top w:w="0" w:type="dxa"/>
            <w:left w:w="0" w:type="dxa"/>
            <w:bottom w:w="0" w:type="dxa"/>
            <w:right w:w="0" w:type="dxa"/>
          </w:tblCellMar>
        </w:tblPrEx>
        <w:trPr>
          <w:trHeight w:val="305" w:hRule="atLeast"/>
          <w:jc w:val="center"/>
        </w:trPr>
        <w:tc>
          <w:tcPr>
            <w:tcW w:w="8580" w:type="dxa"/>
            <w:gridSpan w:val="3"/>
            <w:tcBorders>
              <w:top w:val="nil"/>
              <w:left w:val="nil"/>
              <w:bottom w:val="single" w:color="000000" w:sz="12"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w:t>
            </w:r>
            <w:r>
              <w:rPr>
                <w:rFonts w:hint="default" w:ascii="Times New Roman" w:hAnsi="Times New Roman" w:eastAsia="宋体" w:cs="Times New Roman"/>
                <w:b/>
                <w:i w:val="0"/>
                <w:color w:val="000000"/>
                <w:kern w:val="0"/>
                <w:sz w:val="24"/>
                <w:szCs w:val="24"/>
                <w:u w:val="none"/>
                <w:lang w:val="en-US" w:eastAsia="zh-CN" w:bidi="ar"/>
              </w:rPr>
              <w:t>2-</w:t>
            </w:r>
            <w:r>
              <w:rPr>
                <w:rFonts w:hint="eastAsia" w:ascii="宋体" w:hAnsi="宋体" w:eastAsia="宋体" w:cs="宋体"/>
                <w:b/>
                <w:i w:val="0"/>
                <w:color w:val="000000"/>
                <w:kern w:val="0"/>
                <w:sz w:val="24"/>
                <w:szCs w:val="24"/>
                <w:u w:val="none"/>
                <w:lang w:val="en-US" w:eastAsia="zh-CN" w:bidi="ar"/>
              </w:rPr>
              <w:t>3按登记注册类型分组的企业法人单位</w:t>
            </w:r>
          </w:p>
        </w:tc>
      </w:tr>
      <w:tr>
        <w:tblPrEx>
          <w:tblCellMar>
            <w:top w:w="0" w:type="dxa"/>
            <w:left w:w="0" w:type="dxa"/>
            <w:bottom w:w="0" w:type="dxa"/>
            <w:right w:w="0" w:type="dxa"/>
          </w:tblCellMar>
        </w:tblPrEx>
        <w:trPr>
          <w:trHeight w:val="526" w:hRule="atLeast"/>
          <w:jc w:val="center"/>
        </w:trPr>
        <w:tc>
          <w:tcPr>
            <w:tcW w:w="3412" w:type="dxa"/>
            <w:tcBorders>
              <w:top w:val="nil"/>
              <w:left w:val="nil"/>
              <w:bottom w:val="single" w:color="000000" w:sz="12"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412" w:type="dxa"/>
            <w:tcBorders>
              <w:top w:val="single" w:color="000000" w:sz="12" w:space="0"/>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单位数（个）</w:t>
            </w:r>
          </w:p>
        </w:tc>
        <w:tc>
          <w:tcPr>
            <w:tcW w:w="1756" w:type="dxa"/>
            <w:tcBorders>
              <w:top w:val="single" w:color="000000" w:sz="12" w:space="0"/>
              <w:left w:val="nil"/>
              <w:bottom w:val="single" w:color="000000" w:sz="12"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比重（</w:t>
            </w:r>
            <w:r>
              <w:rPr>
                <w:rFonts w:hint="default" w:ascii="Times New Roman" w:hAnsi="Times New Roman" w:eastAsia="宋体" w:cs="Times New Roman"/>
                <w:b/>
                <w:i w:val="0"/>
                <w:color w:val="000000"/>
                <w:kern w:val="0"/>
                <w:sz w:val="21"/>
                <w:szCs w:val="21"/>
                <w:u w:val="none"/>
                <w:lang w:val="en-US" w:eastAsia="zh-CN" w:bidi="ar"/>
              </w:rPr>
              <w:t>%</w:t>
            </w:r>
            <w:r>
              <w:rPr>
                <w:rFonts w:hint="eastAsia" w:ascii="宋体" w:hAnsi="宋体" w:eastAsia="宋体" w:cs="宋体"/>
                <w:b/>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333" w:hRule="atLeast"/>
          <w:jc w:val="center"/>
        </w:trPr>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合 计</w:t>
            </w:r>
          </w:p>
        </w:tc>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14558</w:t>
            </w:r>
          </w:p>
        </w:tc>
        <w:tc>
          <w:tcPr>
            <w:tcW w:w="175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 xml:space="preserve">100.0 </w:t>
            </w:r>
          </w:p>
        </w:tc>
      </w:tr>
      <w:tr>
        <w:tblPrEx>
          <w:tblCellMar>
            <w:top w:w="0" w:type="dxa"/>
            <w:left w:w="0" w:type="dxa"/>
            <w:bottom w:w="0" w:type="dxa"/>
            <w:right w:w="0" w:type="dxa"/>
          </w:tblCellMar>
        </w:tblPrEx>
        <w:trPr>
          <w:trHeight w:val="305" w:hRule="atLeast"/>
          <w:jc w:val="center"/>
        </w:trPr>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内资企业</w:t>
            </w:r>
          </w:p>
        </w:tc>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14476</w:t>
            </w:r>
          </w:p>
        </w:tc>
        <w:tc>
          <w:tcPr>
            <w:tcW w:w="175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 xml:space="preserve">99.4 </w:t>
            </w:r>
          </w:p>
        </w:tc>
      </w:tr>
      <w:tr>
        <w:tblPrEx>
          <w:tblCellMar>
            <w:top w:w="0" w:type="dxa"/>
            <w:left w:w="0" w:type="dxa"/>
            <w:bottom w:w="0" w:type="dxa"/>
            <w:right w:w="0" w:type="dxa"/>
          </w:tblCellMar>
        </w:tblPrEx>
        <w:trPr>
          <w:trHeight w:val="305" w:hRule="atLeast"/>
          <w:jc w:val="center"/>
        </w:trPr>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国有企业</w:t>
            </w:r>
          </w:p>
        </w:tc>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20</w:t>
            </w:r>
          </w:p>
        </w:tc>
        <w:tc>
          <w:tcPr>
            <w:tcW w:w="175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0.1 </w:t>
            </w:r>
          </w:p>
        </w:tc>
      </w:tr>
      <w:tr>
        <w:tblPrEx>
          <w:tblCellMar>
            <w:top w:w="0" w:type="dxa"/>
            <w:left w:w="0" w:type="dxa"/>
            <w:bottom w:w="0" w:type="dxa"/>
            <w:right w:w="0" w:type="dxa"/>
          </w:tblCellMar>
        </w:tblPrEx>
        <w:trPr>
          <w:trHeight w:val="305" w:hRule="atLeast"/>
          <w:jc w:val="center"/>
        </w:trPr>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集体企业</w:t>
            </w:r>
          </w:p>
        </w:tc>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11</w:t>
            </w:r>
          </w:p>
        </w:tc>
        <w:tc>
          <w:tcPr>
            <w:tcW w:w="175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0.1 </w:t>
            </w:r>
          </w:p>
        </w:tc>
      </w:tr>
      <w:tr>
        <w:tblPrEx>
          <w:tblCellMar>
            <w:top w:w="0" w:type="dxa"/>
            <w:left w:w="0" w:type="dxa"/>
            <w:bottom w:w="0" w:type="dxa"/>
            <w:right w:w="0" w:type="dxa"/>
          </w:tblCellMar>
        </w:tblPrEx>
        <w:trPr>
          <w:trHeight w:val="305" w:hRule="atLeast"/>
          <w:jc w:val="center"/>
        </w:trPr>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股份合作企业</w:t>
            </w:r>
          </w:p>
        </w:tc>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75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0.0 </w:t>
            </w:r>
          </w:p>
        </w:tc>
      </w:tr>
      <w:tr>
        <w:tblPrEx>
          <w:tblCellMar>
            <w:top w:w="0" w:type="dxa"/>
            <w:left w:w="0" w:type="dxa"/>
            <w:bottom w:w="0" w:type="dxa"/>
            <w:right w:w="0" w:type="dxa"/>
          </w:tblCellMar>
        </w:tblPrEx>
        <w:trPr>
          <w:trHeight w:val="305" w:hRule="atLeast"/>
          <w:jc w:val="center"/>
        </w:trPr>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联营企业</w:t>
            </w:r>
          </w:p>
        </w:tc>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75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0.0 </w:t>
            </w:r>
          </w:p>
        </w:tc>
      </w:tr>
      <w:tr>
        <w:tblPrEx>
          <w:tblCellMar>
            <w:top w:w="0" w:type="dxa"/>
            <w:left w:w="0" w:type="dxa"/>
            <w:bottom w:w="0" w:type="dxa"/>
            <w:right w:w="0" w:type="dxa"/>
          </w:tblCellMar>
        </w:tblPrEx>
        <w:trPr>
          <w:trHeight w:val="305" w:hRule="atLeast"/>
          <w:jc w:val="center"/>
        </w:trPr>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1466</w:t>
            </w:r>
          </w:p>
        </w:tc>
        <w:tc>
          <w:tcPr>
            <w:tcW w:w="175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10.1 </w:t>
            </w:r>
          </w:p>
        </w:tc>
      </w:tr>
      <w:tr>
        <w:tblPrEx>
          <w:tblCellMar>
            <w:top w:w="0" w:type="dxa"/>
            <w:left w:w="0" w:type="dxa"/>
            <w:bottom w:w="0" w:type="dxa"/>
            <w:right w:w="0" w:type="dxa"/>
          </w:tblCellMar>
        </w:tblPrEx>
        <w:trPr>
          <w:trHeight w:val="305" w:hRule="atLeast"/>
          <w:jc w:val="center"/>
        </w:trPr>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股份有限公司</w:t>
            </w:r>
          </w:p>
        </w:tc>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67</w:t>
            </w:r>
          </w:p>
        </w:tc>
        <w:tc>
          <w:tcPr>
            <w:tcW w:w="175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0.5 </w:t>
            </w:r>
          </w:p>
        </w:tc>
      </w:tr>
      <w:tr>
        <w:tblPrEx>
          <w:tblCellMar>
            <w:top w:w="0" w:type="dxa"/>
            <w:left w:w="0" w:type="dxa"/>
            <w:bottom w:w="0" w:type="dxa"/>
            <w:right w:w="0" w:type="dxa"/>
          </w:tblCellMar>
        </w:tblPrEx>
        <w:trPr>
          <w:trHeight w:val="305" w:hRule="atLeast"/>
          <w:jc w:val="center"/>
        </w:trPr>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私营企业</w:t>
            </w:r>
          </w:p>
        </w:tc>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12910</w:t>
            </w:r>
          </w:p>
        </w:tc>
        <w:tc>
          <w:tcPr>
            <w:tcW w:w="175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88.7 </w:t>
            </w:r>
          </w:p>
        </w:tc>
      </w:tr>
      <w:tr>
        <w:tblPrEx>
          <w:tblCellMar>
            <w:top w:w="0" w:type="dxa"/>
            <w:left w:w="0" w:type="dxa"/>
            <w:bottom w:w="0" w:type="dxa"/>
            <w:right w:w="0" w:type="dxa"/>
          </w:tblCellMar>
        </w:tblPrEx>
        <w:trPr>
          <w:trHeight w:val="305" w:hRule="atLeast"/>
          <w:jc w:val="center"/>
        </w:trPr>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其他企业</w:t>
            </w:r>
          </w:p>
        </w:tc>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175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438" w:hRule="atLeast"/>
          <w:jc w:val="center"/>
        </w:trPr>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港、澳、台商投资企业</w:t>
            </w:r>
          </w:p>
        </w:tc>
        <w:tc>
          <w:tcPr>
            <w:tcW w:w="3412"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42</w:t>
            </w:r>
          </w:p>
        </w:tc>
        <w:tc>
          <w:tcPr>
            <w:tcW w:w="1756"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 xml:space="preserve">0.3 </w:t>
            </w:r>
          </w:p>
        </w:tc>
      </w:tr>
      <w:tr>
        <w:tblPrEx>
          <w:tblCellMar>
            <w:top w:w="0" w:type="dxa"/>
            <w:left w:w="0" w:type="dxa"/>
            <w:bottom w:w="0" w:type="dxa"/>
            <w:right w:w="0" w:type="dxa"/>
          </w:tblCellMar>
        </w:tblPrEx>
        <w:trPr>
          <w:trHeight w:val="333" w:hRule="atLeast"/>
          <w:jc w:val="center"/>
        </w:trPr>
        <w:tc>
          <w:tcPr>
            <w:tcW w:w="3412"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外商投资企业</w:t>
            </w:r>
          </w:p>
        </w:tc>
        <w:tc>
          <w:tcPr>
            <w:tcW w:w="3412"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40</w:t>
            </w:r>
          </w:p>
        </w:tc>
        <w:tc>
          <w:tcPr>
            <w:tcW w:w="1756" w:type="dxa"/>
            <w:tcBorders>
              <w:top w:val="nil"/>
              <w:left w:val="nil"/>
              <w:bottom w:val="single" w:color="000000" w:sz="12" w:space="0"/>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 xml:space="preserve">0.3 </w:t>
            </w:r>
          </w:p>
        </w:tc>
      </w:tr>
    </w:tbl>
    <w:p>
      <w:pPr>
        <w:pStyle w:val="2"/>
        <w:rPr>
          <w:rFonts w:hint="eastAsia"/>
        </w:rPr>
      </w:pPr>
    </w:p>
    <w:p>
      <w:pPr>
        <w:adjustRightInd w:val="0"/>
        <w:snapToGrid w:val="0"/>
        <w:spacing w:line="600" w:lineRule="exact"/>
        <w:ind w:firstLine="640" w:firstLineChars="200"/>
        <w:outlineLvl w:val="1"/>
        <w:rPr>
          <w:rFonts w:hint="eastAsia" w:ascii="黑体" w:hAnsi="黑体" w:eastAsia="黑体"/>
          <w:sz w:val="32"/>
          <w:szCs w:val="32"/>
        </w:rPr>
      </w:pPr>
      <w:r>
        <w:rPr>
          <w:rFonts w:hint="eastAsia" w:ascii="黑体" w:hAnsi="黑体" w:eastAsia="黑体"/>
          <w:sz w:val="32"/>
          <w:szCs w:val="32"/>
        </w:rPr>
        <w:t>二、从业人员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default" w:ascii="Times New Roman" w:hAnsi="Times New Roman" w:eastAsia="仿宋_GB2312" w:cs="Times New Roman"/>
          <w:sz w:val="32"/>
          <w:szCs w:val="32"/>
        </w:rPr>
        <w:t>2018</w:t>
      </w:r>
      <w:r>
        <w:rPr>
          <w:rFonts w:hint="eastAsia" w:ascii="Times New Roman" w:hAnsi="Times New Roman" w:eastAsia="仿宋_GB2312" w:cs="Times New Roman"/>
          <w:sz w:val="32"/>
          <w:szCs w:val="32"/>
        </w:rPr>
        <w:t>年末，全区第二产业和第三产业法人单位从业人员218309</w:t>
      </w:r>
      <w:r>
        <w:rPr>
          <w:rFonts w:hint="eastAsia" w:ascii="Times New Roman" w:hAnsi="Times New Roman" w:eastAsia="仿宋_GB2312" w:cs="Times New Roman"/>
          <w:sz w:val="32"/>
          <w:szCs w:val="32"/>
          <w:lang w:eastAsia="zh-CN"/>
        </w:rPr>
        <w:t>人</w:t>
      </w:r>
      <w:r>
        <w:rPr>
          <w:rFonts w:hint="eastAsia" w:ascii="Times New Roman" w:hAnsi="Times New Roman" w:eastAsia="仿宋_GB2312" w:cs="Times New Roman"/>
          <w:sz w:val="32"/>
          <w:szCs w:val="32"/>
        </w:rPr>
        <w:t>，比</w:t>
      </w:r>
      <w:r>
        <w:rPr>
          <w:rFonts w:hint="default" w:ascii="Times New Roman" w:hAnsi="Times New Roman" w:eastAsia="仿宋_GB2312" w:cs="Times New Roman"/>
          <w:sz w:val="32"/>
          <w:szCs w:val="32"/>
        </w:rPr>
        <w:t>2013</w:t>
      </w:r>
      <w:r>
        <w:rPr>
          <w:rFonts w:hint="eastAsia" w:ascii="Times New Roman" w:hAnsi="Times New Roman" w:eastAsia="仿宋_GB2312" w:cs="Times New Roman"/>
          <w:sz w:val="32"/>
          <w:szCs w:val="32"/>
        </w:rPr>
        <w:t>年末增加89790人，增长69.</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，其中</w:t>
      </w:r>
      <w:r>
        <w:rPr>
          <w:rFonts w:hint="default" w:ascii="Times New Roman" w:hAnsi="Times New Roman" w:eastAsia="仿宋_GB2312" w:cs="Times New Roman"/>
          <w:sz w:val="32"/>
          <w:szCs w:val="32"/>
        </w:rPr>
        <w:t>女性从业人员</w:t>
      </w:r>
      <w:r>
        <w:rPr>
          <w:rFonts w:hint="eastAsia" w:ascii="Times New Roman" w:hAnsi="Times New Roman" w:eastAsia="仿宋_GB2312" w:cs="Times New Roman"/>
          <w:sz w:val="32"/>
          <w:szCs w:val="32"/>
        </w:rPr>
        <w:t>76938</w:t>
      </w:r>
      <w:r>
        <w:rPr>
          <w:rFonts w:hint="default" w:ascii="Times New Roman" w:hAnsi="Times New Roman" w:eastAsia="仿宋_GB2312" w:cs="Times New Roman"/>
          <w:sz w:val="32"/>
          <w:szCs w:val="32"/>
        </w:rPr>
        <w:t>人</w:t>
      </w:r>
      <w:r>
        <w:rPr>
          <w:rFonts w:hint="eastAsia" w:ascii="Times New Roman" w:hAnsi="Times New Roman" w:eastAsia="仿宋_GB2312" w:cs="Times New Roman"/>
          <w:sz w:val="32"/>
          <w:szCs w:val="32"/>
        </w:rPr>
        <w:t>。第二产业的从业人员为</w:t>
      </w:r>
      <w:r>
        <w:rPr>
          <w:rFonts w:hint="eastAsia" w:ascii="Times New Roman" w:hAnsi="Times New Roman" w:eastAsia="仿宋_GB2312" w:cs="Times New Roman"/>
          <w:sz w:val="32"/>
          <w:szCs w:val="32"/>
          <w:lang w:val="en-US" w:eastAsia="zh-CN"/>
        </w:rPr>
        <w:t>87544</w:t>
      </w:r>
      <w:r>
        <w:rPr>
          <w:rFonts w:hint="eastAsia" w:ascii="Times New Roman" w:hAnsi="Times New Roman" w:eastAsia="仿宋_GB2312" w:cs="Times New Roman"/>
          <w:sz w:val="32"/>
          <w:szCs w:val="32"/>
        </w:rPr>
        <w:t>人，增加3</w:t>
      </w:r>
      <w:r>
        <w:rPr>
          <w:rFonts w:hint="eastAsia" w:ascii="Times New Roman" w:hAnsi="Times New Roman" w:eastAsia="仿宋_GB2312" w:cs="Times New Roman"/>
          <w:sz w:val="32"/>
          <w:szCs w:val="32"/>
          <w:lang w:val="en-US" w:eastAsia="zh-CN"/>
        </w:rPr>
        <w:t>4631</w:t>
      </w:r>
      <w:r>
        <w:rPr>
          <w:rFonts w:hint="eastAsia" w:ascii="Times New Roman" w:hAnsi="Times New Roman" w:eastAsia="仿宋_GB2312" w:cs="Times New Roman"/>
          <w:sz w:val="32"/>
          <w:szCs w:val="32"/>
        </w:rPr>
        <w:t>人，增长</w:t>
      </w:r>
      <w:r>
        <w:rPr>
          <w:rFonts w:hint="eastAsia" w:ascii="Times New Roman" w:hAnsi="Times New Roman" w:eastAsia="仿宋_GB2312" w:cs="Times New Roman"/>
          <w:sz w:val="32"/>
          <w:szCs w:val="32"/>
          <w:lang w:val="en-US" w:eastAsia="zh-CN"/>
        </w:rPr>
        <w:t>65.5</w:t>
      </w:r>
      <w:r>
        <w:rPr>
          <w:rFonts w:hint="eastAsia" w:ascii="Times New Roman" w:hAnsi="Times New Roman" w:eastAsia="仿宋_GB2312" w:cs="Times New Roman"/>
          <w:sz w:val="32"/>
          <w:szCs w:val="32"/>
        </w:rPr>
        <w:t>%；第三产业的从业人员为130</w:t>
      </w:r>
      <w:r>
        <w:rPr>
          <w:rFonts w:hint="eastAsia" w:ascii="Times New Roman" w:hAnsi="Times New Roman" w:eastAsia="仿宋_GB2312" w:cs="Times New Roman"/>
          <w:sz w:val="32"/>
          <w:szCs w:val="32"/>
          <w:lang w:val="en-US" w:eastAsia="zh-CN"/>
        </w:rPr>
        <w:t>765</w:t>
      </w:r>
      <w:r>
        <w:rPr>
          <w:rFonts w:hint="eastAsia" w:ascii="Times New Roman" w:hAnsi="Times New Roman" w:eastAsia="仿宋_GB2312" w:cs="Times New Roman"/>
          <w:sz w:val="32"/>
          <w:szCs w:val="32"/>
        </w:rPr>
        <w:t>人，增加55</w:t>
      </w:r>
      <w:r>
        <w:rPr>
          <w:rFonts w:hint="eastAsia" w:ascii="Times New Roman" w:hAnsi="Times New Roman" w:eastAsia="仿宋_GB2312" w:cs="Times New Roman"/>
          <w:sz w:val="32"/>
          <w:szCs w:val="32"/>
          <w:lang w:val="en-US" w:eastAsia="zh-CN"/>
        </w:rPr>
        <w:t>159</w:t>
      </w:r>
      <w:r>
        <w:rPr>
          <w:rFonts w:hint="eastAsia" w:ascii="Times New Roman" w:hAnsi="Times New Roman" w:eastAsia="仿宋_GB2312" w:cs="Times New Roman"/>
          <w:sz w:val="32"/>
          <w:szCs w:val="32"/>
        </w:rPr>
        <w:t>人，增长72.</w:t>
      </w:r>
      <w:r>
        <w:rPr>
          <w:rFonts w:hint="eastAsia"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在法人单位从业人员中，位居前三位的行业是：批发和零售业50566人，占23.</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；建筑业46483人，占21.</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；制造业34006人，占15.</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（详见表</w:t>
      </w:r>
      <w:r>
        <w:rPr>
          <w:rFonts w:hint="default" w:ascii="Times New Roman" w:hAnsi="Times New Roman" w:eastAsia="仿宋_GB2312" w:cs="Times New Roman"/>
          <w:sz w:val="32"/>
          <w:szCs w:val="32"/>
        </w:rPr>
        <w:t>2-</w:t>
      </w:r>
      <w:r>
        <w:rPr>
          <w:rFonts w:hint="eastAsia" w:ascii="Times New Roman" w:hAnsi="Times New Roman" w:eastAsia="仿宋_GB2312" w:cs="Times New Roman"/>
          <w:sz w:val="32"/>
          <w:szCs w:val="32"/>
        </w:rPr>
        <w:t>4）。</w:t>
      </w:r>
    </w:p>
    <w:tbl>
      <w:tblPr>
        <w:tblStyle w:val="8"/>
        <w:tblW w:w="0" w:type="auto"/>
        <w:jc w:val="center"/>
        <w:tblLayout w:type="fixed"/>
        <w:tblCellMar>
          <w:top w:w="0" w:type="dxa"/>
          <w:left w:w="0" w:type="dxa"/>
          <w:bottom w:w="0" w:type="dxa"/>
          <w:right w:w="0" w:type="dxa"/>
        </w:tblCellMar>
      </w:tblPr>
      <w:tblGrid>
        <w:gridCol w:w="4884"/>
        <w:gridCol w:w="1986"/>
        <w:gridCol w:w="2030"/>
      </w:tblGrid>
      <w:tr>
        <w:tblPrEx>
          <w:tblCellMar>
            <w:top w:w="0" w:type="dxa"/>
            <w:left w:w="0" w:type="dxa"/>
            <w:bottom w:w="0" w:type="dxa"/>
            <w:right w:w="0" w:type="dxa"/>
          </w:tblCellMar>
        </w:tblPrEx>
        <w:trPr>
          <w:trHeight w:val="587" w:hRule="atLeast"/>
          <w:jc w:val="center"/>
        </w:trPr>
        <w:tc>
          <w:tcPr>
            <w:tcW w:w="8900" w:type="dxa"/>
            <w:gridSpan w:val="3"/>
            <w:tcBorders>
              <w:top w:val="nil"/>
              <w:left w:val="nil"/>
              <w:bottom w:val="single" w:color="000000" w:sz="12"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w:t>
            </w:r>
            <w:r>
              <w:rPr>
                <w:rFonts w:hint="default" w:ascii="Times New Roman" w:hAnsi="Times New Roman" w:eastAsia="宋体" w:cs="Times New Roman"/>
                <w:b/>
                <w:i w:val="0"/>
                <w:color w:val="000000"/>
                <w:kern w:val="0"/>
                <w:sz w:val="24"/>
                <w:szCs w:val="24"/>
                <w:u w:val="none"/>
                <w:lang w:val="en-US" w:eastAsia="zh-CN" w:bidi="ar"/>
              </w:rPr>
              <w:t>2-</w:t>
            </w:r>
            <w:r>
              <w:rPr>
                <w:rFonts w:hint="eastAsia" w:ascii="宋体" w:hAnsi="宋体" w:eastAsia="宋体" w:cs="宋体"/>
                <w:b/>
                <w:i w:val="0"/>
                <w:color w:val="000000"/>
                <w:kern w:val="0"/>
                <w:sz w:val="24"/>
                <w:szCs w:val="24"/>
                <w:u w:val="none"/>
                <w:lang w:val="en-US" w:eastAsia="zh-CN" w:bidi="ar"/>
              </w:rPr>
              <w:t>4按行业门类分组的法人单位从业人员</w:t>
            </w:r>
          </w:p>
        </w:tc>
      </w:tr>
      <w:tr>
        <w:tblPrEx>
          <w:tblCellMar>
            <w:top w:w="0" w:type="dxa"/>
            <w:left w:w="0" w:type="dxa"/>
            <w:bottom w:w="0" w:type="dxa"/>
            <w:right w:w="0" w:type="dxa"/>
          </w:tblCellMar>
        </w:tblPrEx>
        <w:trPr>
          <w:trHeight w:val="648" w:hRule="atLeast"/>
          <w:jc w:val="center"/>
        </w:trPr>
        <w:tc>
          <w:tcPr>
            <w:tcW w:w="4884" w:type="dxa"/>
            <w:tcBorders>
              <w:top w:val="nil"/>
              <w:left w:val="nil"/>
              <w:bottom w:val="single" w:color="000000" w:sz="12"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986" w:type="dxa"/>
            <w:tcBorders>
              <w:top w:val="single" w:color="000000" w:sz="12" w:space="0"/>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法人单位从业人员（人）</w:t>
            </w:r>
          </w:p>
        </w:tc>
        <w:tc>
          <w:tcPr>
            <w:tcW w:w="2030" w:type="dxa"/>
            <w:tcBorders>
              <w:top w:val="single" w:color="000000" w:sz="12" w:space="0"/>
              <w:left w:val="single" w:color="000000" w:sz="8" w:space="0"/>
              <w:bottom w:val="single" w:color="000000" w:sz="12"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其中:女性</w:t>
            </w:r>
          </w:p>
        </w:tc>
      </w:tr>
      <w:tr>
        <w:tblPrEx>
          <w:tblCellMar>
            <w:top w:w="0" w:type="dxa"/>
            <w:left w:w="0" w:type="dxa"/>
            <w:bottom w:w="0" w:type="dxa"/>
            <w:right w:w="0" w:type="dxa"/>
          </w:tblCellMar>
        </w:tblPrEx>
        <w:trPr>
          <w:trHeight w:val="42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合 计</w:t>
            </w:r>
          </w:p>
        </w:tc>
        <w:tc>
          <w:tcPr>
            <w:tcW w:w="1986" w:type="dxa"/>
            <w:tcBorders>
              <w:top w:val="single" w:color="000000" w:sz="12" w:space="0"/>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218309</w:t>
            </w:r>
          </w:p>
        </w:tc>
        <w:tc>
          <w:tcPr>
            <w:tcW w:w="2030" w:type="dxa"/>
            <w:tcBorders>
              <w:top w:val="single" w:color="000000" w:sz="12" w:space="0"/>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76938</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采矿业</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128</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33</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制造业</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34006</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11354</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电力、热力、燃气及水生产和供应业</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3150</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875</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建筑业</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46483</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10405</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批发和零售业</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50566</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27532</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交通运输、仓储和邮政业</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16067</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4380</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住宿和餐饮业</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2683</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1480</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信息传输、软件和信息技术服务业</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5746</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1828</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金融业</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927</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356</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房地产业</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5193</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2064</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租赁和商务服务业</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21974</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4838</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科学研究和技术服务业</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12562</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3104</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水利、环境和公共设施管理业</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1562</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765</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居民服务、修理和其他服务业</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2558</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944</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教育</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4269</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2715</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卫生和社会工作</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1433</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898</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文化、体育和娱乐业</w:t>
            </w:r>
          </w:p>
        </w:tc>
        <w:tc>
          <w:tcPr>
            <w:tcW w:w="1986" w:type="dxa"/>
            <w:tcBorders>
              <w:top w:val="nil"/>
              <w:left w:val="nil"/>
              <w:bottom w:val="nil"/>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2085</w:t>
            </w:r>
          </w:p>
        </w:tc>
        <w:tc>
          <w:tcPr>
            <w:tcW w:w="203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947</w:t>
            </w:r>
          </w:p>
        </w:tc>
      </w:tr>
      <w:tr>
        <w:tblPrEx>
          <w:tblCellMar>
            <w:top w:w="0" w:type="dxa"/>
            <w:left w:w="0" w:type="dxa"/>
            <w:bottom w:w="0" w:type="dxa"/>
            <w:right w:w="0" w:type="dxa"/>
          </w:tblCellMar>
        </w:tblPrEx>
        <w:trPr>
          <w:trHeight w:val="344" w:hRule="atLeast"/>
          <w:jc w:val="center"/>
        </w:trPr>
        <w:tc>
          <w:tcPr>
            <w:tcW w:w="4884"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公共管理、社会保障和社会组织</w:t>
            </w:r>
          </w:p>
        </w:tc>
        <w:tc>
          <w:tcPr>
            <w:tcW w:w="1986" w:type="dxa"/>
            <w:tcBorders>
              <w:top w:val="nil"/>
              <w:left w:val="nil"/>
              <w:bottom w:val="single" w:color="000000" w:sz="12" w:space="0"/>
              <w:right w:val="single" w:color="000000" w:sz="8" w:space="0"/>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2684</w:t>
            </w:r>
          </w:p>
        </w:tc>
        <w:tc>
          <w:tcPr>
            <w:tcW w:w="2030" w:type="dxa"/>
            <w:tcBorders>
              <w:top w:val="nil"/>
              <w:left w:val="nil"/>
              <w:bottom w:val="single" w:color="000000" w:sz="12" w:space="0"/>
              <w:right w:val="nil"/>
            </w:tcBorders>
            <w:noWrap w:val="0"/>
            <w:tcMar>
              <w:top w:w="15" w:type="dxa"/>
              <w:left w:w="15" w:type="dxa"/>
              <w:right w:w="15" w:type="dxa"/>
            </w:tcMar>
            <w:vAlign w:val="top"/>
          </w:tcPr>
          <w:p>
            <w:pPr>
              <w:keepNext w:val="0"/>
              <w:keepLines w:val="0"/>
              <w:widowControl/>
              <w:suppressLineNumbers w:val="0"/>
              <w:jc w:val="right"/>
              <w:textAlignment w:val="top"/>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939</w:t>
            </w:r>
          </w:p>
        </w:tc>
      </w:tr>
      <w:tr>
        <w:tblPrEx>
          <w:tblCellMar>
            <w:top w:w="0" w:type="dxa"/>
            <w:left w:w="0" w:type="dxa"/>
            <w:bottom w:w="0" w:type="dxa"/>
            <w:right w:w="0" w:type="dxa"/>
          </w:tblCellMar>
        </w:tblPrEx>
        <w:trPr>
          <w:trHeight w:val="467" w:hRule="atLeast"/>
          <w:jc w:val="center"/>
        </w:trPr>
        <w:tc>
          <w:tcPr>
            <w:tcW w:w="8900" w:type="dxa"/>
            <w:gridSpan w:val="3"/>
            <w:tcBorders>
              <w:top w:val="nil"/>
              <w:left w:val="nil"/>
              <w:bottom w:val="nil"/>
              <w:right w:val="nil"/>
            </w:tcBorders>
            <w:shd w:val="clear" w:color="auto" w:fill="FFFFFF"/>
            <w:noWrap w:val="0"/>
            <w:tcMar>
              <w:top w:w="15" w:type="dxa"/>
              <w:left w:w="15" w:type="dxa"/>
              <w:right w:w="15" w:type="dxa"/>
            </w:tcMar>
            <w:vAlign w:val="top"/>
          </w:tcPr>
          <w:p>
            <w:pPr>
              <w:keepNext w:val="0"/>
              <w:keepLines w:val="0"/>
              <w:widowControl/>
              <w:suppressLineNumbers w:val="0"/>
              <w:jc w:val="left"/>
              <w:textAlignment w:val="top"/>
              <w:rPr>
                <w:rFonts w:ascii="楷体" w:hAnsi="楷体" w:eastAsia="楷体" w:cs="楷体"/>
                <w:i w:val="0"/>
                <w:color w:val="000000"/>
                <w:sz w:val="21"/>
                <w:szCs w:val="21"/>
                <w:u w:val="none"/>
              </w:rPr>
            </w:pPr>
            <w:r>
              <w:rPr>
                <w:rFonts w:hint="eastAsia" w:ascii="楷体" w:hAnsi="楷体" w:eastAsia="楷体" w:cs="楷体"/>
                <w:i w:val="0"/>
                <w:color w:val="000000"/>
                <w:kern w:val="0"/>
                <w:sz w:val="21"/>
                <w:szCs w:val="21"/>
                <w:u w:val="none"/>
                <w:lang w:val="en-US" w:eastAsia="zh-CN" w:bidi="ar"/>
              </w:rPr>
              <w:t>注：表中合计数含从事农、林、牧、渔专业及辅助性活动的法人单位与个体经营户从业人员。</w:t>
            </w:r>
          </w:p>
        </w:tc>
      </w:tr>
    </w:tbl>
    <w:p>
      <w:pPr>
        <w:bidi w:val="0"/>
        <w:rPr>
          <w:rFonts w:hint="eastAsia"/>
        </w:rPr>
      </w:pPr>
    </w:p>
    <w:p>
      <w:pPr>
        <w:adjustRightInd w:val="0"/>
        <w:snapToGrid w:val="0"/>
        <w:spacing w:line="600" w:lineRule="exact"/>
        <w:ind w:firstLine="640" w:firstLineChars="200"/>
        <w:outlineLvl w:val="1"/>
        <w:rPr>
          <w:rFonts w:hint="eastAsia" w:ascii="黑体" w:hAnsi="黑体" w:eastAsia="黑体"/>
          <w:sz w:val="32"/>
          <w:szCs w:val="32"/>
        </w:rPr>
      </w:pPr>
      <w:r>
        <w:rPr>
          <w:rFonts w:hint="eastAsia" w:ascii="黑体" w:hAnsi="黑体" w:eastAsia="黑体"/>
          <w:sz w:val="32"/>
          <w:szCs w:val="32"/>
        </w:rPr>
        <w:t>三、资产负债状况和营业收入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2018</w:t>
      </w:r>
      <w:r>
        <w:rPr>
          <w:rFonts w:hint="eastAsia" w:ascii="Times New Roman" w:hAnsi="Times New Roman" w:eastAsia="仿宋_GB2312" w:cs="Times New Roman"/>
          <w:sz w:val="32"/>
          <w:szCs w:val="32"/>
        </w:rPr>
        <w:t>年末，全区第二产业和第三产业法人单位资产总计7884.</w:t>
      </w:r>
      <w:r>
        <w:rPr>
          <w:rFonts w:hint="eastAsia" w:ascii="Times New Roman" w:hAnsi="Times New Roman" w:eastAsia="仿宋_GB2312" w:cs="Times New Roman"/>
          <w:sz w:val="32"/>
          <w:szCs w:val="32"/>
          <w:lang w:val="en-US" w:eastAsia="zh-CN"/>
        </w:rPr>
        <w:t>49</w:t>
      </w:r>
      <w:r>
        <w:rPr>
          <w:rFonts w:hint="eastAsia" w:ascii="Times New Roman" w:hAnsi="Times New Roman" w:eastAsia="仿宋_GB2312" w:cs="Times New Roman"/>
          <w:sz w:val="32"/>
          <w:szCs w:val="32"/>
        </w:rPr>
        <w:t>亿元。其中，第二产业法人单位资产总计占比为34.3</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，第三产业法人单位资产总计占比</w:t>
      </w:r>
      <w:r>
        <w:rPr>
          <w:rFonts w:hint="default" w:ascii="Times New Roman" w:hAnsi="Times New Roman" w:eastAsia="仿宋_GB2312" w:cs="Times New Roman"/>
          <w:sz w:val="32"/>
          <w:szCs w:val="32"/>
        </w:rPr>
        <w:t>为</w:t>
      </w:r>
      <w:r>
        <w:rPr>
          <w:rFonts w:hint="eastAsia" w:ascii="Times New Roman" w:hAnsi="Times New Roman" w:eastAsia="仿宋_GB2312" w:cs="Times New Roman"/>
          <w:sz w:val="32"/>
          <w:szCs w:val="32"/>
        </w:rPr>
        <w:t>65.</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。法人单位负债</w:t>
      </w:r>
      <w:r>
        <w:rPr>
          <w:rFonts w:hint="default" w:ascii="Times New Roman" w:hAnsi="Times New Roman" w:eastAsia="仿宋_GB2312" w:cs="Times New Roman"/>
          <w:sz w:val="32"/>
          <w:szCs w:val="32"/>
        </w:rPr>
        <w:t>合计</w:t>
      </w:r>
      <w:r>
        <w:rPr>
          <w:rFonts w:hint="eastAsia" w:ascii="Times New Roman" w:hAnsi="Times New Roman" w:eastAsia="仿宋_GB2312" w:cs="Times New Roman"/>
          <w:sz w:val="32"/>
          <w:szCs w:val="32"/>
          <w:lang w:val="en-US" w:eastAsia="zh-CN"/>
        </w:rPr>
        <w:t>4516</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38</w:t>
      </w:r>
      <w:r>
        <w:rPr>
          <w:rFonts w:hint="eastAsia" w:ascii="Times New Roman" w:hAnsi="Times New Roman" w:eastAsia="仿宋_GB2312" w:cs="Times New Roman"/>
          <w:sz w:val="32"/>
          <w:szCs w:val="32"/>
        </w:rPr>
        <w:t>亿元。其中，第二产业法人单位负债合计占比为3</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，第三产业法人单位</w:t>
      </w:r>
      <w:r>
        <w:rPr>
          <w:rFonts w:hint="default" w:ascii="Times New Roman" w:hAnsi="Times New Roman" w:eastAsia="仿宋_GB2312" w:cs="Times New Roman"/>
          <w:sz w:val="32"/>
          <w:szCs w:val="32"/>
        </w:rPr>
        <w:t>负债合计</w:t>
      </w:r>
      <w:r>
        <w:rPr>
          <w:rFonts w:hint="eastAsia" w:ascii="Times New Roman" w:hAnsi="Times New Roman" w:eastAsia="仿宋_GB2312" w:cs="Times New Roman"/>
          <w:sz w:val="32"/>
          <w:szCs w:val="32"/>
        </w:rPr>
        <w:t>占比为6</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2018年</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全区第二产业和第三产业企业法人单位实现营业收入25</w:t>
      </w:r>
      <w:r>
        <w:rPr>
          <w:rFonts w:hint="eastAsia" w:ascii="Times New Roman" w:hAnsi="Times New Roman" w:eastAsia="仿宋_GB2312" w:cs="Times New Roman"/>
          <w:sz w:val="32"/>
          <w:szCs w:val="32"/>
          <w:lang w:val="en-US" w:eastAsia="zh-CN"/>
        </w:rPr>
        <w:t>84</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52</w:t>
      </w:r>
      <w:r>
        <w:rPr>
          <w:rFonts w:hint="eastAsia" w:ascii="Times New Roman" w:hAnsi="Times New Roman" w:eastAsia="仿宋_GB2312" w:cs="Times New Roman"/>
          <w:sz w:val="32"/>
          <w:szCs w:val="32"/>
        </w:rPr>
        <w:t>亿元。其中，第二产业营业收入占比为49.</w:t>
      </w: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rPr>
        <w:t>%，第三产业营业收入占比为50.</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%（详见表2-5）。</w:t>
      </w:r>
    </w:p>
    <w:tbl>
      <w:tblPr>
        <w:tblStyle w:val="8"/>
        <w:tblW w:w="0" w:type="auto"/>
        <w:jc w:val="center"/>
        <w:tblLayout w:type="fixed"/>
        <w:tblCellMar>
          <w:top w:w="0" w:type="dxa"/>
          <w:left w:w="0" w:type="dxa"/>
          <w:bottom w:w="0" w:type="dxa"/>
          <w:right w:w="0" w:type="dxa"/>
        </w:tblCellMar>
      </w:tblPr>
      <w:tblGrid>
        <w:gridCol w:w="4260"/>
        <w:gridCol w:w="1250"/>
        <w:gridCol w:w="1250"/>
        <w:gridCol w:w="1760"/>
      </w:tblGrid>
      <w:tr>
        <w:tblPrEx>
          <w:tblCellMar>
            <w:top w:w="0" w:type="dxa"/>
            <w:left w:w="0" w:type="dxa"/>
            <w:bottom w:w="0" w:type="dxa"/>
            <w:right w:w="0" w:type="dxa"/>
          </w:tblCellMar>
        </w:tblPrEx>
        <w:trPr>
          <w:trHeight w:val="333" w:hRule="atLeast"/>
          <w:jc w:val="center"/>
        </w:trPr>
        <w:tc>
          <w:tcPr>
            <w:tcW w:w="8520" w:type="dxa"/>
            <w:gridSpan w:val="4"/>
            <w:tcBorders>
              <w:top w:val="nil"/>
              <w:left w:val="nil"/>
              <w:bottom w:val="single" w:color="000000" w:sz="12"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w:t>
            </w:r>
            <w:r>
              <w:rPr>
                <w:rFonts w:hint="default" w:ascii="Times New Roman" w:hAnsi="Times New Roman" w:eastAsia="宋体" w:cs="Times New Roman"/>
                <w:b/>
                <w:i w:val="0"/>
                <w:color w:val="000000"/>
                <w:kern w:val="0"/>
                <w:sz w:val="24"/>
                <w:szCs w:val="24"/>
                <w:u w:val="none"/>
                <w:lang w:val="en-US" w:eastAsia="zh-CN" w:bidi="ar"/>
              </w:rPr>
              <w:t>2-</w:t>
            </w:r>
            <w:r>
              <w:rPr>
                <w:rFonts w:hint="eastAsia" w:ascii="宋体" w:hAnsi="宋体" w:eastAsia="宋体" w:cs="宋体"/>
                <w:b/>
                <w:i w:val="0"/>
                <w:color w:val="000000"/>
                <w:kern w:val="0"/>
                <w:sz w:val="24"/>
                <w:szCs w:val="24"/>
                <w:u w:val="none"/>
                <w:lang w:val="en-US" w:eastAsia="zh-CN" w:bidi="ar"/>
              </w:rPr>
              <w:t>5按行业门类分组的法人单位资产负债状况和营业收入</w:t>
            </w:r>
          </w:p>
        </w:tc>
      </w:tr>
      <w:tr>
        <w:tblPrEx>
          <w:tblCellMar>
            <w:top w:w="0" w:type="dxa"/>
            <w:left w:w="0" w:type="dxa"/>
            <w:bottom w:w="0" w:type="dxa"/>
            <w:right w:w="0" w:type="dxa"/>
          </w:tblCellMar>
        </w:tblPrEx>
        <w:trPr>
          <w:trHeight w:val="364" w:hRule="atLeast"/>
          <w:jc w:val="center"/>
        </w:trPr>
        <w:tc>
          <w:tcPr>
            <w:tcW w:w="4260" w:type="dxa"/>
            <w:vMerge w:val="restart"/>
            <w:tcBorders>
              <w:top w:val="nil"/>
              <w:left w:val="nil"/>
              <w:bottom w:val="single" w:color="000000" w:sz="12"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250" w:type="dxa"/>
            <w:tcBorders>
              <w:top w:val="single" w:color="000000" w:sz="12" w:space="0"/>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法人单位</w:t>
            </w:r>
          </w:p>
        </w:tc>
        <w:tc>
          <w:tcPr>
            <w:tcW w:w="1250" w:type="dxa"/>
            <w:tcBorders>
              <w:top w:val="single" w:color="000000" w:sz="12" w:space="0"/>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法人单位</w:t>
            </w:r>
          </w:p>
        </w:tc>
        <w:tc>
          <w:tcPr>
            <w:tcW w:w="1760" w:type="dxa"/>
            <w:tcBorders>
              <w:top w:val="single" w:color="000000" w:sz="12" w:space="0"/>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企业法人单位</w:t>
            </w:r>
          </w:p>
        </w:tc>
      </w:tr>
      <w:tr>
        <w:tblPrEx>
          <w:tblCellMar>
            <w:top w:w="0" w:type="dxa"/>
            <w:left w:w="0" w:type="dxa"/>
            <w:bottom w:w="0" w:type="dxa"/>
            <w:right w:w="0" w:type="dxa"/>
          </w:tblCellMar>
        </w:tblPrEx>
        <w:trPr>
          <w:trHeight w:val="364" w:hRule="atLeast"/>
          <w:jc w:val="center"/>
        </w:trPr>
        <w:tc>
          <w:tcPr>
            <w:tcW w:w="4260" w:type="dxa"/>
            <w:vMerge w:val="continue"/>
            <w:tcBorders>
              <w:top w:val="nil"/>
              <w:left w:val="nil"/>
              <w:bottom w:val="single" w:color="000000" w:sz="12"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资产总计</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负债合计</w:t>
            </w:r>
          </w:p>
        </w:tc>
        <w:tc>
          <w:tcPr>
            <w:tcW w:w="1760" w:type="dxa"/>
            <w:tcBorders>
              <w:top w:val="nil"/>
              <w:left w:val="nil"/>
              <w:bottom w:val="nil"/>
              <w:right w:val="nil"/>
            </w:tcBorders>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营业收入</w:t>
            </w:r>
          </w:p>
        </w:tc>
      </w:tr>
      <w:tr>
        <w:tblPrEx>
          <w:tblCellMar>
            <w:top w:w="0" w:type="dxa"/>
            <w:left w:w="0" w:type="dxa"/>
            <w:bottom w:w="0" w:type="dxa"/>
            <w:right w:w="0" w:type="dxa"/>
          </w:tblCellMar>
        </w:tblPrEx>
        <w:trPr>
          <w:trHeight w:val="364" w:hRule="atLeast"/>
          <w:jc w:val="center"/>
        </w:trPr>
        <w:tc>
          <w:tcPr>
            <w:tcW w:w="4260" w:type="dxa"/>
            <w:vMerge w:val="continue"/>
            <w:tcBorders>
              <w:top w:val="nil"/>
              <w:left w:val="nil"/>
              <w:bottom w:val="single" w:color="000000" w:sz="12"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250"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（亿元）</w:t>
            </w:r>
          </w:p>
        </w:tc>
        <w:tc>
          <w:tcPr>
            <w:tcW w:w="1250"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（亿元）</w:t>
            </w:r>
          </w:p>
        </w:tc>
        <w:tc>
          <w:tcPr>
            <w:tcW w:w="1760" w:type="dxa"/>
            <w:tcBorders>
              <w:top w:val="nil"/>
              <w:left w:val="nil"/>
              <w:bottom w:val="single" w:color="000000" w:sz="12" w:space="0"/>
              <w:right w:val="nil"/>
            </w:tcBorders>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（亿元）</w:t>
            </w:r>
          </w:p>
        </w:tc>
      </w:tr>
      <w:tr>
        <w:tblPrEx>
          <w:tblCellMar>
            <w:top w:w="0" w:type="dxa"/>
            <w:left w:w="0" w:type="dxa"/>
            <w:bottom w:w="0" w:type="dxa"/>
            <w:right w:w="0" w:type="dxa"/>
          </w:tblCellMar>
        </w:tblPrEx>
        <w:trPr>
          <w:trHeight w:val="364"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合 计</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7884.49</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4516.38</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2584.52</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采矿业</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20.91</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20.49</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1.64</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制造业</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696.78</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430</w:t>
            </w:r>
            <w:r>
              <w:rPr>
                <w:rFonts w:hint="eastAsia" w:ascii="Times New Roman" w:hAnsi="Times New Roman" w:eastAsia="宋体" w:cs="Times New Roman"/>
                <w:i w:val="0"/>
                <w:color w:val="000000"/>
                <w:kern w:val="0"/>
                <w:sz w:val="21"/>
                <w:szCs w:val="21"/>
                <w:u w:val="none"/>
                <w:lang w:val="en-US" w:eastAsia="zh-CN" w:bidi="ar"/>
              </w:rPr>
              <w:t>.00</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450.07</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电力、热力、燃气及水生产和供应业</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427.69</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239.67</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50.64</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建筑业</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1582.79</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990.39</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788.15</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批发和零售业</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888.82</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630.74</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974.05</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交通运输、仓储和邮政业</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339.21</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244.46</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150.8</w:t>
            </w:r>
            <w:r>
              <w:rPr>
                <w:rFonts w:hint="eastAsia" w:ascii="Times New Roman" w:hAnsi="Times New Roman" w:eastAsia="宋体" w:cs="Times New Roman"/>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住宿和餐饮业</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11.57</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6.03</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5.44</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信息传输、软件和信息技术服务业</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30.16</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11.14</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13.28</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金融业</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647.04</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房地产业</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1957.18</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1353.23</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53.05</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租赁和商务服务业</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876.07</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374.49</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39.87</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科学研究和技术服务业</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216.1</w:t>
            </w:r>
            <w:r>
              <w:rPr>
                <w:rFonts w:hint="eastAsia" w:ascii="Times New Roman" w:hAnsi="Times New Roman" w:eastAsia="宋体" w:cs="Times New Roman"/>
                <w:i w:val="0"/>
                <w:color w:val="000000"/>
                <w:kern w:val="0"/>
                <w:sz w:val="21"/>
                <w:szCs w:val="21"/>
                <w:u w:val="none"/>
                <w:lang w:val="en-US" w:eastAsia="zh-CN" w:bidi="ar"/>
              </w:rPr>
              <w:t>0</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138.56</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36.48</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水利、环境和公共设施管理业</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29.86</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21</w:t>
            </w:r>
            <w:r>
              <w:rPr>
                <w:rFonts w:hint="eastAsia" w:ascii="Times New Roman" w:hAnsi="Times New Roman" w:eastAsia="宋体" w:cs="Times New Roman"/>
                <w:i w:val="0"/>
                <w:color w:val="000000"/>
                <w:kern w:val="0"/>
                <w:sz w:val="21"/>
                <w:szCs w:val="21"/>
                <w:u w:val="none"/>
                <w:lang w:val="en-US" w:eastAsia="zh-CN" w:bidi="ar"/>
              </w:rPr>
              <w:t>.00</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2.36</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居民服务、修理和其他服务业</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4.86</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2.53</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3.63</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教育</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47.93</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6.47</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2.28</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卫生和社会工作</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4.58</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2.36</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3.63</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文化、体育和娱乐业</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80.07</w:t>
            </w:r>
          </w:p>
        </w:tc>
        <w:tc>
          <w:tcPr>
            <w:tcW w:w="1250"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37.48</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9.15</w:t>
            </w:r>
          </w:p>
        </w:tc>
      </w:tr>
      <w:tr>
        <w:tblPrEx>
          <w:tblCellMar>
            <w:top w:w="0" w:type="dxa"/>
            <w:left w:w="0" w:type="dxa"/>
            <w:bottom w:w="0" w:type="dxa"/>
            <w:right w:w="0" w:type="dxa"/>
          </w:tblCellMar>
        </w:tblPrEx>
        <w:trPr>
          <w:trHeight w:val="333" w:hRule="atLeast"/>
          <w:jc w:val="center"/>
        </w:trPr>
        <w:tc>
          <w:tcPr>
            <w:tcW w:w="4260"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公共管理、社会保障和社会组织</w:t>
            </w:r>
          </w:p>
        </w:tc>
        <w:tc>
          <w:tcPr>
            <w:tcW w:w="1250"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22.87</w:t>
            </w:r>
          </w:p>
        </w:tc>
        <w:tc>
          <w:tcPr>
            <w:tcW w:w="1250"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7.34</w:t>
            </w:r>
          </w:p>
        </w:tc>
        <w:tc>
          <w:tcPr>
            <w:tcW w:w="1760" w:type="dxa"/>
            <w:tcBorders>
              <w:top w:val="nil"/>
              <w:left w:val="nil"/>
              <w:bottom w:val="single" w:color="000000" w:sz="12" w:space="0"/>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1319" w:hRule="atLeast"/>
          <w:jc w:val="center"/>
        </w:trPr>
        <w:tc>
          <w:tcPr>
            <w:tcW w:w="8520" w:type="dxa"/>
            <w:gridSpan w:val="4"/>
            <w:tcBorders>
              <w:top w:val="nil"/>
              <w:left w:val="nil"/>
              <w:bottom w:val="nil"/>
              <w:right w:val="nil"/>
            </w:tcBorders>
            <w:noWrap w:val="0"/>
            <w:tcMar>
              <w:top w:w="15" w:type="dxa"/>
              <w:left w:w="15" w:type="dxa"/>
              <w:right w:w="15" w:type="dxa"/>
            </w:tcMar>
            <w:vAlign w:val="center"/>
          </w:tcPr>
          <w:p>
            <w:pPr>
              <w:keepNext w:val="0"/>
              <w:keepLines w:val="0"/>
              <w:widowControl/>
              <w:suppressLineNumbers w:val="0"/>
              <w:ind w:firstLineChars="200"/>
              <w:jc w:val="both"/>
              <w:textAlignment w:val="center"/>
              <w:rPr>
                <w:rFonts w:ascii="楷体" w:hAnsi="楷体" w:eastAsia="楷体" w:cs="楷体"/>
                <w:i w:val="0"/>
                <w:color w:val="000000"/>
                <w:sz w:val="21"/>
                <w:szCs w:val="21"/>
                <w:u w:val="none"/>
              </w:rPr>
            </w:pPr>
            <w:r>
              <w:rPr>
                <w:rFonts w:hint="eastAsia" w:ascii="楷体" w:hAnsi="楷体" w:eastAsia="楷体" w:cs="楷体"/>
                <w:i w:val="0"/>
                <w:color w:val="000000"/>
                <w:kern w:val="0"/>
                <w:sz w:val="21"/>
                <w:szCs w:val="21"/>
                <w:u w:val="none"/>
                <w:lang w:val="en-US" w:eastAsia="zh-CN" w:bidi="ar"/>
              </w:rPr>
              <w:t>注：表中合计数含从事农、林、牧、渔专业及辅助性活动的单位数据。表中企业法人单位，包括机构类型为企业的法人单位，以及执行企业会计制度的事业法人单位、民办非企业法人单位和基金会，农民专业合作社，农村集体经济组织和除宗教活动场所以外的机构类型为其他组织机构的法人单位。表中法人单位负债合计、企业法人单位营业收入不包含金融业。</w:t>
            </w:r>
          </w:p>
        </w:tc>
      </w:tr>
    </w:tbl>
    <w:p>
      <w:pPr>
        <w:widowControl/>
        <w:spacing w:line="600" w:lineRule="exact"/>
        <w:ind w:firstLine="560" w:firstLineChars="200"/>
        <w:rPr>
          <w:rFonts w:ascii="黑体" w:hAnsi="黑体" w:eastAsia="黑体" w:cs="宋体"/>
          <w:kern w:val="0"/>
          <w:sz w:val="28"/>
        </w:rPr>
      </w:pPr>
      <w:r>
        <w:rPr>
          <w:rFonts w:hint="eastAsia" w:ascii="黑体" w:hAnsi="黑体" w:eastAsia="黑体" w:cs="宋体"/>
          <w:kern w:val="0"/>
          <w:sz w:val="28"/>
        </w:rPr>
        <w:t>注释：</w:t>
      </w:r>
    </w:p>
    <w:p>
      <w:pPr>
        <w:widowControl/>
        <w:spacing w:line="600" w:lineRule="exact"/>
        <w:ind w:firstLine="560" w:firstLineChars="200"/>
        <w:rPr>
          <w:rFonts w:ascii="仿宋_GB2312" w:hAnsi="宋体" w:eastAsia="仿宋_GB2312" w:cs="宋体"/>
          <w:kern w:val="0"/>
          <w:sz w:val="28"/>
        </w:rPr>
      </w:pPr>
      <w:r>
        <w:rPr>
          <w:rFonts w:hint="eastAsia" w:ascii="仿宋_GB2312" w:hAnsi="宋体" w:eastAsia="仿宋_GB2312" w:cs="宋体"/>
          <w:kern w:val="0"/>
          <w:sz w:val="28"/>
        </w:rPr>
        <w:t>[1]三次产业</w:t>
      </w:r>
      <w:r>
        <w:rPr>
          <w:rFonts w:ascii="仿宋_GB2312" w:hAnsi="宋体" w:eastAsia="仿宋_GB2312" w:cs="宋体"/>
          <w:kern w:val="0"/>
          <w:sz w:val="28"/>
        </w:rPr>
        <w:t>的划分：</w:t>
      </w:r>
    </w:p>
    <w:p>
      <w:pPr>
        <w:widowControl/>
        <w:spacing w:line="600" w:lineRule="exact"/>
        <w:ind w:firstLine="560" w:firstLineChars="200"/>
        <w:rPr>
          <w:rFonts w:ascii="仿宋_GB2312" w:hAnsi="宋体" w:eastAsia="仿宋_GB2312" w:cs="宋体"/>
          <w:kern w:val="0"/>
          <w:sz w:val="28"/>
        </w:rPr>
      </w:pPr>
      <w:r>
        <w:rPr>
          <w:rFonts w:hint="eastAsia" w:ascii="仿宋_GB2312" w:hAnsi="宋体" w:eastAsia="仿宋_GB2312" w:cs="宋体"/>
          <w:kern w:val="0"/>
          <w:sz w:val="28"/>
        </w:rPr>
        <w:t>第一产业</w:t>
      </w:r>
      <w:r>
        <w:rPr>
          <w:rFonts w:ascii="仿宋_GB2312" w:hAnsi="宋体" w:eastAsia="仿宋_GB2312" w:cs="宋体"/>
          <w:kern w:val="0"/>
          <w:sz w:val="28"/>
        </w:rPr>
        <w:t>是指</w:t>
      </w:r>
      <w:r>
        <w:rPr>
          <w:rFonts w:hint="eastAsia" w:ascii="仿宋_GB2312" w:hAnsi="宋体" w:eastAsia="仿宋_GB2312" w:cs="宋体"/>
          <w:kern w:val="0"/>
          <w:sz w:val="28"/>
        </w:rPr>
        <w:t>农</w:t>
      </w:r>
      <w:r>
        <w:rPr>
          <w:rFonts w:ascii="仿宋_GB2312" w:hAnsi="宋体" w:eastAsia="仿宋_GB2312" w:cs="宋体"/>
          <w:kern w:val="0"/>
          <w:sz w:val="28"/>
        </w:rPr>
        <w:t>、林、牧、渔业（</w:t>
      </w:r>
      <w:r>
        <w:rPr>
          <w:rFonts w:hint="eastAsia" w:ascii="仿宋_GB2312" w:hAnsi="宋体" w:eastAsia="仿宋_GB2312" w:cs="宋体"/>
          <w:kern w:val="0"/>
          <w:sz w:val="28"/>
        </w:rPr>
        <w:t>不含</w:t>
      </w:r>
      <w:r>
        <w:rPr>
          <w:rFonts w:ascii="仿宋_GB2312" w:hAnsi="宋体" w:eastAsia="仿宋_GB2312" w:cs="宋体"/>
          <w:kern w:val="0"/>
          <w:sz w:val="28"/>
        </w:rPr>
        <w:t>农、林、牧、渔</w:t>
      </w:r>
      <w:r>
        <w:rPr>
          <w:rFonts w:hint="eastAsia" w:ascii="仿宋_GB2312" w:hAnsi="宋体" w:eastAsia="仿宋_GB2312" w:cs="宋体"/>
          <w:kern w:val="0"/>
          <w:sz w:val="28"/>
        </w:rPr>
        <w:t>专业</w:t>
      </w:r>
      <w:r>
        <w:rPr>
          <w:rFonts w:ascii="仿宋_GB2312" w:hAnsi="宋体" w:eastAsia="仿宋_GB2312" w:cs="宋体"/>
          <w:kern w:val="0"/>
          <w:sz w:val="28"/>
        </w:rPr>
        <w:t>及辅助性活动）</w:t>
      </w:r>
      <w:r>
        <w:rPr>
          <w:rFonts w:hint="eastAsia" w:ascii="仿宋_GB2312" w:hAnsi="宋体" w:eastAsia="仿宋_GB2312" w:cs="宋体"/>
          <w:kern w:val="0"/>
          <w:sz w:val="28"/>
        </w:rPr>
        <w:t>。</w:t>
      </w:r>
    </w:p>
    <w:p>
      <w:pPr>
        <w:widowControl/>
        <w:spacing w:line="600" w:lineRule="exact"/>
        <w:ind w:firstLine="560" w:firstLineChars="200"/>
        <w:rPr>
          <w:rFonts w:ascii="仿宋_GB2312" w:hAnsi="宋体" w:eastAsia="仿宋_GB2312" w:cs="宋体"/>
          <w:kern w:val="0"/>
          <w:sz w:val="28"/>
        </w:rPr>
      </w:pPr>
      <w:r>
        <w:rPr>
          <w:rFonts w:hint="eastAsia" w:ascii="仿宋_GB2312" w:hAnsi="宋体" w:eastAsia="仿宋_GB2312" w:cs="宋体"/>
          <w:kern w:val="0"/>
          <w:sz w:val="28"/>
        </w:rPr>
        <w:t>第二产业是指</w:t>
      </w:r>
      <w:r>
        <w:rPr>
          <w:rFonts w:ascii="仿宋_GB2312" w:hAnsi="宋体" w:eastAsia="仿宋_GB2312" w:cs="宋体"/>
          <w:kern w:val="0"/>
          <w:sz w:val="28"/>
        </w:rPr>
        <w:t>采矿业（</w:t>
      </w:r>
      <w:r>
        <w:rPr>
          <w:rFonts w:hint="eastAsia" w:ascii="仿宋_GB2312" w:hAnsi="宋体" w:eastAsia="仿宋_GB2312" w:cs="宋体"/>
          <w:kern w:val="0"/>
          <w:sz w:val="28"/>
        </w:rPr>
        <w:t>不含</w:t>
      </w:r>
      <w:r>
        <w:rPr>
          <w:rFonts w:ascii="仿宋_GB2312" w:hAnsi="宋体" w:eastAsia="仿宋_GB2312" w:cs="宋体"/>
          <w:kern w:val="0"/>
          <w:sz w:val="28"/>
        </w:rPr>
        <w:t>开采专业及辅助性活动）</w:t>
      </w:r>
      <w:r>
        <w:rPr>
          <w:rFonts w:hint="eastAsia" w:ascii="仿宋_GB2312" w:hAnsi="宋体" w:eastAsia="仿宋_GB2312" w:cs="宋体"/>
          <w:kern w:val="0"/>
          <w:sz w:val="28"/>
        </w:rPr>
        <w:t>，</w:t>
      </w:r>
      <w:r>
        <w:rPr>
          <w:rFonts w:ascii="仿宋_GB2312" w:hAnsi="宋体" w:eastAsia="仿宋_GB2312" w:cs="宋体"/>
          <w:kern w:val="0"/>
          <w:sz w:val="28"/>
        </w:rPr>
        <w:t>制造业（</w:t>
      </w:r>
      <w:r>
        <w:rPr>
          <w:rFonts w:hint="eastAsia" w:ascii="仿宋_GB2312" w:hAnsi="宋体" w:eastAsia="仿宋_GB2312" w:cs="宋体"/>
          <w:kern w:val="0"/>
          <w:sz w:val="28"/>
        </w:rPr>
        <w:t>不含</w:t>
      </w:r>
      <w:r>
        <w:rPr>
          <w:rFonts w:ascii="仿宋_GB2312" w:hAnsi="宋体" w:eastAsia="仿宋_GB2312" w:cs="宋体"/>
          <w:kern w:val="0"/>
          <w:sz w:val="28"/>
        </w:rPr>
        <w:t>金属制品、机械和设备修理</w:t>
      </w:r>
      <w:r>
        <w:rPr>
          <w:rFonts w:hint="eastAsia" w:ascii="仿宋_GB2312" w:hAnsi="宋体" w:eastAsia="仿宋_GB2312" w:cs="宋体"/>
          <w:kern w:val="0"/>
          <w:sz w:val="28"/>
        </w:rPr>
        <w:t>业</w:t>
      </w:r>
      <w:r>
        <w:rPr>
          <w:rFonts w:ascii="仿宋_GB2312" w:hAnsi="宋体" w:eastAsia="仿宋_GB2312" w:cs="宋体"/>
          <w:kern w:val="0"/>
          <w:sz w:val="28"/>
        </w:rPr>
        <w:t>）</w:t>
      </w:r>
      <w:r>
        <w:rPr>
          <w:rFonts w:hint="eastAsia" w:ascii="仿宋_GB2312" w:hAnsi="宋体" w:eastAsia="仿宋_GB2312" w:cs="宋体"/>
          <w:kern w:val="0"/>
          <w:sz w:val="28"/>
        </w:rPr>
        <w:t>，</w:t>
      </w:r>
      <w:r>
        <w:rPr>
          <w:rFonts w:ascii="仿宋_GB2312" w:hAnsi="宋体" w:eastAsia="仿宋_GB2312" w:cs="宋体"/>
          <w:kern w:val="0"/>
          <w:sz w:val="28"/>
        </w:rPr>
        <w:t>电力、热力、燃气及水生产和供应业，建筑业。</w:t>
      </w:r>
    </w:p>
    <w:p>
      <w:pPr>
        <w:widowControl/>
        <w:spacing w:line="600" w:lineRule="exact"/>
        <w:ind w:firstLine="560" w:firstLineChars="200"/>
        <w:rPr>
          <w:rFonts w:ascii="仿宋_GB2312" w:hAnsi="宋体" w:eastAsia="仿宋_GB2312" w:cs="宋体"/>
          <w:kern w:val="0"/>
          <w:sz w:val="28"/>
        </w:rPr>
      </w:pPr>
      <w:r>
        <w:rPr>
          <w:rFonts w:hint="eastAsia" w:ascii="仿宋_GB2312" w:hAnsi="宋体" w:eastAsia="仿宋_GB2312" w:cs="宋体"/>
          <w:kern w:val="0"/>
          <w:sz w:val="28"/>
        </w:rPr>
        <w:t>第三产业即</w:t>
      </w:r>
      <w:r>
        <w:rPr>
          <w:rFonts w:ascii="仿宋_GB2312" w:hAnsi="宋体" w:eastAsia="仿宋_GB2312" w:cs="宋体"/>
          <w:kern w:val="0"/>
          <w:sz w:val="28"/>
        </w:rPr>
        <w:t>服务业，是指除第一产业、第二产业以外的其他行业。第三产业</w:t>
      </w:r>
      <w:r>
        <w:rPr>
          <w:rFonts w:hint="eastAsia" w:ascii="仿宋_GB2312" w:hAnsi="宋体" w:eastAsia="仿宋_GB2312" w:cs="宋体"/>
          <w:kern w:val="0"/>
          <w:sz w:val="28"/>
        </w:rPr>
        <w:t>包括</w:t>
      </w:r>
      <w:r>
        <w:rPr>
          <w:rFonts w:ascii="仿宋_GB2312" w:hAnsi="宋体" w:eastAsia="仿宋_GB2312" w:cs="宋体"/>
          <w:kern w:val="0"/>
          <w:sz w:val="28"/>
        </w:rPr>
        <w:t>：批发和零售业，交通运输、仓储和邮政业，住宿和餐饮业，信息传输、软件和信息技术服务业，金融业，房地产业，租赁和商务服务业，科学研究和技术服务业</w:t>
      </w:r>
      <w:r>
        <w:rPr>
          <w:rFonts w:hint="eastAsia" w:ascii="仿宋_GB2312" w:hAnsi="宋体" w:eastAsia="仿宋_GB2312" w:cs="宋体"/>
          <w:kern w:val="0"/>
          <w:sz w:val="28"/>
        </w:rPr>
        <w:t>，</w:t>
      </w:r>
      <w:r>
        <w:rPr>
          <w:rFonts w:ascii="仿宋_GB2312" w:hAnsi="宋体" w:eastAsia="仿宋_GB2312" w:cs="宋体"/>
          <w:kern w:val="0"/>
          <w:sz w:val="28"/>
        </w:rPr>
        <w:t>水利、环境和公共设施管理业，居民服务、修理和其他服务业，教育</w:t>
      </w:r>
      <w:r>
        <w:rPr>
          <w:rFonts w:hint="eastAsia" w:ascii="仿宋_GB2312" w:hAnsi="宋体" w:eastAsia="仿宋_GB2312" w:cs="宋体"/>
          <w:kern w:val="0"/>
          <w:sz w:val="28"/>
        </w:rPr>
        <w:t>，卫生和</w:t>
      </w:r>
      <w:r>
        <w:rPr>
          <w:rFonts w:ascii="仿宋_GB2312" w:hAnsi="宋体" w:eastAsia="仿宋_GB2312" w:cs="宋体"/>
          <w:kern w:val="0"/>
          <w:sz w:val="28"/>
        </w:rPr>
        <w:t>社会工作，文化、体育和娱乐业，公共管理</w:t>
      </w:r>
      <w:r>
        <w:rPr>
          <w:rFonts w:hint="eastAsia" w:ascii="仿宋_GB2312" w:hAnsi="宋体" w:eastAsia="仿宋_GB2312" w:cs="宋体"/>
          <w:kern w:val="0"/>
          <w:sz w:val="28"/>
        </w:rPr>
        <w:t>、</w:t>
      </w:r>
      <w:r>
        <w:rPr>
          <w:rFonts w:ascii="仿宋_GB2312" w:hAnsi="宋体" w:eastAsia="仿宋_GB2312" w:cs="宋体"/>
          <w:kern w:val="0"/>
          <w:sz w:val="28"/>
        </w:rPr>
        <w:t>社会保障和社会组织，国际组织，以及农、林、牧、渔业中的</w:t>
      </w:r>
      <w:r>
        <w:rPr>
          <w:rFonts w:hint="eastAsia" w:ascii="仿宋_GB2312" w:hAnsi="宋体" w:eastAsia="仿宋_GB2312" w:cs="宋体"/>
          <w:kern w:val="0"/>
          <w:sz w:val="28"/>
        </w:rPr>
        <w:t>农、林、牧、渔专业及辅助性活动，</w:t>
      </w:r>
      <w:r>
        <w:rPr>
          <w:rFonts w:ascii="仿宋_GB2312" w:hAnsi="宋体" w:eastAsia="仿宋_GB2312" w:cs="宋体"/>
          <w:kern w:val="0"/>
          <w:sz w:val="28"/>
        </w:rPr>
        <w:t>采矿业中的</w:t>
      </w:r>
      <w:r>
        <w:rPr>
          <w:rFonts w:hint="eastAsia" w:ascii="仿宋_GB2312" w:hAnsi="宋体" w:eastAsia="仿宋_GB2312" w:cs="宋体"/>
          <w:kern w:val="0"/>
          <w:sz w:val="28"/>
        </w:rPr>
        <w:t>开采专业及辅助性活动，</w:t>
      </w:r>
      <w:r>
        <w:rPr>
          <w:rFonts w:ascii="仿宋_GB2312" w:hAnsi="宋体" w:eastAsia="仿宋_GB2312" w:cs="宋体"/>
          <w:kern w:val="0"/>
          <w:sz w:val="28"/>
        </w:rPr>
        <w:t>制造业中的</w:t>
      </w:r>
      <w:r>
        <w:rPr>
          <w:rFonts w:hint="eastAsia" w:ascii="仿宋_GB2312" w:hAnsi="宋体" w:eastAsia="仿宋_GB2312" w:cs="宋体"/>
          <w:kern w:val="0"/>
          <w:sz w:val="28"/>
        </w:rPr>
        <w:t>金属制品、机械和设备修理业。</w:t>
      </w:r>
    </w:p>
    <w:p>
      <w:pPr>
        <w:widowControl/>
        <w:spacing w:line="600" w:lineRule="exact"/>
        <w:ind w:firstLine="560" w:firstLineChars="200"/>
        <w:rPr>
          <w:rFonts w:ascii="仿宋_GB2312" w:hAnsi="宋体" w:eastAsia="仿宋_GB2312" w:cs="宋体"/>
          <w:kern w:val="0"/>
          <w:sz w:val="28"/>
        </w:rPr>
      </w:pPr>
      <w:r>
        <w:rPr>
          <w:rFonts w:ascii="仿宋_GB2312" w:hAnsi="宋体" w:eastAsia="仿宋_GB2312" w:cs="宋体"/>
          <w:kern w:val="0"/>
          <w:sz w:val="28"/>
        </w:rPr>
        <w:t>[2]</w:t>
      </w:r>
      <w:r>
        <w:rPr>
          <w:rFonts w:hint="eastAsia" w:ascii="仿宋_GB2312" w:hAnsi="宋体" w:eastAsia="仿宋_GB2312" w:cs="宋体"/>
          <w:kern w:val="0"/>
          <w:sz w:val="28"/>
        </w:rPr>
        <w:t>单位</w:t>
      </w:r>
      <w:r>
        <w:rPr>
          <w:rFonts w:ascii="仿宋_GB2312" w:hAnsi="宋体" w:eastAsia="仿宋_GB2312" w:cs="宋体"/>
          <w:kern w:val="0"/>
          <w:sz w:val="28"/>
        </w:rPr>
        <w:t>的划分：</w:t>
      </w:r>
    </w:p>
    <w:p>
      <w:pPr>
        <w:widowControl/>
        <w:spacing w:line="600" w:lineRule="exact"/>
        <w:ind w:firstLine="560" w:firstLineChars="200"/>
        <w:rPr>
          <w:rFonts w:ascii="仿宋_GB2312" w:hAnsi="宋体" w:eastAsia="仿宋_GB2312" w:cs="宋体"/>
          <w:kern w:val="0"/>
          <w:sz w:val="28"/>
        </w:rPr>
      </w:pPr>
      <w:r>
        <w:rPr>
          <w:rFonts w:hint="eastAsia" w:ascii="仿宋_GB2312" w:hAnsi="宋体" w:eastAsia="仿宋_GB2312" w:cs="宋体"/>
          <w:kern w:val="0"/>
          <w:sz w:val="28"/>
        </w:rPr>
        <w:t>法人</w:t>
      </w:r>
      <w:r>
        <w:rPr>
          <w:rFonts w:ascii="仿宋_GB2312" w:hAnsi="宋体" w:eastAsia="仿宋_GB2312" w:cs="宋体"/>
          <w:kern w:val="0"/>
          <w:sz w:val="28"/>
        </w:rPr>
        <w:t>单位是指有权拥有资产、承担负债，并独立从事社会经济活动（</w:t>
      </w:r>
      <w:r>
        <w:rPr>
          <w:rFonts w:hint="eastAsia" w:ascii="仿宋_GB2312" w:hAnsi="宋体" w:eastAsia="仿宋_GB2312" w:cs="宋体"/>
          <w:kern w:val="0"/>
          <w:sz w:val="28"/>
        </w:rPr>
        <w:t>或</w:t>
      </w:r>
      <w:r>
        <w:rPr>
          <w:rFonts w:ascii="仿宋_GB2312" w:hAnsi="宋体" w:eastAsia="仿宋_GB2312" w:cs="宋体"/>
          <w:kern w:val="0"/>
          <w:sz w:val="28"/>
        </w:rPr>
        <w:t>与其他单位进行交易）</w:t>
      </w:r>
      <w:r>
        <w:rPr>
          <w:rFonts w:hint="eastAsia" w:ascii="仿宋_GB2312" w:hAnsi="宋体" w:eastAsia="仿宋_GB2312" w:cs="宋体"/>
          <w:kern w:val="0"/>
          <w:sz w:val="28"/>
        </w:rPr>
        <w:t>的</w:t>
      </w:r>
      <w:r>
        <w:rPr>
          <w:rFonts w:ascii="仿宋_GB2312" w:hAnsi="宋体" w:eastAsia="仿宋_GB2312" w:cs="宋体"/>
          <w:kern w:val="0"/>
          <w:sz w:val="28"/>
        </w:rPr>
        <w:t>组织。法人单位</w:t>
      </w:r>
      <w:r>
        <w:rPr>
          <w:rFonts w:hint="eastAsia" w:ascii="仿宋_GB2312" w:hAnsi="宋体" w:eastAsia="仿宋_GB2312" w:cs="宋体"/>
          <w:kern w:val="0"/>
          <w:sz w:val="28"/>
        </w:rPr>
        <w:t>应</w:t>
      </w:r>
      <w:r>
        <w:rPr>
          <w:rFonts w:ascii="仿宋_GB2312" w:hAnsi="宋体" w:eastAsia="仿宋_GB2312" w:cs="宋体"/>
          <w:kern w:val="0"/>
          <w:sz w:val="28"/>
        </w:rPr>
        <w:t>同时具备以下条件：</w:t>
      </w:r>
    </w:p>
    <w:p>
      <w:pPr>
        <w:widowControl/>
        <w:spacing w:line="600" w:lineRule="exact"/>
        <w:ind w:firstLine="560" w:firstLineChars="200"/>
        <w:rPr>
          <w:rFonts w:ascii="仿宋_GB2312" w:hAnsi="宋体" w:eastAsia="仿宋_GB2312" w:cs="宋体"/>
          <w:kern w:val="0"/>
          <w:sz w:val="28"/>
        </w:rPr>
      </w:pPr>
      <w:r>
        <w:rPr>
          <w:rFonts w:hint="eastAsia" w:ascii="仿宋_GB2312" w:hAnsi="宋体" w:eastAsia="仿宋_GB2312" w:cs="宋体"/>
          <w:kern w:val="0"/>
          <w:sz w:val="28"/>
        </w:rPr>
        <w:t>（1）依法成立</w:t>
      </w:r>
      <w:r>
        <w:rPr>
          <w:rFonts w:ascii="仿宋_GB2312" w:hAnsi="宋体" w:eastAsia="仿宋_GB2312" w:cs="宋体"/>
          <w:kern w:val="0"/>
          <w:sz w:val="28"/>
        </w:rPr>
        <w:t>，有自己的名称、组织机构和场所，能够独立承担</w:t>
      </w:r>
      <w:r>
        <w:rPr>
          <w:rFonts w:hint="eastAsia" w:ascii="仿宋_GB2312" w:hAnsi="宋体" w:eastAsia="仿宋_GB2312" w:cs="宋体"/>
          <w:kern w:val="0"/>
          <w:sz w:val="28"/>
        </w:rPr>
        <w:t>负债</w:t>
      </w:r>
      <w:r>
        <w:rPr>
          <w:rFonts w:ascii="仿宋_GB2312" w:hAnsi="宋体" w:eastAsia="仿宋_GB2312" w:cs="宋体"/>
          <w:kern w:val="0"/>
          <w:sz w:val="28"/>
        </w:rPr>
        <w:t>和其他民事责任；</w:t>
      </w:r>
    </w:p>
    <w:p>
      <w:pPr>
        <w:widowControl/>
        <w:spacing w:line="600" w:lineRule="exact"/>
        <w:ind w:firstLine="560" w:firstLineChars="200"/>
        <w:rPr>
          <w:rFonts w:ascii="仿宋_GB2312" w:hAnsi="宋体" w:eastAsia="仿宋_GB2312" w:cs="宋体"/>
          <w:kern w:val="0"/>
          <w:sz w:val="28"/>
        </w:rPr>
      </w:pPr>
      <w:r>
        <w:rPr>
          <w:rFonts w:hint="eastAsia" w:ascii="仿宋_GB2312" w:hAnsi="宋体" w:eastAsia="仿宋_GB2312" w:cs="宋体"/>
          <w:kern w:val="0"/>
          <w:sz w:val="28"/>
        </w:rPr>
        <w:t>（2）独立</w:t>
      </w:r>
      <w:r>
        <w:rPr>
          <w:rFonts w:ascii="仿宋_GB2312" w:hAnsi="宋体" w:eastAsia="仿宋_GB2312" w:cs="宋体"/>
          <w:kern w:val="0"/>
          <w:sz w:val="28"/>
        </w:rPr>
        <w:t>拥有</w:t>
      </w:r>
      <w:r>
        <w:rPr>
          <w:rFonts w:hint="eastAsia" w:ascii="仿宋_GB2312" w:hAnsi="宋体" w:eastAsia="仿宋_GB2312" w:cs="宋体"/>
          <w:kern w:val="0"/>
          <w:sz w:val="28"/>
        </w:rPr>
        <w:t>和</w:t>
      </w:r>
      <w:r>
        <w:rPr>
          <w:rFonts w:ascii="仿宋_GB2312" w:hAnsi="宋体" w:eastAsia="仿宋_GB2312" w:cs="宋体"/>
          <w:kern w:val="0"/>
          <w:sz w:val="28"/>
        </w:rPr>
        <w:t>使用（</w:t>
      </w:r>
      <w:r>
        <w:rPr>
          <w:rFonts w:hint="eastAsia" w:ascii="仿宋_GB2312" w:hAnsi="宋体" w:eastAsia="仿宋_GB2312" w:cs="宋体"/>
          <w:kern w:val="0"/>
          <w:sz w:val="28"/>
        </w:rPr>
        <w:t>或受</w:t>
      </w:r>
      <w:r>
        <w:rPr>
          <w:rFonts w:ascii="仿宋_GB2312" w:hAnsi="宋体" w:eastAsia="仿宋_GB2312" w:cs="宋体"/>
          <w:kern w:val="0"/>
          <w:sz w:val="28"/>
        </w:rPr>
        <w:t>权使用）</w:t>
      </w:r>
      <w:r>
        <w:rPr>
          <w:rFonts w:hint="eastAsia" w:ascii="仿宋_GB2312" w:hAnsi="宋体" w:eastAsia="仿宋_GB2312" w:cs="宋体"/>
          <w:kern w:val="0"/>
          <w:sz w:val="28"/>
        </w:rPr>
        <w:t>资产</w:t>
      </w:r>
      <w:r>
        <w:rPr>
          <w:rFonts w:ascii="仿宋_GB2312" w:hAnsi="宋体" w:eastAsia="仿宋_GB2312" w:cs="宋体"/>
          <w:kern w:val="0"/>
          <w:sz w:val="28"/>
        </w:rPr>
        <w:t>，有权与其他单位签订合同；</w:t>
      </w:r>
    </w:p>
    <w:p>
      <w:pPr>
        <w:widowControl/>
        <w:spacing w:line="600" w:lineRule="exact"/>
        <w:ind w:firstLine="560" w:firstLineChars="200"/>
        <w:rPr>
          <w:rFonts w:ascii="仿宋_GB2312" w:hAnsi="宋体" w:eastAsia="仿宋_GB2312" w:cs="宋体"/>
          <w:kern w:val="0"/>
          <w:sz w:val="28"/>
        </w:rPr>
      </w:pPr>
      <w:r>
        <w:rPr>
          <w:rFonts w:hint="eastAsia" w:ascii="仿宋_GB2312" w:hAnsi="宋体" w:eastAsia="仿宋_GB2312" w:cs="宋体"/>
          <w:kern w:val="0"/>
          <w:sz w:val="28"/>
        </w:rPr>
        <w:t>（3）会计上</w:t>
      </w:r>
      <w:r>
        <w:rPr>
          <w:rFonts w:ascii="仿宋_GB2312" w:hAnsi="宋体" w:eastAsia="仿宋_GB2312" w:cs="宋体"/>
          <w:kern w:val="0"/>
          <w:sz w:val="28"/>
        </w:rPr>
        <w:t>独立核算，能够编制资产负债表等会计报表。</w:t>
      </w:r>
    </w:p>
    <w:p>
      <w:pPr>
        <w:widowControl/>
        <w:spacing w:line="600" w:lineRule="exact"/>
        <w:ind w:firstLine="560" w:firstLineChars="200"/>
        <w:rPr>
          <w:rFonts w:ascii="仿宋_GB2312" w:hAnsi="宋体" w:eastAsia="仿宋_GB2312" w:cs="宋体"/>
          <w:kern w:val="0"/>
          <w:sz w:val="28"/>
        </w:rPr>
      </w:pPr>
      <w:r>
        <w:rPr>
          <w:rFonts w:hint="eastAsia" w:ascii="仿宋_GB2312" w:hAnsi="宋体" w:eastAsia="仿宋_GB2312" w:cs="宋体"/>
          <w:kern w:val="0"/>
          <w:sz w:val="28"/>
        </w:rPr>
        <w:t>法人</w:t>
      </w:r>
      <w:r>
        <w:rPr>
          <w:rFonts w:ascii="仿宋_GB2312" w:hAnsi="宋体" w:eastAsia="仿宋_GB2312" w:cs="宋体"/>
          <w:kern w:val="0"/>
          <w:sz w:val="28"/>
        </w:rPr>
        <w:t>单位包括企业法人、事业单位法人、机关法人、社会团体法人、其他法人</w:t>
      </w:r>
      <w:r>
        <w:rPr>
          <w:rFonts w:hint="eastAsia" w:ascii="仿宋_GB2312" w:hAnsi="宋体" w:eastAsia="仿宋_GB2312" w:cs="宋体"/>
          <w:kern w:val="0"/>
          <w:sz w:val="28"/>
        </w:rPr>
        <w:t>等</w:t>
      </w:r>
      <w:r>
        <w:rPr>
          <w:rFonts w:ascii="仿宋_GB2312" w:hAnsi="宋体" w:eastAsia="仿宋_GB2312" w:cs="宋体"/>
          <w:kern w:val="0"/>
          <w:sz w:val="28"/>
        </w:rPr>
        <w:t>。</w:t>
      </w:r>
    </w:p>
    <w:p>
      <w:pPr>
        <w:widowControl/>
        <w:spacing w:line="600" w:lineRule="exact"/>
        <w:ind w:firstLine="560" w:firstLineChars="200"/>
        <w:rPr>
          <w:rFonts w:ascii="仿宋_GB2312" w:hAnsi="宋体" w:eastAsia="仿宋_GB2312" w:cs="宋体"/>
          <w:kern w:val="0"/>
          <w:sz w:val="28"/>
        </w:rPr>
      </w:pPr>
      <w:r>
        <w:rPr>
          <w:rFonts w:hint="eastAsia" w:ascii="仿宋_GB2312" w:hAnsi="宋体" w:eastAsia="仿宋_GB2312" w:cs="宋体"/>
          <w:kern w:val="0"/>
          <w:sz w:val="28"/>
        </w:rPr>
        <w:t>产业</w:t>
      </w:r>
      <w:r>
        <w:rPr>
          <w:rFonts w:ascii="仿宋_GB2312" w:hAnsi="宋体" w:eastAsia="仿宋_GB2312" w:cs="宋体"/>
          <w:kern w:val="0"/>
          <w:sz w:val="28"/>
        </w:rPr>
        <w:t>活动单位是指位于一个地点，从事一种或主要从事一种社会经济活动的组织或组织的一部分。产业活动</w:t>
      </w:r>
      <w:r>
        <w:rPr>
          <w:rFonts w:hint="eastAsia" w:ascii="仿宋_GB2312" w:hAnsi="宋体" w:eastAsia="仿宋_GB2312" w:cs="宋体"/>
          <w:kern w:val="0"/>
          <w:sz w:val="28"/>
        </w:rPr>
        <w:t>单位</w:t>
      </w:r>
      <w:r>
        <w:rPr>
          <w:rFonts w:ascii="仿宋_GB2312" w:hAnsi="宋体" w:eastAsia="仿宋_GB2312" w:cs="宋体"/>
          <w:kern w:val="0"/>
          <w:sz w:val="28"/>
        </w:rPr>
        <w:t>应同时具备以下条件：</w:t>
      </w:r>
    </w:p>
    <w:p>
      <w:pPr>
        <w:widowControl/>
        <w:spacing w:line="600" w:lineRule="exact"/>
        <w:ind w:firstLine="560" w:firstLineChars="200"/>
        <w:rPr>
          <w:rFonts w:hint="eastAsia" w:ascii="仿宋_GB2312" w:hAnsi="宋体" w:eastAsia="仿宋_GB2312" w:cs="宋体"/>
          <w:kern w:val="0"/>
          <w:sz w:val="28"/>
        </w:rPr>
      </w:pPr>
      <w:r>
        <w:rPr>
          <w:rFonts w:hint="eastAsia" w:ascii="仿宋_GB2312" w:hAnsi="宋体" w:eastAsia="仿宋_GB2312" w:cs="宋体"/>
          <w:kern w:val="0"/>
          <w:sz w:val="28"/>
        </w:rPr>
        <w:t>（1）在一个场所从事一种或主要从事一种社会经济活动；</w:t>
      </w:r>
    </w:p>
    <w:p>
      <w:pPr>
        <w:widowControl/>
        <w:spacing w:line="600" w:lineRule="exact"/>
        <w:ind w:firstLine="560" w:firstLineChars="200"/>
        <w:rPr>
          <w:rFonts w:hint="eastAsia" w:ascii="仿宋_GB2312" w:hAnsi="宋体" w:eastAsia="仿宋_GB2312" w:cs="宋体"/>
          <w:kern w:val="0"/>
          <w:sz w:val="28"/>
        </w:rPr>
      </w:pPr>
      <w:r>
        <w:rPr>
          <w:rFonts w:hint="eastAsia" w:ascii="仿宋_GB2312" w:hAnsi="宋体" w:eastAsia="仿宋_GB2312" w:cs="宋体"/>
          <w:kern w:val="0"/>
          <w:sz w:val="28"/>
        </w:rPr>
        <w:t>（2）相对独立地组织生产活动或经营活动；</w:t>
      </w:r>
    </w:p>
    <w:p>
      <w:pPr>
        <w:widowControl/>
        <w:spacing w:line="600" w:lineRule="exact"/>
        <w:ind w:firstLine="560" w:firstLineChars="200"/>
        <w:rPr>
          <w:rFonts w:hint="eastAsia" w:ascii="仿宋_GB2312" w:hAnsi="宋体" w:eastAsia="仿宋_GB2312" w:cs="宋体"/>
          <w:kern w:val="0"/>
          <w:sz w:val="28"/>
        </w:rPr>
      </w:pPr>
      <w:r>
        <w:rPr>
          <w:rFonts w:hint="eastAsia" w:ascii="仿宋_GB2312" w:hAnsi="宋体" w:eastAsia="仿宋_GB2312" w:cs="宋体"/>
          <w:kern w:val="0"/>
          <w:sz w:val="28"/>
        </w:rPr>
        <w:t>（3）能提供收入或者支出等相关资料。</w:t>
      </w:r>
    </w:p>
    <w:p>
      <w:pPr>
        <w:widowControl/>
        <w:spacing w:line="600" w:lineRule="exact"/>
        <w:ind w:firstLine="560" w:firstLineChars="200"/>
        <w:rPr>
          <w:rFonts w:hint="eastAsia" w:ascii="仿宋_GB2312" w:hAnsi="宋体" w:eastAsia="仿宋_GB2312" w:cs="宋体"/>
          <w:kern w:val="0"/>
          <w:sz w:val="28"/>
        </w:rPr>
      </w:pPr>
      <w:r>
        <w:rPr>
          <w:rFonts w:hint="eastAsia" w:ascii="仿宋_GB2312" w:hAnsi="宋体" w:eastAsia="仿宋_GB2312" w:cs="宋体"/>
          <w:kern w:val="0"/>
          <w:sz w:val="28"/>
        </w:rPr>
        <w:t>[3]表中的合计数和部分计算数据因小数取舍而产生的误差，均未作机械调整。</w:t>
      </w:r>
    </w:p>
    <w:p/>
    <w:sectPr>
      <w:pgSz w:w="11906" w:h="16838"/>
      <w:pgMar w:top="2098" w:right="1531" w:bottom="209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FB1300"/>
    <w:rsid w:val="09124219"/>
    <w:rsid w:val="0DE02ECD"/>
    <w:rsid w:val="43FB1300"/>
    <w:rsid w:val="50604921"/>
    <w:rsid w:val="6072599E"/>
    <w:rsid w:val="6D586D57"/>
    <w:rsid w:val="79FE1C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10"/>
    <w:qFormat/>
    <w:uiPriority w:val="0"/>
    <w:pPr>
      <w:keepNext/>
      <w:keepLines/>
      <w:spacing w:before="340" w:after="330" w:line="578" w:lineRule="auto"/>
      <w:outlineLvl w:val="0"/>
    </w:pPr>
    <w:rPr>
      <w:rFonts w:ascii="Times New Roman" w:hAnsi="Times New Roman" w:eastAsia="黑体" w:cs="Times New Roman"/>
      <w:b/>
      <w:bCs/>
      <w:kern w:val="44"/>
      <w:sz w:val="32"/>
      <w:szCs w:val="44"/>
    </w:rPr>
  </w:style>
  <w:style w:type="paragraph" w:styleId="5">
    <w:name w:val="heading 2"/>
    <w:basedOn w:val="1"/>
    <w:next w:val="1"/>
    <w:link w:val="11"/>
    <w:semiHidden/>
    <w:unhideWhenUsed/>
    <w:qFormat/>
    <w:uiPriority w:val="0"/>
    <w:pPr>
      <w:keepNext/>
      <w:tabs>
        <w:tab w:val="left" w:pos="596"/>
      </w:tabs>
      <w:adjustRightInd w:val="0"/>
      <w:spacing w:before="120" w:line="360" w:lineRule="auto"/>
      <w:ind w:left="596" w:hanging="596"/>
      <w:outlineLvl w:val="1"/>
    </w:pPr>
    <w:rPr>
      <w:rFonts w:ascii="Times New Roman" w:hAnsi="Times New Roman" w:eastAsia="楷体" w:cs="Times New Roman"/>
      <w:b/>
      <w:kern w:val="0"/>
      <w:sz w:val="32"/>
      <w:szCs w:val="20"/>
    </w:rPr>
  </w:style>
  <w:style w:type="paragraph" w:styleId="6">
    <w:name w:val="heading 3"/>
    <w:basedOn w:val="1"/>
    <w:next w:val="1"/>
    <w:link w:val="12"/>
    <w:semiHidden/>
    <w:unhideWhenUsed/>
    <w:qFormat/>
    <w:uiPriority w:val="0"/>
    <w:pPr>
      <w:tabs>
        <w:tab w:val="left" w:pos="900"/>
        <w:tab w:val="left" w:pos="1588"/>
      </w:tabs>
      <w:adjustRightInd w:val="0"/>
      <w:spacing w:before="120" w:line="360" w:lineRule="auto"/>
      <w:ind w:left="1588" w:hanging="737"/>
      <w:outlineLvl w:val="2"/>
    </w:pPr>
    <w:rPr>
      <w:rFonts w:ascii="Times New Roman" w:hAnsi="Times New Roman" w:eastAsia="仿宋" w:cs="Times New Roman"/>
      <w:b/>
      <w:kern w:val="0"/>
      <w:sz w:val="32"/>
      <w:szCs w:val="20"/>
    </w:rPr>
  </w:style>
  <w:style w:type="paragraph" w:styleId="7">
    <w:name w:val="heading 4"/>
    <w:basedOn w:val="1"/>
    <w:next w:val="1"/>
    <w:link w:val="13"/>
    <w:semiHidden/>
    <w:unhideWhenUsed/>
    <w:qFormat/>
    <w:uiPriority w:val="0"/>
    <w:pPr>
      <w:keepNext/>
      <w:keepLines/>
      <w:spacing w:line="240" w:lineRule="auto"/>
      <w:ind w:firstLine="723" w:firstLineChars="200"/>
      <w:outlineLvl w:val="3"/>
    </w:pPr>
    <w:rPr>
      <w:rFonts w:eastAsia="仿宋" w:asciiTheme="majorAscii" w:hAnsiTheme="majorAscii" w:cstheme="majorBidi"/>
      <w:bCs/>
      <w:sz w:val="32"/>
      <w:szCs w:val="28"/>
    </w:rPr>
  </w:style>
  <w:style w:type="character" w:default="1" w:styleId="9">
    <w:name w:val="Default Paragraph Font"/>
    <w:semiHidden/>
    <w:unhideWhenUsed/>
    <w:qFormat/>
    <w:uiPriority w:val="1"/>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w:basedOn w:val="3"/>
    <w:uiPriority w:val="0"/>
    <w:pPr>
      <w:ind w:firstLine="880" w:firstLineChars="200"/>
    </w:pPr>
  </w:style>
  <w:style w:type="paragraph" w:styleId="3">
    <w:name w:val="Body Text"/>
    <w:basedOn w:val="1"/>
    <w:uiPriority w:val="0"/>
    <w:pPr>
      <w:spacing w:after="120" w:afterLines="0"/>
    </w:pPr>
  </w:style>
  <w:style w:type="character" w:customStyle="1" w:styleId="10">
    <w:name w:val="标题 1 Char"/>
    <w:basedOn w:val="9"/>
    <w:link w:val="4"/>
    <w:qFormat/>
    <w:uiPriority w:val="9"/>
    <w:rPr>
      <w:rFonts w:ascii="Times New Roman" w:hAnsi="Times New Roman" w:eastAsia="黑体" w:cs="Times New Roman"/>
      <w:b/>
      <w:bCs/>
      <w:kern w:val="44"/>
      <w:sz w:val="32"/>
      <w:szCs w:val="44"/>
    </w:rPr>
  </w:style>
  <w:style w:type="character" w:customStyle="1" w:styleId="11">
    <w:name w:val="标题 2 Char1"/>
    <w:link w:val="5"/>
    <w:qFormat/>
    <w:locked/>
    <w:uiPriority w:val="0"/>
    <w:rPr>
      <w:rFonts w:ascii="Times New Roman" w:hAnsi="Times New Roman" w:eastAsia="楷体" w:cs="Times New Roman"/>
      <w:b/>
      <w:kern w:val="0"/>
      <w:sz w:val="32"/>
      <w:szCs w:val="20"/>
    </w:rPr>
  </w:style>
  <w:style w:type="character" w:customStyle="1" w:styleId="12">
    <w:name w:val="标题 3 Char1"/>
    <w:link w:val="6"/>
    <w:qFormat/>
    <w:locked/>
    <w:uiPriority w:val="0"/>
    <w:rPr>
      <w:rFonts w:ascii="Times New Roman" w:hAnsi="Times New Roman" w:eastAsia="仿宋" w:cs="Times New Roman"/>
      <w:b/>
      <w:kern w:val="0"/>
      <w:sz w:val="32"/>
      <w:szCs w:val="20"/>
    </w:rPr>
  </w:style>
  <w:style w:type="character" w:customStyle="1" w:styleId="13">
    <w:name w:val="标题 4 Char"/>
    <w:basedOn w:val="9"/>
    <w:link w:val="7"/>
    <w:qFormat/>
    <w:uiPriority w:val="9"/>
    <w:rPr>
      <w:rFonts w:eastAsia="仿宋" w:asciiTheme="majorAscii" w:hAnsiTheme="majorAscii" w:cstheme="majorBidi"/>
      <w:bCs/>
      <w:sz w:val="32"/>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云南省昆明空港经济区</Company>
  <Pages>1</Pages>
  <Words>0</Words>
  <Characters>0</Characters>
  <Lines>0</Lines>
  <Paragraphs>0</Paragraphs>
  <TotalTime>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2020-06-09T07:54:00Z</dcterms:created>
  <dc:creator>shiping</dc:creator>
  <cp:lastModifiedBy>shiping</cp:lastModifiedBy>
  <dcterms:modified xsi:type="dcterms:W3CDTF">2020-06-09T07:55:22Z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