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outlineLvl w:val="0"/>
        <w:rPr>
          <w:rFonts w:hint="eastAsia" w:ascii="方正小标宋_GBK" w:hAnsi="方正小标宋_GBK" w:eastAsia="方正小标宋_GBK" w:cs="方正小标宋_GBK"/>
          <w:bCs/>
          <w:kern w:val="0"/>
          <w:sz w:val="36"/>
          <w:szCs w:val="36"/>
        </w:rPr>
      </w:pPr>
      <w:r>
        <w:rPr>
          <w:rFonts w:hint="eastAsia" w:ascii="方正小标宋_GBK" w:hAnsi="方正小标宋_GBK" w:eastAsia="方正小标宋_GBK" w:cs="方正小标宋_GBK"/>
          <w:bCs/>
          <w:kern w:val="0"/>
          <w:sz w:val="36"/>
          <w:szCs w:val="36"/>
        </w:rPr>
        <w:t>昆明经济技术开发区第四次全国经济普查公报（第五号）</w:t>
      </w:r>
    </w:p>
    <w:p>
      <w:pPr>
        <w:widowControl/>
        <w:spacing w:line="600" w:lineRule="exact"/>
        <w:jc w:val="center"/>
        <w:outlineLvl w:val="0"/>
        <w:rPr>
          <w:rFonts w:hint="eastAsia" w:ascii="方正小标宋_GBK" w:hAnsi="方正小标宋_GBK" w:eastAsia="方正小标宋_GBK" w:cs="方正小标宋_GBK"/>
          <w:bCs/>
          <w:kern w:val="0"/>
          <w:sz w:val="32"/>
          <w:szCs w:val="32"/>
        </w:rPr>
      </w:pPr>
      <w:r>
        <w:rPr>
          <w:rFonts w:hint="eastAsia" w:ascii="方正小标宋_GBK" w:hAnsi="方正小标宋_GBK" w:eastAsia="方正小标宋_GBK" w:cs="方正小标宋_GBK"/>
          <w:bCs/>
          <w:kern w:val="0"/>
          <w:sz w:val="32"/>
          <w:szCs w:val="32"/>
        </w:rPr>
        <w:t>——第三产业基本情况之二</w:t>
      </w:r>
    </w:p>
    <w:p>
      <w:pPr>
        <w:widowControl/>
        <w:spacing w:line="600" w:lineRule="exact"/>
        <w:jc w:val="left"/>
        <w:rPr>
          <w:rFonts w:hint="default" w:ascii="Times New Roman" w:hAnsi="Times New Roman" w:eastAsia="楷体_GB2312" w:cs="Times New Roman"/>
          <w:bCs/>
          <w:kern w:val="0"/>
          <w:sz w:val="32"/>
          <w:szCs w:val="32"/>
        </w:rPr>
      </w:pPr>
    </w:p>
    <w:p>
      <w:pPr>
        <w:pStyle w:val="2"/>
        <w:jc w:val="center"/>
        <w:rPr>
          <w:rFonts w:hint="default" w:ascii="Times New Roman" w:hAnsi="Times New Roman" w:eastAsia="楷体" w:cs="Times New Roman"/>
          <w:kern w:val="2"/>
          <w:sz w:val="32"/>
          <w:szCs w:val="32"/>
          <w:lang w:val="en-US" w:eastAsia="zh-CN" w:bidi="ar-SA"/>
        </w:rPr>
      </w:pPr>
      <w:r>
        <w:rPr>
          <w:rFonts w:hint="default" w:ascii="Times New Roman" w:hAnsi="Times New Roman" w:eastAsia="楷体" w:cs="Times New Roman"/>
          <w:kern w:val="2"/>
          <w:sz w:val="32"/>
          <w:szCs w:val="32"/>
          <w:lang w:val="en-US" w:eastAsia="zh-CN" w:bidi="ar-SA"/>
        </w:rPr>
        <w:t>昆明经济技术开发区经济发展局</w:t>
      </w:r>
    </w:p>
    <w:p>
      <w:pPr>
        <w:jc w:val="center"/>
        <w:rPr>
          <w:rFonts w:hint="default" w:ascii="Times New Roman" w:hAnsi="Times New Roman" w:eastAsia="楷体" w:cs="Times New Roman"/>
          <w:sz w:val="32"/>
          <w:szCs w:val="32"/>
        </w:rPr>
      </w:pPr>
      <w:r>
        <w:rPr>
          <w:rFonts w:hint="default" w:ascii="Times New Roman" w:hAnsi="Times New Roman" w:eastAsia="楷体" w:cs="Times New Roman"/>
          <w:sz w:val="32"/>
          <w:szCs w:val="32"/>
        </w:rPr>
        <w:t>昆明经济技术开发区第四次全国经济普查领导小组办公室</w:t>
      </w:r>
    </w:p>
    <w:p>
      <w:pPr>
        <w:jc w:val="center"/>
        <w:rPr>
          <w:rFonts w:hint="default" w:ascii="Times New Roman" w:hAnsi="Times New Roman" w:eastAsia="楷体" w:cs="Times New Roman"/>
          <w:sz w:val="32"/>
          <w:szCs w:val="32"/>
          <w:lang w:eastAsia="zh-CN"/>
        </w:rPr>
      </w:pPr>
      <w:r>
        <w:rPr>
          <w:rFonts w:hint="default" w:ascii="Times New Roman" w:hAnsi="Times New Roman" w:eastAsia="楷体" w:cs="Times New Roman"/>
          <w:sz w:val="32"/>
          <w:szCs w:val="32"/>
          <w:lang w:eastAsia="zh-CN"/>
        </w:rPr>
        <w:t>2020年5月9日</w:t>
      </w:r>
    </w:p>
    <w:p>
      <w:pPr>
        <w:widowControl/>
        <w:spacing w:line="600" w:lineRule="exact"/>
        <w:jc w:val="left"/>
        <w:rPr>
          <w:rFonts w:ascii="宋体" w:hAnsi="宋体" w:cs="宋体"/>
          <w:kern w:val="0"/>
          <w:sz w:val="24"/>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根据第四次全国经济普查结果，现将我区第三产业中科学研究和技术服务业，水利、环境和公共设施管理业，居民服务、修理和其他服务业，教育，卫生和社会工作，文化、体育和娱乐业，公共管理、社会保障和社会组织的主要数据公布如下：</w:t>
      </w:r>
    </w:p>
    <w:p>
      <w:pPr>
        <w:spacing w:line="600" w:lineRule="exact"/>
        <w:ind w:firstLine="640" w:firstLineChars="200"/>
        <w:outlineLvl w:val="1"/>
        <w:rPr>
          <w:rFonts w:ascii="黑体" w:hAnsi="黑体" w:eastAsia="黑体"/>
          <w:kern w:val="0"/>
          <w:sz w:val="32"/>
          <w:szCs w:val="32"/>
        </w:rPr>
      </w:pPr>
      <w:r>
        <w:rPr>
          <w:rFonts w:hint="eastAsia" w:ascii="黑体" w:hAnsi="黑体" w:eastAsia="黑体"/>
          <w:kern w:val="0"/>
          <w:sz w:val="32"/>
          <w:szCs w:val="32"/>
        </w:rPr>
        <w:t>一</w:t>
      </w:r>
      <w:r>
        <w:rPr>
          <w:rFonts w:ascii="黑体" w:hAnsi="黑体" w:eastAsia="黑体"/>
          <w:kern w:val="0"/>
          <w:sz w:val="32"/>
          <w:szCs w:val="32"/>
        </w:rPr>
        <w:t>、</w:t>
      </w:r>
      <w:r>
        <w:rPr>
          <w:rFonts w:hint="eastAsia" w:ascii="黑体" w:hAnsi="黑体" w:eastAsia="黑体"/>
          <w:kern w:val="0"/>
          <w:sz w:val="32"/>
          <w:szCs w:val="32"/>
        </w:rPr>
        <w:t>科学研究和</w:t>
      </w:r>
      <w:r>
        <w:rPr>
          <w:rFonts w:ascii="黑体" w:hAnsi="黑体" w:eastAsia="黑体"/>
          <w:kern w:val="0"/>
          <w:sz w:val="32"/>
          <w:szCs w:val="32"/>
        </w:rPr>
        <w:t>技术服务业</w:t>
      </w:r>
    </w:p>
    <w:p>
      <w:pPr>
        <w:widowControl/>
        <w:spacing w:line="600" w:lineRule="exact"/>
        <w:ind w:firstLine="640" w:firstLineChars="200"/>
        <w:outlineLvl w:val="2"/>
        <w:rPr>
          <w:rFonts w:ascii="楷体_GB2312" w:hAnsi="楷体" w:eastAsia="楷体_GB2312" w:cs="宋体"/>
          <w:kern w:val="0"/>
          <w:sz w:val="32"/>
          <w:szCs w:val="32"/>
        </w:rPr>
      </w:pPr>
      <w:r>
        <w:rPr>
          <w:rFonts w:hint="eastAsia" w:ascii="楷体_GB2312" w:hAnsi="楷体" w:eastAsia="楷体_GB2312" w:cs="宋体"/>
          <w:kern w:val="0"/>
          <w:sz w:val="32"/>
          <w:szCs w:val="32"/>
        </w:rPr>
        <w:t>（一）法人单位数和从业人员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2018年末，全区共有科学研究和技术服务业企业法人单位92</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个，从业人员12036人，分别比2013年末增长27</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%和70.9%。其中，研究和试验发展法人单位160个，专业技术服务业法人单位44</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个，科技推广和应用服务业320个（详见表5-1）。</w:t>
      </w:r>
    </w:p>
    <w:tbl>
      <w:tblPr>
        <w:tblStyle w:val="10"/>
        <w:tblW w:w="0" w:type="auto"/>
        <w:jc w:val="center"/>
        <w:tblLayout w:type="fixed"/>
        <w:tblCellMar>
          <w:top w:w="0" w:type="dxa"/>
          <w:left w:w="0" w:type="dxa"/>
          <w:bottom w:w="0" w:type="dxa"/>
          <w:right w:w="0" w:type="dxa"/>
        </w:tblCellMar>
      </w:tblPr>
      <w:tblGrid>
        <w:gridCol w:w="4205"/>
        <w:gridCol w:w="2016"/>
        <w:gridCol w:w="1959"/>
      </w:tblGrid>
      <w:tr>
        <w:tblPrEx>
          <w:tblCellMar>
            <w:top w:w="0" w:type="dxa"/>
            <w:left w:w="0" w:type="dxa"/>
            <w:bottom w:w="0" w:type="dxa"/>
            <w:right w:w="0" w:type="dxa"/>
          </w:tblCellMar>
        </w:tblPrEx>
        <w:trPr>
          <w:trHeight w:val="90" w:hRule="atLeast"/>
          <w:jc w:val="center"/>
        </w:trPr>
        <w:tc>
          <w:tcPr>
            <w:tcW w:w="8180" w:type="dxa"/>
            <w:gridSpan w:val="3"/>
            <w:tcBorders>
              <w:top w:val="nil"/>
              <w:left w:val="nil"/>
              <w:bottom w:val="single" w:color="000000" w:sz="12" w:space="0"/>
              <w:right w:val="nil"/>
            </w:tcBorders>
            <w:shd w:val="clear" w:color="auto" w:fill="FFFFFF"/>
            <w:noWrap w:val="0"/>
            <w:tcMar>
              <w:top w:w="15" w:type="dxa"/>
              <w:left w:w="15" w:type="dxa"/>
              <w:right w:w="15" w:type="dxa"/>
            </w:tcMar>
            <w:vAlign w:val="center"/>
          </w:tcPr>
          <w:p>
            <w:pPr>
              <w:widowControl/>
              <w:jc w:val="center"/>
              <w:textAlignment w:val="center"/>
              <w:rPr>
                <w:rFonts w:hint="eastAsia" w:ascii="宋体" w:hAnsi="宋体" w:cs="宋体"/>
                <w:b/>
                <w:color w:val="000000"/>
                <w:sz w:val="24"/>
              </w:rPr>
            </w:pPr>
            <w:r>
              <w:rPr>
                <w:rFonts w:hint="eastAsia" w:ascii="宋体" w:hAnsi="宋体" w:cs="宋体"/>
                <w:b/>
                <w:color w:val="000000"/>
                <w:kern w:val="0"/>
                <w:sz w:val="24"/>
                <w:lang w:bidi="ar"/>
              </w:rPr>
              <w:t>表</w:t>
            </w:r>
            <w:r>
              <w:rPr>
                <w:b/>
                <w:color w:val="000000"/>
                <w:kern w:val="0"/>
                <w:sz w:val="24"/>
                <w:lang w:bidi="ar"/>
              </w:rPr>
              <w:t>5-1</w:t>
            </w:r>
            <w:r>
              <w:rPr>
                <w:rFonts w:hint="eastAsia" w:ascii="宋体" w:hAnsi="宋体" w:cs="宋体"/>
                <w:b/>
                <w:color w:val="000000"/>
                <w:kern w:val="0"/>
                <w:sz w:val="24"/>
                <w:lang w:bidi="ar"/>
              </w:rPr>
              <w:t>按行业大类分组的科学研究和技术服务业企业法人单位和从业人员</w:t>
            </w:r>
          </w:p>
        </w:tc>
      </w:tr>
      <w:tr>
        <w:tblPrEx>
          <w:tblCellMar>
            <w:top w:w="0" w:type="dxa"/>
            <w:left w:w="0" w:type="dxa"/>
            <w:bottom w:w="0" w:type="dxa"/>
            <w:right w:w="0" w:type="dxa"/>
          </w:tblCellMar>
        </w:tblPrEx>
        <w:trPr>
          <w:trHeight w:val="90" w:hRule="atLeast"/>
          <w:jc w:val="center"/>
        </w:trPr>
        <w:tc>
          <w:tcPr>
            <w:tcW w:w="4205" w:type="dxa"/>
            <w:tcBorders>
              <w:top w:val="single" w:color="000000" w:sz="12" w:space="0"/>
              <w:left w:val="nil"/>
              <w:bottom w:val="single" w:color="000000" w:sz="12"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p>
        </w:tc>
        <w:tc>
          <w:tcPr>
            <w:tcW w:w="2016" w:type="dxa"/>
            <w:tcBorders>
              <w:top w:val="single" w:color="000000" w:sz="12" w:space="0"/>
              <w:left w:val="nil"/>
              <w:bottom w:val="single" w:color="000000" w:sz="12"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b/>
                <w:color w:val="000000"/>
                <w:szCs w:val="21"/>
              </w:rPr>
            </w:pPr>
            <w:r>
              <w:rPr>
                <w:rFonts w:hint="eastAsia" w:ascii="宋体" w:hAnsi="宋体" w:cs="宋体"/>
                <w:b/>
                <w:color w:val="000000"/>
                <w:kern w:val="0"/>
                <w:szCs w:val="21"/>
                <w:lang w:bidi="ar"/>
              </w:rPr>
              <w:t>企业法人单位（个）</w:t>
            </w:r>
          </w:p>
        </w:tc>
        <w:tc>
          <w:tcPr>
            <w:tcW w:w="1959" w:type="dxa"/>
            <w:tcBorders>
              <w:top w:val="single" w:color="000000" w:sz="12" w:space="0"/>
              <w:left w:val="nil"/>
              <w:bottom w:val="single" w:color="000000" w:sz="12" w:space="0"/>
              <w:right w:val="nil"/>
            </w:tcBorders>
            <w:noWrap w:val="0"/>
            <w:tcMar>
              <w:top w:w="15" w:type="dxa"/>
              <w:left w:w="15" w:type="dxa"/>
              <w:right w:w="15" w:type="dxa"/>
            </w:tcMar>
            <w:vAlign w:val="center"/>
          </w:tcPr>
          <w:p>
            <w:pPr>
              <w:widowControl/>
              <w:jc w:val="center"/>
              <w:textAlignment w:val="center"/>
              <w:rPr>
                <w:rFonts w:hint="eastAsia" w:ascii="宋体" w:hAnsi="宋体" w:cs="宋体"/>
                <w:b/>
                <w:color w:val="000000"/>
                <w:szCs w:val="21"/>
              </w:rPr>
            </w:pPr>
            <w:r>
              <w:rPr>
                <w:rFonts w:hint="eastAsia" w:ascii="宋体" w:hAnsi="宋体" w:cs="宋体"/>
                <w:b/>
                <w:color w:val="000000"/>
                <w:kern w:val="0"/>
                <w:szCs w:val="21"/>
                <w:lang w:bidi="ar"/>
              </w:rPr>
              <w:t>从业人员（人）</w:t>
            </w:r>
          </w:p>
        </w:tc>
      </w:tr>
      <w:tr>
        <w:tblPrEx>
          <w:tblCellMar>
            <w:top w:w="0" w:type="dxa"/>
            <w:left w:w="0" w:type="dxa"/>
            <w:bottom w:w="0" w:type="dxa"/>
            <w:right w:w="0" w:type="dxa"/>
          </w:tblCellMar>
        </w:tblPrEx>
        <w:trPr>
          <w:trHeight w:val="90" w:hRule="atLeast"/>
          <w:jc w:val="center"/>
        </w:trPr>
        <w:tc>
          <w:tcPr>
            <w:tcW w:w="4205" w:type="dxa"/>
            <w:tcBorders>
              <w:top w:val="single" w:color="000000" w:sz="12" w:space="0"/>
              <w:left w:val="nil"/>
              <w:bottom w:val="nil"/>
              <w:right w:val="single" w:color="000000" w:sz="8" w:space="0"/>
            </w:tcBorders>
            <w:noWrap w:val="0"/>
            <w:tcMar>
              <w:top w:w="15" w:type="dxa"/>
              <w:left w:w="15" w:type="dxa"/>
              <w:right w:w="15" w:type="dxa"/>
            </w:tcMar>
            <w:vAlign w:val="center"/>
          </w:tcPr>
          <w:p>
            <w:pPr>
              <w:widowControl/>
              <w:textAlignment w:val="center"/>
              <w:rPr>
                <w:rFonts w:hint="eastAsia" w:ascii="宋体" w:hAnsi="宋体" w:cs="宋体"/>
                <w:b/>
                <w:color w:val="000000"/>
                <w:szCs w:val="21"/>
              </w:rPr>
            </w:pPr>
            <w:r>
              <w:rPr>
                <w:rFonts w:hint="eastAsia" w:ascii="宋体" w:hAnsi="宋体" w:cs="宋体"/>
                <w:b/>
                <w:color w:val="000000"/>
                <w:kern w:val="0"/>
                <w:szCs w:val="21"/>
                <w:lang w:bidi="ar"/>
              </w:rPr>
              <w:t>合 计</w:t>
            </w:r>
          </w:p>
        </w:tc>
        <w:tc>
          <w:tcPr>
            <w:tcW w:w="2016" w:type="dxa"/>
            <w:tcBorders>
              <w:top w:val="single" w:color="000000" w:sz="12" w:space="0"/>
              <w:left w:val="nil"/>
              <w:bottom w:val="nil"/>
              <w:right w:val="single" w:color="000000" w:sz="8" w:space="0"/>
            </w:tcBorders>
            <w:noWrap w:val="0"/>
            <w:tcMar>
              <w:top w:w="15" w:type="dxa"/>
              <w:left w:w="15" w:type="dxa"/>
              <w:right w:w="15" w:type="dxa"/>
            </w:tcMar>
            <w:vAlign w:val="top"/>
          </w:tcPr>
          <w:p>
            <w:pPr>
              <w:widowControl/>
              <w:jc w:val="right"/>
              <w:textAlignment w:val="top"/>
              <w:rPr>
                <w:rFonts w:hint="eastAsia" w:eastAsia="宋体"/>
                <w:b/>
                <w:color w:val="000000"/>
                <w:szCs w:val="21"/>
                <w:lang w:eastAsia="zh-CN"/>
              </w:rPr>
            </w:pPr>
            <w:r>
              <w:rPr>
                <w:b/>
                <w:color w:val="000000"/>
                <w:kern w:val="0"/>
                <w:szCs w:val="21"/>
                <w:lang w:bidi="ar"/>
              </w:rPr>
              <w:t>92</w:t>
            </w:r>
            <w:r>
              <w:rPr>
                <w:rFonts w:hint="eastAsia"/>
                <w:b/>
                <w:color w:val="000000"/>
                <w:kern w:val="0"/>
                <w:szCs w:val="21"/>
                <w:lang w:val="en-US" w:eastAsia="zh-CN" w:bidi="ar"/>
              </w:rPr>
              <w:t>2</w:t>
            </w:r>
          </w:p>
        </w:tc>
        <w:tc>
          <w:tcPr>
            <w:tcW w:w="1959" w:type="dxa"/>
            <w:tcBorders>
              <w:top w:val="single" w:color="000000" w:sz="12" w:space="0"/>
              <w:left w:val="nil"/>
              <w:bottom w:val="nil"/>
              <w:right w:val="nil"/>
            </w:tcBorders>
            <w:noWrap w:val="0"/>
            <w:tcMar>
              <w:top w:w="15" w:type="dxa"/>
              <w:left w:w="15" w:type="dxa"/>
              <w:right w:w="15" w:type="dxa"/>
            </w:tcMar>
            <w:vAlign w:val="top"/>
          </w:tcPr>
          <w:p>
            <w:pPr>
              <w:widowControl/>
              <w:jc w:val="right"/>
              <w:textAlignment w:val="top"/>
              <w:rPr>
                <w:b/>
                <w:color w:val="000000"/>
                <w:szCs w:val="21"/>
              </w:rPr>
            </w:pPr>
            <w:r>
              <w:rPr>
                <w:b/>
                <w:color w:val="000000"/>
                <w:kern w:val="0"/>
                <w:szCs w:val="21"/>
                <w:lang w:bidi="ar"/>
              </w:rPr>
              <w:t>12036</w:t>
            </w:r>
          </w:p>
        </w:tc>
      </w:tr>
      <w:tr>
        <w:tblPrEx>
          <w:tblCellMar>
            <w:top w:w="0" w:type="dxa"/>
            <w:left w:w="0" w:type="dxa"/>
            <w:bottom w:w="0" w:type="dxa"/>
            <w:right w:w="0" w:type="dxa"/>
          </w:tblCellMar>
        </w:tblPrEx>
        <w:trPr>
          <w:trHeight w:val="90" w:hRule="atLeast"/>
          <w:jc w:val="center"/>
        </w:trPr>
        <w:tc>
          <w:tcPr>
            <w:tcW w:w="4205" w:type="dxa"/>
            <w:tcBorders>
              <w:top w:val="nil"/>
              <w:left w:val="nil"/>
              <w:bottom w:val="nil"/>
              <w:right w:val="single" w:color="000000" w:sz="8" w:space="0"/>
            </w:tcBorders>
            <w:noWrap w:val="0"/>
            <w:tcMar>
              <w:top w:w="15" w:type="dxa"/>
              <w:left w:w="15" w:type="dxa"/>
              <w:right w:w="15" w:type="dxa"/>
            </w:tcMar>
            <w:vAlign w:val="center"/>
          </w:tcPr>
          <w:p>
            <w:pPr>
              <w:widowControl/>
              <w:ind w:firstLine="210" w:firstLineChars="100"/>
              <w:textAlignment w:val="center"/>
              <w:rPr>
                <w:rFonts w:hint="eastAsia" w:ascii="宋体" w:hAnsi="宋体" w:cs="宋体"/>
                <w:color w:val="000000"/>
                <w:szCs w:val="21"/>
              </w:rPr>
            </w:pPr>
            <w:r>
              <w:rPr>
                <w:rFonts w:hint="eastAsia" w:ascii="宋体" w:hAnsi="宋体" w:cs="宋体"/>
                <w:color w:val="000000"/>
                <w:kern w:val="0"/>
                <w:szCs w:val="21"/>
                <w:lang w:bidi="ar"/>
              </w:rPr>
              <w:t>研究和试验发展</w:t>
            </w:r>
          </w:p>
        </w:tc>
        <w:tc>
          <w:tcPr>
            <w:tcW w:w="2016"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160</w:t>
            </w:r>
          </w:p>
        </w:tc>
        <w:tc>
          <w:tcPr>
            <w:tcW w:w="1959" w:type="dxa"/>
            <w:tcBorders>
              <w:top w:val="nil"/>
              <w:left w:val="nil"/>
              <w:bottom w:val="nil"/>
              <w:right w:val="nil"/>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1046</w:t>
            </w:r>
          </w:p>
        </w:tc>
      </w:tr>
      <w:tr>
        <w:tblPrEx>
          <w:tblCellMar>
            <w:top w:w="0" w:type="dxa"/>
            <w:left w:w="0" w:type="dxa"/>
            <w:bottom w:w="0" w:type="dxa"/>
            <w:right w:w="0" w:type="dxa"/>
          </w:tblCellMar>
        </w:tblPrEx>
        <w:trPr>
          <w:trHeight w:val="90" w:hRule="atLeast"/>
          <w:jc w:val="center"/>
        </w:trPr>
        <w:tc>
          <w:tcPr>
            <w:tcW w:w="4205" w:type="dxa"/>
            <w:tcBorders>
              <w:top w:val="nil"/>
              <w:left w:val="nil"/>
              <w:bottom w:val="nil"/>
              <w:right w:val="single" w:color="000000" w:sz="8" w:space="0"/>
            </w:tcBorders>
            <w:noWrap w:val="0"/>
            <w:tcMar>
              <w:top w:w="15" w:type="dxa"/>
              <w:left w:w="15" w:type="dxa"/>
              <w:right w:w="15" w:type="dxa"/>
            </w:tcMar>
            <w:vAlign w:val="center"/>
          </w:tcPr>
          <w:p>
            <w:pPr>
              <w:widowControl/>
              <w:ind w:firstLine="210" w:firstLineChars="100"/>
              <w:textAlignment w:val="center"/>
              <w:rPr>
                <w:rFonts w:hint="eastAsia" w:ascii="宋体" w:hAnsi="宋体" w:cs="宋体"/>
                <w:color w:val="000000"/>
                <w:szCs w:val="21"/>
              </w:rPr>
            </w:pPr>
            <w:r>
              <w:rPr>
                <w:rFonts w:hint="eastAsia" w:ascii="宋体" w:hAnsi="宋体" w:cs="宋体"/>
                <w:color w:val="000000"/>
                <w:kern w:val="0"/>
                <w:szCs w:val="21"/>
                <w:lang w:bidi="ar"/>
              </w:rPr>
              <w:t>专业技术服务业</w:t>
            </w:r>
          </w:p>
        </w:tc>
        <w:tc>
          <w:tcPr>
            <w:tcW w:w="2016"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rFonts w:hint="eastAsia" w:eastAsia="宋体"/>
                <w:color w:val="000000"/>
                <w:szCs w:val="21"/>
                <w:lang w:eastAsia="zh-CN"/>
              </w:rPr>
            </w:pPr>
            <w:r>
              <w:rPr>
                <w:color w:val="000000"/>
                <w:kern w:val="0"/>
                <w:szCs w:val="21"/>
                <w:lang w:bidi="ar"/>
              </w:rPr>
              <w:t>44</w:t>
            </w:r>
            <w:r>
              <w:rPr>
                <w:rFonts w:hint="eastAsia"/>
                <w:color w:val="000000"/>
                <w:kern w:val="0"/>
                <w:szCs w:val="21"/>
                <w:lang w:val="en-US" w:eastAsia="zh-CN" w:bidi="ar"/>
              </w:rPr>
              <w:t>2</w:t>
            </w:r>
          </w:p>
        </w:tc>
        <w:tc>
          <w:tcPr>
            <w:tcW w:w="1959" w:type="dxa"/>
            <w:tcBorders>
              <w:top w:val="nil"/>
              <w:left w:val="nil"/>
              <w:bottom w:val="nil"/>
              <w:right w:val="nil"/>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9623</w:t>
            </w:r>
          </w:p>
        </w:tc>
      </w:tr>
      <w:tr>
        <w:tblPrEx>
          <w:tblCellMar>
            <w:top w:w="0" w:type="dxa"/>
            <w:left w:w="0" w:type="dxa"/>
            <w:bottom w:w="0" w:type="dxa"/>
            <w:right w:w="0" w:type="dxa"/>
          </w:tblCellMar>
        </w:tblPrEx>
        <w:trPr>
          <w:trHeight w:val="90" w:hRule="atLeast"/>
          <w:jc w:val="center"/>
        </w:trPr>
        <w:tc>
          <w:tcPr>
            <w:tcW w:w="4205" w:type="dxa"/>
            <w:tcBorders>
              <w:top w:val="nil"/>
              <w:left w:val="nil"/>
              <w:bottom w:val="single" w:color="000000" w:sz="12" w:space="0"/>
              <w:right w:val="single" w:color="000000" w:sz="8" w:space="0"/>
            </w:tcBorders>
            <w:noWrap w:val="0"/>
            <w:tcMar>
              <w:top w:w="15" w:type="dxa"/>
              <w:left w:w="15" w:type="dxa"/>
              <w:right w:w="15" w:type="dxa"/>
            </w:tcMar>
            <w:vAlign w:val="center"/>
          </w:tcPr>
          <w:p>
            <w:pPr>
              <w:widowControl/>
              <w:ind w:firstLine="210" w:firstLineChars="100"/>
              <w:textAlignment w:val="center"/>
              <w:rPr>
                <w:rFonts w:hint="eastAsia" w:ascii="宋体" w:hAnsi="宋体" w:cs="宋体"/>
                <w:color w:val="000000"/>
                <w:szCs w:val="21"/>
              </w:rPr>
            </w:pPr>
            <w:r>
              <w:rPr>
                <w:rFonts w:hint="eastAsia" w:ascii="宋体" w:hAnsi="宋体" w:cs="宋体"/>
                <w:color w:val="000000"/>
                <w:kern w:val="0"/>
                <w:szCs w:val="21"/>
                <w:lang w:bidi="ar"/>
              </w:rPr>
              <w:t>科技推广和应用服务业</w:t>
            </w:r>
          </w:p>
        </w:tc>
        <w:tc>
          <w:tcPr>
            <w:tcW w:w="2016" w:type="dxa"/>
            <w:tcBorders>
              <w:top w:val="nil"/>
              <w:left w:val="nil"/>
              <w:bottom w:val="single" w:color="000000" w:sz="12" w:space="0"/>
              <w:right w:val="single" w:color="000000" w:sz="8" w:space="0"/>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320</w:t>
            </w:r>
          </w:p>
        </w:tc>
        <w:tc>
          <w:tcPr>
            <w:tcW w:w="1959" w:type="dxa"/>
            <w:tcBorders>
              <w:top w:val="nil"/>
              <w:left w:val="nil"/>
              <w:bottom w:val="single" w:color="000000" w:sz="12" w:space="0"/>
              <w:right w:val="nil"/>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1367</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在科学研究和技术服务业企业法人单位中，内资企业占99.</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%，港、澳、台商投资企业占0.2%，外商投资企业占0.3%。</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在科学研究和技术服务业企业法人单位从业人员中，内资企业占99.</w:t>
      </w:r>
      <w:r>
        <w:rPr>
          <w:rFonts w:hint="eastAsia" w:ascii="Times New Roman" w:hAnsi="Times New Roman" w:eastAsia="仿宋_GB2312" w:cs="Times New Roman"/>
          <w:sz w:val="32"/>
          <w:szCs w:val="32"/>
          <w:lang w:val="en-US" w:eastAsia="zh-CN"/>
        </w:rPr>
        <w:t>8</w:t>
      </w:r>
      <w:r>
        <w:rPr>
          <w:rFonts w:hint="eastAsia" w:ascii="Times New Roman" w:hAnsi="Times New Roman" w:eastAsia="仿宋_GB2312" w:cs="Times New Roman"/>
          <w:sz w:val="32"/>
          <w:szCs w:val="32"/>
        </w:rPr>
        <w:t>%，港、澳、台商投资企业占0.</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%，外商投资企业占0.</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%（详见表5-2）。</w:t>
      </w:r>
    </w:p>
    <w:tbl>
      <w:tblPr>
        <w:tblStyle w:val="10"/>
        <w:tblW w:w="0" w:type="auto"/>
        <w:jc w:val="center"/>
        <w:tblLayout w:type="fixed"/>
        <w:tblCellMar>
          <w:top w:w="0" w:type="dxa"/>
          <w:left w:w="0" w:type="dxa"/>
          <w:bottom w:w="0" w:type="dxa"/>
          <w:right w:w="0" w:type="dxa"/>
        </w:tblCellMar>
      </w:tblPr>
      <w:tblGrid>
        <w:gridCol w:w="4217"/>
        <w:gridCol w:w="2022"/>
        <w:gridCol w:w="1961"/>
      </w:tblGrid>
      <w:tr>
        <w:tblPrEx>
          <w:tblCellMar>
            <w:top w:w="0" w:type="dxa"/>
            <w:left w:w="0" w:type="dxa"/>
            <w:bottom w:w="0" w:type="dxa"/>
            <w:right w:w="0" w:type="dxa"/>
          </w:tblCellMar>
        </w:tblPrEx>
        <w:trPr>
          <w:trHeight w:val="591" w:hRule="atLeast"/>
          <w:jc w:val="center"/>
        </w:trPr>
        <w:tc>
          <w:tcPr>
            <w:tcW w:w="8200" w:type="dxa"/>
            <w:gridSpan w:val="3"/>
            <w:tcBorders>
              <w:top w:val="nil"/>
              <w:left w:val="nil"/>
              <w:bottom w:val="single" w:color="000000" w:sz="12" w:space="0"/>
              <w:right w:val="nil"/>
            </w:tcBorders>
            <w:shd w:val="clear" w:color="auto" w:fill="FFFFFF"/>
            <w:noWrap w:val="0"/>
            <w:tcMar>
              <w:top w:w="15" w:type="dxa"/>
              <w:left w:w="15" w:type="dxa"/>
              <w:right w:w="15" w:type="dxa"/>
            </w:tcMar>
            <w:vAlign w:val="center"/>
          </w:tcPr>
          <w:p>
            <w:pPr>
              <w:widowControl/>
              <w:jc w:val="center"/>
              <w:textAlignment w:val="center"/>
              <w:rPr>
                <w:rFonts w:hint="eastAsia" w:ascii="宋体" w:hAnsi="宋体" w:cs="宋体"/>
                <w:b/>
                <w:color w:val="000000"/>
                <w:sz w:val="24"/>
              </w:rPr>
            </w:pPr>
            <w:r>
              <w:rPr>
                <w:rFonts w:hint="eastAsia" w:ascii="宋体" w:hAnsi="宋体" w:cs="宋体"/>
                <w:b/>
                <w:color w:val="000000"/>
                <w:kern w:val="0"/>
                <w:sz w:val="24"/>
                <w:lang w:bidi="ar"/>
              </w:rPr>
              <w:t>表</w:t>
            </w:r>
            <w:r>
              <w:rPr>
                <w:rStyle w:val="17"/>
                <w:lang w:bidi="ar"/>
              </w:rPr>
              <w:t>5-2</w:t>
            </w:r>
            <w:r>
              <w:rPr>
                <w:rFonts w:hint="eastAsia" w:ascii="宋体" w:hAnsi="宋体" w:cs="宋体"/>
                <w:b/>
                <w:color w:val="000000"/>
                <w:kern w:val="0"/>
                <w:sz w:val="24"/>
                <w:lang w:bidi="ar"/>
              </w:rPr>
              <w:t>按登记注册类型分组的科学研究和技术服务业企业法人单位和从业人员</w:t>
            </w:r>
          </w:p>
        </w:tc>
      </w:tr>
      <w:tr>
        <w:tblPrEx>
          <w:tblCellMar>
            <w:top w:w="0" w:type="dxa"/>
            <w:left w:w="0" w:type="dxa"/>
            <w:bottom w:w="0" w:type="dxa"/>
            <w:right w:w="0" w:type="dxa"/>
          </w:tblCellMar>
        </w:tblPrEx>
        <w:trPr>
          <w:trHeight w:val="362" w:hRule="atLeast"/>
          <w:jc w:val="center"/>
        </w:trPr>
        <w:tc>
          <w:tcPr>
            <w:tcW w:w="4217" w:type="dxa"/>
            <w:tcBorders>
              <w:top w:val="single" w:color="000000" w:sz="12" w:space="0"/>
              <w:left w:val="nil"/>
              <w:bottom w:val="single" w:color="000000" w:sz="12" w:space="0"/>
              <w:right w:val="single" w:color="000000" w:sz="8" w:space="0"/>
            </w:tcBorders>
            <w:noWrap w:val="0"/>
            <w:tcMar>
              <w:top w:w="15" w:type="dxa"/>
              <w:left w:w="15" w:type="dxa"/>
              <w:right w:w="15" w:type="dxa"/>
            </w:tcMar>
            <w:vAlign w:val="center"/>
          </w:tcPr>
          <w:p>
            <w:pPr>
              <w:jc w:val="center"/>
              <w:rPr>
                <w:rFonts w:hint="eastAsia" w:ascii="宋体" w:hAnsi="宋体" w:cs="宋体"/>
                <w:b/>
                <w:color w:val="000000"/>
                <w:sz w:val="18"/>
                <w:szCs w:val="18"/>
              </w:rPr>
            </w:pPr>
          </w:p>
        </w:tc>
        <w:tc>
          <w:tcPr>
            <w:tcW w:w="2022" w:type="dxa"/>
            <w:tcBorders>
              <w:top w:val="single" w:color="000000" w:sz="12" w:space="0"/>
              <w:left w:val="nil"/>
              <w:bottom w:val="single" w:color="000000" w:sz="12"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b/>
                <w:color w:val="000000"/>
                <w:szCs w:val="21"/>
              </w:rPr>
            </w:pPr>
            <w:r>
              <w:rPr>
                <w:rFonts w:hint="eastAsia" w:ascii="宋体" w:hAnsi="宋体" w:cs="宋体"/>
                <w:b/>
                <w:color w:val="000000"/>
                <w:kern w:val="0"/>
                <w:szCs w:val="21"/>
                <w:lang w:bidi="ar"/>
              </w:rPr>
              <w:t>企业法人单位</w:t>
            </w:r>
            <w:r>
              <w:rPr>
                <w:b/>
                <w:color w:val="000000"/>
                <w:kern w:val="0"/>
                <w:szCs w:val="21"/>
                <w:lang w:bidi="ar"/>
              </w:rPr>
              <w:t>(</w:t>
            </w:r>
            <w:r>
              <w:rPr>
                <w:rFonts w:hint="eastAsia" w:ascii="宋体" w:hAnsi="宋体" w:cs="宋体"/>
                <w:b/>
                <w:color w:val="000000"/>
                <w:kern w:val="0"/>
                <w:szCs w:val="21"/>
                <w:lang w:bidi="ar"/>
              </w:rPr>
              <w:t>个</w:t>
            </w:r>
            <w:r>
              <w:rPr>
                <w:b/>
                <w:color w:val="000000"/>
                <w:kern w:val="0"/>
                <w:szCs w:val="21"/>
                <w:lang w:bidi="ar"/>
              </w:rPr>
              <w:t>)</w:t>
            </w:r>
          </w:p>
        </w:tc>
        <w:tc>
          <w:tcPr>
            <w:tcW w:w="1961" w:type="dxa"/>
            <w:tcBorders>
              <w:top w:val="single" w:color="000000" w:sz="12" w:space="0"/>
              <w:left w:val="nil"/>
              <w:bottom w:val="single" w:color="000000" w:sz="12" w:space="0"/>
              <w:right w:val="nil"/>
            </w:tcBorders>
            <w:noWrap w:val="0"/>
            <w:tcMar>
              <w:top w:w="15" w:type="dxa"/>
              <w:left w:w="15" w:type="dxa"/>
              <w:right w:w="15" w:type="dxa"/>
            </w:tcMar>
            <w:vAlign w:val="center"/>
          </w:tcPr>
          <w:p>
            <w:pPr>
              <w:widowControl/>
              <w:jc w:val="center"/>
              <w:textAlignment w:val="center"/>
              <w:rPr>
                <w:rFonts w:hint="eastAsia" w:ascii="宋体" w:hAnsi="宋体" w:cs="宋体"/>
                <w:b/>
                <w:color w:val="000000"/>
                <w:szCs w:val="21"/>
              </w:rPr>
            </w:pPr>
            <w:r>
              <w:rPr>
                <w:rFonts w:hint="eastAsia" w:ascii="宋体" w:hAnsi="宋体" w:cs="宋体"/>
                <w:b/>
                <w:color w:val="000000"/>
                <w:kern w:val="0"/>
                <w:szCs w:val="21"/>
                <w:lang w:bidi="ar"/>
              </w:rPr>
              <w:t>从业人员</w:t>
            </w:r>
            <w:r>
              <w:rPr>
                <w:b/>
                <w:color w:val="000000"/>
                <w:kern w:val="0"/>
                <w:szCs w:val="21"/>
                <w:lang w:bidi="ar"/>
              </w:rPr>
              <w:t>(</w:t>
            </w:r>
            <w:r>
              <w:rPr>
                <w:rFonts w:hint="eastAsia" w:ascii="宋体" w:hAnsi="宋体" w:cs="宋体"/>
                <w:b/>
                <w:color w:val="000000"/>
                <w:kern w:val="0"/>
                <w:szCs w:val="21"/>
                <w:lang w:bidi="ar"/>
              </w:rPr>
              <w:t>人</w:t>
            </w:r>
            <w:r>
              <w:rPr>
                <w:b/>
                <w:color w:val="000000"/>
                <w:kern w:val="0"/>
                <w:szCs w:val="21"/>
                <w:lang w:bidi="ar"/>
              </w:rPr>
              <w:t>)</w:t>
            </w:r>
          </w:p>
        </w:tc>
      </w:tr>
      <w:tr>
        <w:tblPrEx>
          <w:tblCellMar>
            <w:top w:w="0" w:type="dxa"/>
            <w:left w:w="0" w:type="dxa"/>
            <w:bottom w:w="0" w:type="dxa"/>
            <w:right w:w="0" w:type="dxa"/>
          </w:tblCellMar>
        </w:tblPrEx>
        <w:trPr>
          <w:trHeight w:val="354" w:hRule="atLeast"/>
          <w:jc w:val="center"/>
        </w:trPr>
        <w:tc>
          <w:tcPr>
            <w:tcW w:w="4217" w:type="dxa"/>
            <w:tcBorders>
              <w:top w:val="single" w:color="000000" w:sz="12" w:space="0"/>
              <w:left w:val="nil"/>
              <w:bottom w:val="nil"/>
              <w:right w:val="single" w:color="000000" w:sz="8" w:space="0"/>
            </w:tcBorders>
            <w:noWrap w:val="0"/>
            <w:tcMar>
              <w:top w:w="15" w:type="dxa"/>
              <w:left w:w="15" w:type="dxa"/>
              <w:right w:w="15" w:type="dxa"/>
            </w:tcMar>
            <w:vAlign w:val="center"/>
          </w:tcPr>
          <w:p>
            <w:pPr>
              <w:widowControl/>
              <w:textAlignment w:val="center"/>
              <w:rPr>
                <w:rFonts w:hint="eastAsia" w:ascii="宋体" w:hAnsi="宋体" w:cs="宋体"/>
                <w:b/>
                <w:color w:val="000000"/>
                <w:szCs w:val="21"/>
              </w:rPr>
            </w:pPr>
            <w:r>
              <w:rPr>
                <w:rFonts w:hint="eastAsia" w:ascii="宋体" w:hAnsi="宋体" w:cs="宋体"/>
                <w:b/>
                <w:color w:val="000000"/>
                <w:kern w:val="0"/>
                <w:szCs w:val="21"/>
                <w:lang w:bidi="ar"/>
              </w:rPr>
              <w:t>合 计</w:t>
            </w:r>
          </w:p>
        </w:tc>
        <w:tc>
          <w:tcPr>
            <w:tcW w:w="2022" w:type="dxa"/>
            <w:tcBorders>
              <w:top w:val="single" w:color="000000" w:sz="12" w:space="0"/>
              <w:left w:val="nil"/>
              <w:bottom w:val="nil"/>
              <w:right w:val="single" w:color="000000" w:sz="8" w:space="0"/>
            </w:tcBorders>
            <w:noWrap w:val="0"/>
            <w:tcMar>
              <w:top w:w="15" w:type="dxa"/>
              <w:left w:w="15" w:type="dxa"/>
              <w:right w:w="15" w:type="dxa"/>
            </w:tcMar>
            <w:vAlign w:val="top"/>
          </w:tcPr>
          <w:p>
            <w:pPr>
              <w:widowControl/>
              <w:jc w:val="right"/>
              <w:textAlignment w:val="top"/>
              <w:rPr>
                <w:rFonts w:hint="eastAsia" w:eastAsia="宋体"/>
                <w:b/>
                <w:color w:val="000000"/>
                <w:szCs w:val="21"/>
                <w:lang w:eastAsia="zh-CN"/>
              </w:rPr>
            </w:pPr>
            <w:r>
              <w:rPr>
                <w:b/>
                <w:color w:val="000000"/>
                <w:kern w:val="0"/>
                <w:szCs w:val="21"/>
                <w:lang w:bidi="ar"/>
              </w:rPr>
              <w:t>92</w:t>
            </w:r>
            <w:r>
              <w:rPr>
                <w:rFonts w:hint="eastAsia"/>
                <w:b/>
                <w:color w:val="000000"/>
                <w:kern w:val="0"/>
                <w:szCs w:val="21"/>
                <w:lang w:val="en-US" w:eastAsia="zh-CN" w:bidi="ar"/>
              </w:rPr>
              <w:t>2</w:t>
            </w:r>
          </w:p>
        </w:tc>
        <w:tc>
          <w:tcPr>
            <w:tcW w:w="1961" w:type="dxa"/>
            <w:tcBorders>
              <w:top w:val="single" w:color="000000" w:sz="12" w:space="0"/>
              <w:left w:val="nil"/>
              <w:bottom w:val="nil"/>
              <w:right w:val="nil"/>
            </w:tcBorders>
            <w:noWrap w:val="0"/>
            <w:tcMar>
              <w:top w:w="15" w:type="dxa"/>
              <w:left w:w="15" w:type="dxa"/>
              <w:right w:w="15" w:type="dxa"/>
            </w:tcMar>
            <w:vAlign w:val="top"/>
          </w:tcPr>
          <w:p>
            <w:pPr>
              <w:widowControl/>
              <w:jc w:val="right"/>
              <w:textAlignment w:val="top"/>
              <w:rPr>
                <w:b/>
                <w:color w:val="000000"/>
                <w:szCs w:val="21"/>
              </w:rPr>
            </w:pPr>
            <w:r>
              <w:rPr>
                <w:b/>
                <w:color w:val="000000"/>
                <w:kern w:val="0"/>
                <w:szCs w:val="21"/>
                <w:lang w:bidi="ar"/>
              </w:rPr>
              <w:t>12036</w:t>
            </w:r>
          </w:p>
        </w:tc>
      </w:tr>
      <w:tr>
        <w:tblPrEx>
          <w:tblCellMar>
            <w:top w:w="0" w:type="dxa"/>
            <w:left w:w="0" w:type="dxa"/>
            <w:bottom w:w="0" w:type="dxa"/>
            <w:right w:w="0" w:type="dxa"/>
          </w:tblCellMar>
        </w:tblPrEx>
        <w:trPr>
          <w:trHeight w:val="309" w:hRule="atLeast"/>
          <w:jc w:val="center"/>
        </w:trPr>
        <w:tc>
          <w:tcPr>
            <w:tcW w:w="4217" w:type="dxa"/>
            <w:tcBorders>
              <w:top w:val="nil"/>
              <w:left w:val="nil"/>
              <w:bottom w:val="nil"/>
              <w:right w:val="single" w:color="000000" w:sz="8" w:space="0"/>
            </w:tcBorders>
            <w:noWrap w:val="0"/>
            <w:tcMar>
              <w:top w:w="15" w:type="dxa"/>
              <w:left w:w="15" w:type="dxa"/>
              <w:right w:w="15" w:type="dxa"/>
            </w:tcMar>
            <w:vAlign w:val="center"/>
          </w:tcPr>
          <w:p>
            <w:pPr>
              <w:widowControl/>
              <w:textAlignment w:val="center"/>
              <w:rPr>
                <w:rFonts w:hint="eastAsia" w:ascii="宋体" w:hAnsi="宋体" w:cs="宋体"/>
                <w:b/>
                <w:color w:val="000000"/>
                <w:szCs w:val="21"/>
              </w:rPr>
            </w:pPr>
            <w:r>
              <w:rPr>
                <w:rFonts w:hint="eastAsia" w:ascii="宋体" w:hAnsi="宋体" w:cs="宋体"/>
                <w:b/>
                <w:color w:val="000000"/>
                <w:kern w:val="0"/>
                <w:szCs w:val="21"/>
                <w:lang w:bidi="ar"/>
              </w:rPr>
              <w:t>内资企业</w:t>
            </w:r>
          </w:p>
        </w:tc>
        <w:tc>
          <w:tcPr>
            <w:tcW w:w="2022"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rFonts w:hint="eastAsia" w:eastAsia="宋体"/>
                <w:b/>
                <w:color w:val="000000"/>
                <w:szCs w:val="21"/>
                <w:lang w:eastAsia="zh-CN"/>
              </w:rPr>
            </w:pPr>
            <w:r>
              <w:rPr>
                <w:b/>
                <w:color w:val="000000"/>
                <w:kern w:val="0"/>
                <w:szCs w:val="21"/>
                <w:lang w:bidi="ar"/>
              </w:rPr>
              <w:t>91</w:t>
            </w:r>
            <w:r>
              <w:rPr>
                <w:rFonts w:hint="eastAsia"/>
                <w:b/>
                <w:color w:val="000000"/>
                <w:kern w:val="0"/>
                <w:szCs w:val="21"/>
                <w:lang w:val="en-US" w:eastAsia="zh-CN" w:bidi="ar"/>
              </w:rPr>
              <w:t>7</w:t>
            </w:r>
          </w:p>
        </w:tc>
        <w:tc>
          <w:tcPr>
            <w:tcW w:w="1961" w:type="dxa"/>
            <w:tcBorders>
              <w:top w:val="nil"/>
              <w:left w:val="nil"/>
              <w:bottom w:val="nil"/>
              <w:right w:val="nil"/>
            </w:tcBorders>
            <w:noWrap w:val="0"/>
            <w:tcMar>
              <w:top w:w="15" w:type="dxa"/>
              <w:left w:w="15" w:type="dxa"/>
              <w:right w:w="15" w:type="dxa"/>
            </w:tcMar>
            <w:vAlign w:val="top"/>
          </w:tcPr>
          <w:p>
            <w:pPr>
              <w:widowControl/>
              <w:jc w:val="right"/>
              <w:textAlignment w:val="top"/>
              <w:rPr>
                <w:b/>
                <w:color w:val="000000"/>
                <w:szCs w:val="21"/>
              </w:rPr>
            </w:pPr>
            <w:r>
              <w:rPr>
                <w:b/>
                <w:color w:val="000000"/>
                <w:kern w:val="0"/>
                <w:szCs w:val="21"/>
                <w:lang w:bidi="ar"/>
              </w:rPr>
              <w:t>12023</w:t>
            </w:r>
          </w:p>
        </w:tc>
      </w:tr>
      <w:tr>
        <w:tblPrEx>
          <w:tblCellMar>
            <w:top w:w="0" w:type="dxa"/>
            <w:left w:w="0" w:type="dxa"/>
            <w:bottom w:w="0" w:type="dxa"/>
            <w:right w:w="0" w:type="dxa"/>
          </w:tblCellMar>
        </w:tblPrEx>
        <w:trPr>
          <w:trHeight w:val="309" w:hRule="atLeast"/>
          <w:jc w:val="center"/>
        </w:trPr>
        <w:tc>
          <w:tcPr>
            <w:tcW w:w="4217" w:type="dxa"/>
            <w:tcBorders>
              <w:top w:val="nil"/>
              <w:left w:val="nil"/>
              <w:bottom w:val="nil"/>
              <w:right w:val="single" w:color="000000" w:sz="8" w:space="0"/>
            </w:tcBorders>
            <w:noWrap w:val="0"/>
            <w:tcMar>
              <w:top w:w="15" w:type="dxa"/>
              <w:left w:w="15" w:type="dxa"/>
              <w:right w:w="15" w:type="dxa"/>
            </w:tcMar>
            <w:vAlign w:val="center"/>
          </w:tcPr>
          <w:p>
            <w:pPr>
              <w:widowControl/>
              <w:textAlignment w:val="center"/>
              <w:rPr>
                <w:color w:val="000000"/>
                <w:szCs w:val="21"/>
              </w:rPr>
            </w:pPr>
            <w:r>
              <w:rPr>
                <w:color w:val="000000"/>
                <w:kern w:val="0"/>
                <w:szCs w:val="21"/>
                <w:lang w:bidi="ar"/>
              </w:rPr>
              <w:t xml:space="preserve"> </w:t>
            </w:r>
            <w:r>
              <w:rPr>
                <w:rFonts w:hint="eastAsia" w:ascii="宋体" w:hAnsi="宋体" w:cs="宋体"/>
                <w:color w:val="000000"/>
                <w:kern w:val="0"/>
                <w:szCs w:val="21"/>
                <w:lang w:bidi="ar"/>
              </w:rPr>
              <w:t>国有企业</w:t>
            </w:r>
          </w:p>
        </w:tc>
        <w:tc>
          <w:tcPr>
            <w:tcW w:w="2022"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3</w:t>
            </w:r>
          </w:p>
        </w:tc>
        <w:tc>
          <w:tcPr>
            <w:tcW w:w="1961" w:type="dxa"/>
            <w:tcBorders>
              <w:top w:val="nil"/>
              <w:left w:val="nil"/>
              <w:bottom w:val="nil"/>
              <w:right w:val="nil"/>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113</w:t>
            </w:r>
          </w:p>
        </w:tc>
      </w:tr>
      <w:tr>
        <w:tblPrEx>
          <w:tblCellMar>
            <w:top w:w="0" w:type="dxa"/>
            <w:left w:w="0" w:type="dxa"/>
            <w:bottom w:w="0" w:type="dxa"/>
            <w:right w:w="0" w:type="dxa"/>
          </w:tblCellMar>
        </w:tblPrEx>
        <w:trPr>
          <w:trHeight w:val="309" w:hRule="atLeast"/>
          <w:jc w:val="center"/>
        </w:trPr>
        <w:tc>
          <w:tcPr>
            <w:tcW w:w="4217" w:type="dxa"/>
            <w:tcBorders>
              <w:top w:val="nil"/>
              <w:left w:val="nil"/>
              <w:bottom w:val="nil"/>
              <w:right w:val="single" w:color="000000" w:sz="8" w:space="0"/>
            </w:tcBorders>
            <w:noWrap w:val="0"/>
            <w:tcMar>
              <w:top w:w="15" w:type="dxa"/>
              <w:left w:w="15" w:type="dxa"/>
              <w:right w:w="15" w:type="dxa"/>
            </w:tcMar>
            <w:vAlign w:val="center"/>
          </w:tcPr>
          <w:p>
            <w:pPr>
              <w:widowControl/>
              <w:textAlignment w:val="center"/>
              <w:rPr>
                <w:color w:val="000000"/>
                <w:szCs w:val="21"/>
              </w:rPr>
            </w:pPr>
            <w:r>
              <w:rPr>
                <w:color w:val="000000"/>
                <w:kern w:val="0"/>
                <w:szCs w:val="21"/>
                <w:lang w:bidi="ar"/>
              </w:rPr>
              <w:t xml:space="preserve"> </w:t>
            </w:r>
            <w:r>
              <w:rPr>
                <w:rFonts w:hint="eastAsia" w:ascii="宋体" w:hAnsi="宋体" w:cs="宋体"/>
                <w:color w:val="000000"/>
                <w:kern w:val="0"/>
                <w:szCs w:val="21"/>
                <w:lang w:bidi="ar"/>
              </w:rPr>
              <w:t>集体企业</w:t>
            </w:r>
          </w:p>
        </w:tc>
        <w:tc>
          <w:tcPr>
            <w:tcW w:w="2022"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color w:val="000000"/>
                <w:szCs w:val="21"/>
              </w:rPr>
            </w:pPr>
            <w:r>
              <w:rPr>
                <w:rFonts w:hint="eastAsia"/>
                <w:color w:val="000000"/>
                <w:kern w:val="0"/>
                <w:szCs w:val="21"/>
                <w:lang w:eastAsia="zh-CN" w:bidi="ar"/>
              </w:rPr>
              <w:t>—</w:t>
            </w:r>
          </w:p>
        </w:tc>
        <w:tc>
          <w:tcPr>
            <w:tcW w:w="1961" w:type="dxa"/>
            <w:tcBorders>
              <w:top w:val="nil"/>
              <w:left w:val="nil"/>
              <w:bottom w:val="nil"/>
              <w:right w:val="nil"/>
            </w:tcBorders>
            <w:noWrap w:val="0"/>
            <w:tcMar>
              <w:top w:w="15" w:type="dxa"/>
              <w:left w:w="15" w:type="dxa"/>
              <w:right w:w="15" w:type="dxa"/>
            </w:tcMar>
            <w:vAlign w:val="top"/>
          </w:tcPr>
          <w:p>
            <w:pPr>
              <w:widowControl/>
              <w:jc w:val="right"/>
              <w:textAlignment w:val="top"/>
              <w:rPr>
                <w:color w:val="000000"/>
                <w:szCs w:val="21"/>
              </w:rPr>
            </w:pPr>
            <w:r>
              <w:rPr>
                <w:rFonts w:hint="eastAsia"/>
                <w:color w:val="000000"/>
                <w:kern w:val="0"/>
                <w:szCs w:val="21"/>
                <w:lang w:eastAsia="zh-CN" w:bidi="ar"/>
              </w:rPr>
              <w:t>—</w:t>
            </w:r>
          </w:p>
        </w:tc>
      </w:tr>
      <w:tr>
        <w:tblPrEx>
          <w:tblCellMar>
            <w:top w:w="0" w:type="dxa"/>
            <w:left w:w="0" w:type="dxa"/>
            <w:bottom w:w="0" w:type="dxa"/>
            <w:right w:w="0" w:type="dxa"/>
          </w:tblCellMar>
        </w:tblPrEx>
        <w:trPr>
          <w:trHeight w:val="309" w:hRule="atLeast"/>
          <w:jc w:val="center"/>
        </w:trPr>
        <w:tc>
          <w:tcPr>
            <w:tcW w:w="4217" w:type="dxa"/>
            <w:tcBorders>
              <w:top w:val="nil"/>
              <w:left w:val="nil"/>
              <w:bottom w:val="nil"/>
              <w:right w:val="single" w:color="000000" w:sz="8" w:space="0"/>
            </w:tcBorders>
            <w:noWrap w:val="0"/>
            <w:tcMar>
              <w:top w:w="15" w:type="dxa"/>
              <w:left w:w="15" w:type="dxa"/>
              <w:right w:w="15" w:type="dxa"/>
            </w:tcMar>
            <w:vAlign w:val="center"/>
          </w:tcPr>
          <w:p>
            <w:pPr>
              <w:widowControl/>
              <w:textAlignment w:val="center"/>
              <w:rPr>
                <w:color w:val="000000"/>
                <w:szCs w:val="21"/>
              </w:rPr>
            </w:pPr>
            <w:r>
              <w:rPr>
                <w:color w:val="000000"/>
                <w:kern w:val="0"/>
                <w:szCs w:val="21"/>
                <w:lang w:bidi="ar"/>
              </w:rPr>
              <w:t xml:space="preserve"> </w:t>
            </w:r>
            <w:r>
              <w:rPr>
                <w:rFonts w:hint="eastAsia" w:ascii="宋体" w:hAnsi="宋体" w:cs="宋体"/>
                <w:color w:val="000000"/>
                <w:kern w:val="0"/>
                <w:szCs w:val="21"/>
                <w:lang w:bidi="ar"/>
              </w:rPr>
              <w:t>股份合作企业</w:t>
            </w:r>
          </w:p>
        </w:tc>
        <w:tc>
          <w:tcPr>
            <w:tcW w:w="2022"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color w:val="000000"/>
                <w:szCs w:val="21"/>
              </w:rPr>
            </w:pPr>
            <w:r>
              <w:rPr>
                <w:rFonts w:hint="eastAsia"/>
                <w:color w:val="000000"/>
                <w:kern w:val="0"/>
                <w:szCs w:val="21"/>
                <w:lang w:eastAsia="zh-CN" w:bidi="ar"/>
              </w:rPr>
              <w:t>—</w:t>
            </w:r>
          </w:p>
        </w:tc>
        <w:tc>
          <w:tcPr>
            <w:tcW w:w="1961" w:type="dxa"/>
            <w:tcBorders>
              <w:top w:val="nil"/>
              <w:left w:val="nil"/>
              <w:bottom w:val="nil"/>
              <w:right w:val="nil"/>
            </w:tcBorders>
            <w:noWrap w:val="0"/>
            <w:tcMar>
              <w:top w:w="15" w:type="dxa"/>
              <w:left w:w="15" w:type="dxa"/>
              <w:right w:w="15" w:type="dxa"/>
            </w:tcMar>
            <w:vAlign w:val="top"/>
          </w:tcPr>
          <w:p>
            <w:pPr>
              <w:widowControl/>
              <w:jc w:val="right"/>
              <w:textAlignment w:val="top"/>
              <w:rPr>
                <w:color w:val="000000"/>
                <w:szCs w:val="21"/>
              </w:rPr>
            </w:pPr>
            <w:r>
              <w:rPr>
                <w:rFonts w:hint="eastAsia"/>
                <w:color w:val="000000"/>
                <w:kern w:val="0"/>
                <w:szCs w:val="21"/>
                <w:lang w:eastAsia="zh-CN" w:bidi="ar"/>
              </w:rPr>
              <w:t>—</w:t>
            </w:r>
          </w:p>
        </w:tc>
      </w:tr>
      <w:tr>
        <w:tblPrEx>
          <w:tblCellMar>
            <w:top w:w="0" w:type="dxa"/>
            <w:left w:w="0" w:type="dxa"/>
            <w:bottom w:w="0" w:type="dxa"/>
            <w:right w:w="0" w:type="dxa"/>
          </w:tblCellMar>
        </w:tblPrEx>
        <w:trPr>
          <w:trHeight w:val="309" w:hRule="atLeast"/>
          <w:jc w:val="center"/>
        </w:trPr>
        <w:tc>
          <w:tcPr>
            <w:tcW w:w="4217" w:type="dxa"/>
            <w:tcBorders>
              <w:top w:val="nil"/>
              <w:left w:val="nil"/>
              <w:bottom w:val="nil"/>
              <w:right w:val="single" w:color="000000" w:sz="8" w:space="0"/>
            </w:tcBorders>
            <w:noWrap w:val="0"/>
            <w:tcMar>
              <w:top w:w="15" w:type="dxa"/>
              <w:left w:w="15" w:type="dxa"/>
              <w:right w:w="15" w:type="dxa"/>
            </w:tcMar>
            <w:vAlign w:val="center"/>
          </w:tcPr>
          <w:p>
            <w:pPr>
              <w:widowControl/>
              <w:textAlignment w:val="center"/>
              <w:rPr>
                <w:color w:val="000000"/>
                <w:szCs w:val="21"/>
              </w:rPr>
            </w:pPr>
            <w:r>
              <w:rPr>
                <w:color w:val="000000"/>
                <w:kern w:val="0"/>
                <w:szCs w:val="21"/>
                <w:lang w:bidi="ar"/>
              </w:rPr>
              <w:t xml:space="preserve"> </w:t>
            </w:r>
            <w:r>
              <w:rPr>
                <w:rFonts w:hint="eastAsia" w:ascii="宋体" w:hAnsi="宋体" w:cs="宋体"/>
                <w:color w:val="000000"/>
                <w:kern w:val="0"/>
                <w:szCs w:val="21"/>
                <w:lang w:bidi="ar"/>
              </w:rPr>
              <w:t>联营企业</w:t>
            </w:r>
          </w:p>
        </w:tc>
        <w:tc>
          <w:tcPr>
            <w:tcW w:w="2022"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color w:val="000000"/>
                <w:szCs w:val="21"/>
              </w:rPr>
            </w:pPr>
            <w:r>
              <w:rPr>
                <w:rFonts w:hint="eastAsia"/>
                <w:color w:val="000000"/>
                <w:kern w:val="0"/>
                <w:szCs w:val="21"/>
                <w:lang w:eastAsia="zh-CN" w:bidi="ar"/>
              </w:rPr>
              <w:t>—</w:t>
            </w:r>
          </w:p>
        </w:tc>
        <w:tc>
          <w:tcPr>
            <w:tcW w:w="1961" w:type="dxa"/>
            <w:tcBorders>
              <w:top w:val="nil"/>
              <w:left w:val="nil"/>
              <w:bottom w:val="nil"/>
              <w:right w:val="nil"/>
            </w:tcBorders>
            <w:noWrap w:val="0"/>
            <w:tcMar>
              <w:top w:w="15" w:type="dxa"/>
              <w:left w:w="15" w:type="dxa"/>
              <w:right w:w="15" w:type="dxa"/>
            </w:tcMar>
            <w:vAlign w:val="top"/>
          </w:tcPr>
          <w:p>
            <w:pPr>
              <w:widowControl/>
              <w:jc w:val="right"/>
              <w:textAlignment w:val="top"/>
              <w:rPr>
                <w:color w:val="000000"/>
                <w:szCs w:val="21"/>
              </w:rPr>
            </w:pPr>
            <w:r>
              <w:rPr>
                <w:rFonts w:hint="eastAsia"/>
                <w:color w:val="000000"/>
                <w:kern w:val="0"/>
                <w:szCs w:val="21"/>
                <w:lang w:eastAsia="zh-CN" w:bidi="ar"/>
              </w:rPr>
              <w:t>—</w:t>
            </w:r>
          </w:p>
        </w:tc>
      </w:tr>
      <w:tr>
        <w:tblPrEx>
          <w:tblCellMar>
            <w:top w:w="0" w:type="dxa"/>
            <w:left w:w="0" w:type="dxa"/>
            <w:bottom w:w="0" w:type="dxa"/>
            <w:right w:w="0" w:type="dxa"/>
          </w:tblCellMar>
        </w:tblPrEx>
        <w:trPr>
          <w:trHeight w:val="309" w:hRule="atLeast"/>
          <w:jc w:val="center"/>
        </w:trPr>
        <w:tc>
          <w:tcPr>
            <w:tcW w:w="4217" w:type="dxa"/>
            <w:tcBorders>
              <w:top w:val="nil"/>
              <w:left w:val="nil"/>
              <w:bottom w:val="nil"/>
              <w:right w:val="single" w:color="000000" w:sz="8" w:space="0"/>
            </w:tcBorders>
            <w:noWrap w:val="0"/>
            <w:tcMar>
              <w:top w:w="15" w:type="dxa"/>
              <w:left w:w="15" w:type="dxa"/>
              <w:right w:w="15" w:type="dxa"/>
            </w:tcMar>
            <w:vAlign w:val="center"/>
          </w:tcPr>
          <w:p>
            <w:pPr>
              <w:widowControl/>
              <w:textAlignment w:val="center"/>
              <w:rPr>
                <w:color w:val="000000"/>
                <w:szCs w:val="21"/>
              </w:rPr>
            </w:pPr>
            <w:r>
              <w:rPr>
                <w:color w:val="000000"/>
                <w:kern w:val="0"/>
                <w:szCs w:val="21"/>
                <w:lang w:bidi="ar"/>
              </w:rPr>
              <w:t xml:space="preserve"> </w:t>
            </w:r>
            <w:r>
              <w:rPr>
                <w:rFonts w:hint="eastAsia" w:ascii="宋体" w:hAnsi="宋体" w:cs="宋体"/>
                <w:color w:val="000000"/>
                <w:kern w:val="0"/>
                <w:szCs w:val="21"/>
                <w:lang w:bidi="ar"/>
              </w:rPr>
              <w:t>有限责任公司</w:t>
            </w:r>
          </w:p>
        </w:tc>
        <w:tc>
          <w:tcPr>
            <w:tcW w:w="2022"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98</w:t>
            </w:r>
          </w:p>
        </w:tc>
        <w:tc>
          <w:tcPr>
            <w:tcW w:w="1961" w:type="dxa"/>
            <w:tcBorders>
              <w:top w:val="nil"/>
              <w:left w:val="nil"/>
              <w:bottom w:val="nil"/>
              <w:right w:val="nil"/>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3740</w:t>
            </w:r>
          </w:p>
        </w:tc>
      </w:tr>
      <w:tr>
        <w:tblPrEx>
          <w:tblCellMar>
            <w:top w:w="0" w:type="dxa"/>
            <w:left w:w="0" w:type="dxa"/>
            <w:bottom w:w="0" w:type="dxa"/>
            <w:right w:w="0" w:type="dxa"/>
          </w:tblCellMar>
        </w:tblPrEx>
        <w:trPr>
          <w:trHeight w:val="309" w:hRule="atLeast"/>
          <w:jc w:val="center"/>
        </w:trPr>
        <w:tc>
          <w:tcPr>
            <w:tcW w:w="4217" w:type="dxa"/>
            <w:tcBorders>
              <w:top w:val="nil"/>
              <w:left w:val="nil"/>
              <w:bottom w:val="nil"/>
              <w:right w:val="single" w:color="000000" w:sz="8" w:space="0"/>
            </w:tcBorders>
            <w:noWrap w:val="0"/>
            <w:tcMar>
              <w:top w:w="15" w:type="dxa"/>
              <w:left w:w="15" w:type="dxa"/>
              <w:right w:w="15" w:type="dxa"/>
            </w:tcMar>
            <w:vAlign w:val="center"/>
          </w:tcPr>
          <w:p>
            <w:pPr>
              <w:widowControl/>
              <w:textAlignment w:val="center"/>
              <w:rPr>
                <w:color w:val="000000"/>
                <w:szCs w:val="21"/>
              </w:rPr>
            </w:pPr>
            <w:r>
              <w:rPr>
                <w:color w:val="000000"/>
                <w:kern w:val="0"/>
                <w:szCs w:val="21"/>
                <w:lang w:bidi="ar"/>
              </w:rPr>
              <w:t xml:space="preserve"> </w:t>
            </w:r>
            <w:r>
              <w:rPr>
                <w:rFonts w:hint="eastAsia" w:ascii="宋体" w:hAnsi="宋体" w:cs="宋体"/>
                <w:color w:val="000000"/>
                <w:kern w:val="0"/>
                <w:szCs w:val="21"/>
                <w:lang w:bidi="ar"/>
              </w:rPr>
              <w:t>股份有限公司</w:t>
            </w:r>
          </w:p>
        </w:tc>
        <w:tc>
          <w:tcPr>
            <w:tcW w:w="2022"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8</w:t>
            </w:r>
          </w:p>
        </w:tc>
        <w:tc>
          <w:tcPr>
            <w:tcW w:w="1961" w:type="dxa"/>
            <w:tcBorders>
              <w:top w:val="nil"/>
              <w:left w:val="nil"/>
              <w:bottom w:val="nil"/>
              <w:right w:val="nil"/>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738</w:t>
            </w:r>
          </w:p>
        </w:tc>
      </w:tr>
      <w:tr>
        <w:tblPrEx>
          <w:tblCellMar>
            <w:top w:w="0" w:type="dxa"/>
            <w:left w:w="0" w:type="dxa"/>
            <w:bottom w:w="0" w:type="dxa"/>
            <w:right w:w="0" w:type="dxa"/>
          </w:tblCellMar>
        </w:tblPrEx>
        <w:trPr>
          <w:trHeight w:val="309" w:hRule="atLeast"/>
          <w:jc w:val="center"/>
        </w:trPr>
        <w:tc>
          <w:tcPr>
            <w:tcW w:w="4217" w:type="dxa"/>
            <w:tcBorders>
              <w:top w:val="nil"/>
              <w:left w:val="nil"/>
              <w:bottom w:val="nil"/>
              <w:right w:val="single" w:color="000000" w:sz="8" w:space="0"/>
            </w:tcBorders>
            <w:noWrap w:val="0"/>
            <w:tcMar>
              <w:top w:w="15" w:type="dxa"/>
              <w:left w:w="15" w:type="dxa"/>
              <w:right w:w="15" w:type="dxa"/>
            </w:tcMar>
            <w:vAlign w:val="center"/>
          </w:tcPr>
          <w:p>
            <w:pPr>
              <w:widowControl/>
              <w:textAlignment w:val="center"/>
              <w:rPr>
                <w:color w:val="000000"/>
                <w:szCs w:val="21"/>
              </w:rPr>
            </w:pPr>
            <w:r>
              <w:rPr>
                <w:color w:val="000000"/>
                <w:kern w:val="0"/>
                <w:szCs w:val="21"/>
                <w:lang w:bidi="ar"/>
              </w:rPr>
              <w:t xml:space="preserve"> </w:t>
            </w:r>
            <w:r>
              <w:rPr>
                <w:rFonts w:hint="eastAsia" w:ascii="宋体" w:hAnsi="宋体" w:cs="宋体"/>
                <w:color w:val="000000"/>
                <w:kern w:val="0"/>
                <w:szCs w:val="21"/>
                <w:lang w:bidi="ar"/>
              </w:rPr>
              <w:t>私营企业</w:t>
            </w:r>
          </w:p>
        </w:tc>
        <w:tc>
          <w:tcPr>
            <w:tcW w:w="2022"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807</w:t>
            </w:r>
          </w:p>
        </w:tc>
        <w:tc>
          <w:tcPr>
            <w:tcW w:w="1961" w:type="dxa"/>
            <w:tcBorders>
              <w:top w:val="nil"/>
              <w:left w:val="nil"/>
              <w:bottom w:val="nil"/>
              <w:right w:val="nil"/>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7432</w:t>
            </w:r>
          </w:p>
        </w:tc>
      </w:tr>
      <w:tr>
        <w:tblPrEx>
          <w:tblCellMar>
            <w:top w:w="0" w:type="dxa"/>
            <w:left w:w="0" w:type="dxa"/>
            <w:bottom w:w="0" w:type="dxa"/>
            <w:right w:w="0" w:type="dxa"/>
          </w:tblCellMar>
        </w:tblPrEx>
        <w:trPr>
          <w:trHeight w:val="309" w:hRule="atLeast"/>
          <w:jc w:val="center"/>
        </w:trPr>
        <w:tc>
          <w:tcPr>
            <w:tcW w:w="4217" w:type="dxa"/>
            <w:tcBorders>
              <w:top w:val="nil"/>
              <w:left w:val="nil"/>
              <w:bottom w:val="nil"/>
              <w:right w:val="single" w:color="000000" w:sz="8" w:space="0"/>
            </w:tcBorders>
            <w:noWrap w:val="0"/>
            <w:tcMar>
              <w:top w:w="15" w:type="dxa"/>
              <w:left w:w="15" w:type="dxa"/>
              <w:right w:w="15" w:type="dxa"/>
            </w:tcMar>
            <w:vAlign w:val="center"/>
          </w:tcPr>
          <w:p>
            <w:pPr>
              <w:widowControl/>
              <w:textAlignment w:val="center"/>
              <w:rPr>
                <w:color w:val="000000"/>
                <w:szCs w:val="21"/>
              </w:rPr>
            </w:pPr>
            <w:r>
              <w:rPr>
                <w:color w:val="000000"/>
                <w:kern w:val="0"/>
                <w:szCs w:val="21"/>
                <w:lang w:bidi="ar"/>
              </w:rPr>
              <w:t xml:space="preserve"> </w:t>
            </w:r>
            <w:r>
              <w:rPr>
                <w:rFonts w:hint="eastAsia" w:ascii="宋体" w:hAnsi="宋体" w:cs="宋体"/>
                <w:color w:val="000000"/>
                <w:kern w:val="0"/>
                <w:szCs w:val="21"/>
                <w:lang w:bidi="ar"/>
              </w:rPr>
              <w:t>其他企业</w:t>
            </w:r>
          </w:p>
        </w:tc>
        <w:tc>
          <w:tcPr>
            <w:tcW w:w="2022"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color w:val="000000"/>
                <w:szCs w:val="21"/>
              </w:rPr>
            </w:pPr>
            <w:r>
              <w:rPr>
                <w:rFonts w:hint="eastAsia"/>
                <w:color w:val="000000"/>
                <w:kern w:val="0"/>
                <w:szCs w:val="21"/>
                <w:lang w:val="en-US" w:eastAsia="zh-CN" w:bidi="ar"/>
              </w:rPr>
              <w:t>1</w:t>
            </w:r>
          </w:p>
        </w:tc>
        <w:tc>
          <w:tcPr>
            <w:tcW w:w="1961" w:type="dxa"/>
            <w:tcBorders>
              <w:top w:val="nil"/>
              <w:left w:val="nil"/>
              <w:bottom w:val="nil"/>
              <w:right w:val="nil"/>
            </w:tcBorders>
            <w:noWrap w:val="0"/>
            <w:tcMar>
              <w:top w:w="15" w:type="dxa"/>
              <w:left w:w="15" w:type="dxa"/>
              <w:right w:w="15" w:type="dxa"/>
            </w:tcMar>
            <w:vAlign w:val="top"/>
          </w:tcPr>
          <w:p>
            <w:pPr>
              <w:widowControl/>
              <w:jc w:val="right"/>
              <w:textAlignment w:val="top"/>
              <w:rPr>
                <w:color w:val="000000"/>
                <w:szCs w:val="21"/>
              </w:rPr>
            </w:pPr>
            <w:r>
              <w:rPr>
                <w:rFonts w:hint="eastAsia"/>
                <w:color w:val="000000"/>
                <w:kern w:val="0"/>
                <w:szCs w:val="21"/>
                <w:lang w:val="en-US" w:eastAsia="zh-CN" w:bidi="ar"/>
              </w:rPr>
              <w:t>0</w:t>
            </w:r>
          </w:p>
        </w:tc>
      </w:tr>
      <w:tr>
        <w:tblPrEx>
          <w:tblCellMar>
            <w:top w:w="0" w:type="dxa"/>
            <w:left w:w="0" w:type="dxa"/>
            <w:bottom w:w="0" w:type="dxa"/>
            <w:right w:w="0" w:type="dxa"/>
          </w:tblCellMar>
        </w:tblPrEx>
        <w:trPr>
          <w:trHeight w:val="309" w:hRule="atLeast"/>
          <w:jc w:val="center"/>
        </w:trPr>
        <w:tc>
          <w:tcPr>
            <w:tcW w:w="4217" w:type="dxa"/>
            <w:tcBorders>
              <w:top w:val="nil"/>
              <w:left w:val="nil"/>
              <w:bottom w:val="nil"/>
              <w:right w:val="single" w:color="000000" w:sz="8" w:space="0"/>
            </w:tcBorders>
            <w:noWrap w:val="0"/>
            <w:tcMar>
              <w:top w:w="15" w:type="dxa"/>
              <w:left w:w="15" w:type="dxa"/>
              <w:right w:w="15" w:type="dxa"/>
            </w:tcMar>
            <w:vAlign w:val="center"/>
          </w:tcPr>
          <w:p>
            <w:pPr>
              <w:widowControl/>
              <w:textAlignment w:val="center"/>
              <w:rPr>
                <w:rFonts w:hint="eastAsia" w:ascii="宋体" w:hAnsi="宋体" w:cs="宋体"/>
                <w:b/>
                <w:color w:val="000000"/>
                <w:szCs w:val="21"/>
              </w:rPr>
            </w:pPr>
            <w:r>
              <w:rPr>
                <w:rFonts w:hint="eastAsia" w:ascii="宋体" w:hAnsi="宋体" w:cs="宋体"/>
                <w:b/>
                <w:color w:val="000000"/>
                <w:kern w:val="0"/>
                <w:szCs w:val="21"/>
                <w:lang w:bidi="ar"/>
              </w:rPr>
              <w:t>港、澳、台商投资企业</w:t>
            </w:r>
          </w:p>
        </w:tc>
        <w:tc>
          <w:tcPr>
            <w:tcW w:w="2022"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b/>
                <w:color w:val="000000"/>
                <w:szCs w:val="21"/>
              </w:rPr>
            </w:pPr>
            <w:r>
              <w:rPr>
                <w:b/>
                <w:color w:val="000000"/>
                <w:kern w:val="0"/>
                <w:szCs w:val="21"/>
                <w:lang w:bidi="ar"/>
              </w:rPr>
              <w:t>2</w:t>
            </w:r>
          </w:p>
        </w:tc>
        <w:tc>
          <w:tcPr>
            <w:tcW w:w="1961" w:type="dxa"/>
            <w:tcBorders>
              <w:top w:val="nil"/>
              <w:left w:val="nil"/>
              <w:bottom w:val="nil"/>
              <w:right w:val="nil"/>
            </w:tcBorders>
            <w:noWrap w:val="0"/>
            <w:tcMar>
              <w:top w:w="15" w:type="dxa"/>
              <w:left w:w="15" w:type="dxa"/>
              <w:right w:w="15" w:type="dxa"/>
            </w:tcMar>
            <w:vAlign w:val="top"/>
          </w:tcPr>
          <w:p>
            <w:pPr>
              <w:widowControl/>
              <w:jc w:val="right"/>
              <w:textAlignment w:val="top"/>
              <w:rPr>
                <w:b/>
                <w:color w:val="000000"/>
                <w:szCs w:val="21"/>
              </w:rPr>
            </w:pPr>
            <w:r>
              <w:rPr>
                <w:b/>
                <w:color w:val="000000"/>
                <w:kern w:val="0"/>
                <w:szCs w:val="21"/>
                <w:lang w:bidi="ar"/>
              </w:rPr>
              <w:t>4</w:t>
            </w:r>
          </w:p>
        </w:tc>
      </w:tr>
      <w:tr>
        <w:tblPrEx>
          <w:tblCellMar>
            <w:top w:w="0" w:type="dxa"/>
            <w:left w:w="0" w:type="dxa"/>
            <w:bottom w:w="0" w:type="dxa"/>
            <w:right w:w="0" w:type="dxa"/>
          </w:tblCellMar>
        </w:tblPrEx>
        <w:trPr>
          <w:trHeight w:val="362" w:hRule="atLeast"/>
          <w:jc w:val="center"/>
        </w:trPr>
        <w:tc>
          <w:tcPr>
            <w:tcW w:w="4217" w:type="dxa"/>
            <w:tcBorders>
              <w:top w:val="nil"/>
              <w:left w:val="nil"/>
              <w:bottom w:val="single" w:color="000000" w:sz="12" w:space="0"/>
              <w:right w:val="single" w:color="000000" w:sz="8" w:space="0"/>
            </w:tcBorders>
            <w:noWrap w:val="0"/>
            <w:tcMar>
              <w:top w:w="15" w:type="dxa"/>
              <w:left w:w="15" w:type="dxa"/>
              <w:right w:w="15" w:type="dxa"/>
            </w:tcMar>
            <w:vAlign w:val="center"/>
          </w:tcPr>
          <w:p>
            <w:pPr>
              <w:widowControl/>
              <w:textAlignment w:val="center"/>
              <w:rPr>
                <w:rFonts w:hint="eastAsia" w:ascii="宋体" w:hAnsi="宋体" w:cs="宋体"/>
                <w:b/>
                <w:color w:val="000000"/>
                <w:szCs w:val="21"/>
              </w:rPr>
            </w:pPr>
            <w:r>
              <w:rPr>
                <w:rFonts w:hint="eastAsia" w:ascii="宋体" w:hAnsi="宋体" w:cs="宋体"/>
                <w:b/>
                <w:color w:val="000000"/>
                <w:kern w:val="0"/>
                <w:szCs w:val="21"/>
                <w:lang w:bidi="ar"/>
              </w:rPr>
              <w:t>外商投资企业</w:t>
            </w:r>
          </w:p>
        </w:tc>
        <w:tc>
          <w:tcPr>
            <w:tcW w:w="2022" w:type="dxa"/>
            <w:tcBorders>
              <w:top w:val="nil"/>
              <w:left w:val="nil"/>
              <w:bottom w:val="single" w:color="000000" w:sz="12" w:space="0"/>
              <w:right w:val="single" w:color="000000" w:sz="8" w:space="0"/>
            </w:tcBorders>
            <w:noWrap w:val="0"/>
            <w:tcMar>
              <w:top w:w="15" w:type="dxa"/>
              <w:left w:w="15" w:type="dxa"/>
              <w:right w:w="15" w:type="dxa"/>
            </w:tcMar>
            <w:vAlign w:val="top"/>
          </w:tcPr>
          <w:p>
            <w:pPr>
              <w:widowControl/>
              <w:jc w:val="right"/>
              <w:textAlignment w:val="top"/>
              <w:rPr>
                <w:b/>
                <w:color w:val="000000"/>
                <w:szCs w:val="21"/>
              </w:rPr>
            </w:pPr>
            <w:r>
              <w:rPr>
                <w:b/>
                <w:color w:val="000000"/>
                <w:kern w:val="0"/>
                <w:szCs w:val="21"/>
                <w:lang w:bidi="ar"/>
              </w:rPr>
              <w:t>3</w:t>
            </w:r>
          </w:p>
        </w:tc>
        <w:tc>
          <w:tcPr>
            <w:tcW w:w="1961" w:type="dxa"/>
            <w:tcBorders>
              <w:top w:val="nil"/>
              <w:left w:val="nil"/>
              <w:bottom w:val="single" w:color="000000" w:sz="12" w:space="0"/>
              <w:right w:val="nil"/>
            </w:tcBorders>
            <w:noWrap w:val="0"/>
            <w:tcMar>
              <w:top w:w="15" w:type="dxa"/>
              <w:left w:w="15" w:type="dxa"/>
              <w:right w:w="15" w:type="dxa"/>
            </w:tcMar>
            <w:vAlign w:val="top"/>
          </w:tcPr>
          <w:p>
            <w:pPr>
              <w:widowControl/>
              <w:jc w:val="right"/>
              <w:textAlignment w:val="top"/>
              <w:rPr>
                <w:b/>
                <w:color w:val="000000"/>
                <w:szCs w:val="21"/>
              </w:rPr>
            </w:pPr>
            <w:r>
              <w:rPr>
                <w:b/>
                <w:color w:val="000000"/>
                <w:kern w:val="0"/>
                <w:szCs w:val="21"/>
                <w:lang w:bidi="ar"/>
              </w:rPr>
              <w:t>9</w:t>
            </w:r>
          </w:p>
        </w:tc>
      </w:tr>
    </w:tbl>
    <w:p>
      <w:pPr>
        <w:widowControl/>
        <w:spacing w:line="600" w:lineRule="exact"/>
        <w:ind w:firstLine="640" w:firstLineChars="200"/>
        <w:outlineLvl w:val="2"/>
        <w:rPr>
          <w:rFonts w:ascii="楷体_GB2312" w:hAnsi="楷体" w:eastAsia="楷体_GB2312" w:cs="宋体"/>
          <w:kern w:val="0"/>
          <w:sz w:val="32"/>
          <w:szCs w:val="32"/>
        </w:rPr>
      </w:pPr>
      <w:r>
        <w:rPr>
          <w:rFonts w:hint="eastAsia" w:ascii="楷体_GB2312" w:hAnsi="楷体" w:eastAsia="楷体_GB2312" w:cs="宋体"/>
          <w:kern w:val="0"/>
          <w:sz w:val="32"/>
          <w:szCs w:val="32"/>
        </w:rPr>
        <w:t>（二）主要</w:t>
      </w:r>
      <w:r>
        <w:rPr>
          <w:rFonts w:ascii="楷体_GB2312" w:hAnsi="楷体" w:eastAsia="楷体_GB2312" w:cs="宋体"/>
          <w:kern w:val="0"/>
          <w:sz w:val="32"/>
          <w:szCs w:val="32"/>
        </w:rPr>
        <w:t>经济指标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2018年末，科学研究和技术服务业企业法人单位资产总计210.3</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亿元，比2013年末增长166.</w:t>
      </w:r>
      <w:r>
        <w:rPr>
          <w:rFonts w:hint="eastAsia" w:ascii="Times New Roman" w:hAnsi="Times New Roman" w:eastAsia="仿宋_GB2312" w:cs="Times New Roman"/>
          <w:sz w:val="32"/>
          <w:szCs w:val="32"/>
          <w:lang w:val="en-US" w:eastAsia="zh-CN"/>
        </w:rPr>
        <w:t>7</w:t>
      </w:r>
      <w:r>
        <w:rPr>
          <w:rFonts w:hint="eastAsia" w:ascii="Times New Roman" w:hAnsi="Times New Roman" w:eastAsia="仿宋_GB2312" w:cs="Times New Roman"/>
          <w:sz w:val="32"/>
          <w:szCs w:val="32"/>
        </w:rPr>
        <w:t>%。负债合计134.9</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亿元。全年实现营业收入36.48亿元（详见表5-3）。</w:t>
      </w:r>
    </w:p>
    <w:tbl>
      <w:tblPr>
        <w:tblStyle w:val="10"/>
        <w:tblW w:w="0" w:type="auto"/>
        <w:jc w:val="center"/>
        <w:tblLayout w:type="fixed"/>
        <w:tblCellMar>
          <w:top w:w="0" w:type="dxa"/>
          <w:left w:w="0" w:type="dxa"/>
          <w:bottom w:w="0" w:type="dxa"/>
          <w:right w:w="0" w:type="dxa"/>
        </w:tblCellMar>
      </w:tblPr>
      <w:tblGrid>
        <w:gridCol w:w="2857"/>
        <w:gridCol w:w="1829"/>
        <w:gridCol w:w="1654"/>
        <w:gridCol w:w="1760"/>
      </w:tblGrid>
      <w:tr>
        <w:tblPrEx>
          <w:tblCellMar>
            <w:top w:w="0" w:type="dxa"/>
            <w:left w:w="0" w:type="dxa"/>
            <w:bottom w:w="0" w:type="dxa"/>
            <w:right w:w="0" w:type="dxa"/>
          </w:tblCellMar>
        </w:tblPrEx>
        <w:trPr>
          <w:trHeight w:val="90" w:hRule="atLeast"/>
          <w:jc w:val="center"/>
        </w:trPr>
        <w:tc>
          <w:tcPr>
            <w:tcW w:w="8100" w:type="dxa"/>
            <w:gridSpan w:val="4"/>
            <w:tcBorders>
              <w:top w:val="nil"/>
              <w:left w:val="nil"/>
              <w:bottom w:val="single" w:color="000000" w:sz="12"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表5-3按行业大类分组的科学研究和技术服务业企业法人单位主要经济指标</w:t>
            </w:r>
          </w:p>
        </w:tc>
      </w:tr>
      <w:tr>
        <w:tblPrEx>
          <w:tblCellMar>
            <w:top w:w="0" w:type="dxa"/>
            <w:left w:w="0" w:type="dxa"/>
            <w:bottom w:w="0" w:type="dxa"/>
            <w:right w:w="0" w:type="dxa"/>
          </w:tblCellMar>
        </w:tblPrEx>
        <w:trPr>
          <w:trHeight w:val="90" w:hRule="atLeast"/>
          <w:jc w:val="center"/>
        </w:trPr>
        <w:tc>
          <w:tcPr>
            <w:tcW w:w="2857" w:type="dxa"/>
            <w:tcBorders>
              <w:top w:val="nil"/>
              <w:left w:val="nil"/>
              <w:bottom w:val="single" w:color="000000" w:sz="12" w:space="0"/>
              <w:right w:val="single" w:color="000000" w:sz="8" w:space="0"/>
            </w:tcBorders>
            <w:noWrap w:val="0"/>
            <w:tcMar>
              <w:top w:w="15" w:type="dxa"/>
              <w:left w:w="15" w:type="dxa"/>
              <w:right w:w="15" w:type="dxa"/>
            </w:tcMar>
            <w:vAlign w:val="center"/>
          </w:tcPr>
          <w:p>
            <w:pPr>
              <w:jc w:val="both"/>
              <w:rPr>
                <w:rFonts w:hint="eastAsia" w:ascii="宋体" w:hAnsi="宋体" w:eastAsia="宋体" w:cs="宋体"/>
                <w:b/>
                <w:i w:val="0"/>
                <w:color w:val="000000"/>
                <w:sz w:val="18"/>
                <w:szCs w:val="18"/>
                <w:u w:val="none"/>
              </w:rPr>
            </w:pPr>
          </w:p>
        </w:tc>
        <w:tc>
          <w:tcPr>
            <w:tcW w:w="1829" w:type="dxa"/>
            <w:tcBorders>
              <w:top w:val="single" w:color="000000" w:sz="12" w:space="0"/>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资产总计（亿元）</w:t>
            </w:r>
          </w:p>
        </w:tc>
        <w:tc>
          <w:tcPr>
            <w:tcW w:w="1654" w:type="dxa"/>
            <w:tcBorders>
              <w:top w:val="single" w:color="000000" w:sz="12" w:space="0"/>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负债合计（亿元）</w:t>
            </w:r>
          </w:p>
        </w:tc>
        <w:tc>
          <w:tcPr>
            <w:tcW w:w="1760" w:type="dxa"/>
            <w:tcBorders>
              <w:top w:val="single" w:color="000000" w:sz="12" w:space="0"/>
              <w:left w:val="nil"/>
              <w:bottom w:val="single" w:color="000000" w:sz="12"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营业收入（亿元）</w:t>
            </w:r>
          </w:p>
        </w:tc>
      </w:tr>
      <w:tr>
        <w:tblPrEx>
          <w:tblCellMar>
            <w:top w:w="0" w:type="dxa"/>
            <w:left w:w="0" w:type="dxa"/>
            <w:bottom w:w="0" w:type="dxa"/>
            <w:right w:w="0" w:type="dxa"/>
          </w:tblCellMar>
        </w:tblPrEx>
        <w:trPr>
          <w:trHeight w:val="90" w:hRule="atLeast"/>
          <w:jc w:val="center"/>
        </w:trPr>
        <w:tc>
          <w:tcPr>
            <w:tcW w:w="2857"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合计</w:t>
            </w:r>
          </w:p>
        </w:tc>
        <w:tc>
          <w:tcPr>
            <w:tcW w:w="1829"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 xml:space="preserve">210.34 </w:t>
            </w:r>
          </w:p>
        </w:tc>
        <w:tc>
          <w:tcPr>
            <w:tcW w:w="1654"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 xml:space="preserve">134.95 </w:t>
            </w:r>
          </w:p>
        </w:tc>
        <w:tc>
          <w:tcPr>
            <w:tcW w:w="176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 xml:space="preserve">36.48 </w:t>
            </w:r>
          </w:p>
        </w:tc>
      </w:tr>
      <w:tr>
        <w:tblPrEx>
          <w:tblCellMar>
            <w:top w:w="0" w:type="dxa"/>
            <w:left w:w="0" w:type="dxa"/>
            <w:bottom w:w="0" w:type="dxa"/>
            <w:right w:w="0" w:type="dxa"/>
          </w:tblCellMar>
        </w:tblPrEx>
        <w:trPr>
          <w:trHeight w:val="90" w:hRule="atLeast"/>
          <w:jc w:val="center"/>
        </w:trPr>
        <w:tc>
          <w:tcPr>
            <w:tcW w:w="2857"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210"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研究和试验发展</w:t>
            </w:r>
          </w:p>
        </w:tc>
        <w:tc>
          <w:tcPr>
            <w:tcW w:w="1829"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33.10 </w:t>
            </w:r>
          </w:p>
        </w:tc>
        <w:tc>
          <w:tcPr>
            <w:tcW w:w="1654"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21.49 </w:t>
            </w:r>
          </w:p>
        </w:tc>
        <w:tc>
          <w:tcPr>
            <w:tcW w:w="176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2.86 </w:t>
            </w:r>
          </w:p>
        </w:tc>
      </w:tr>
      <w:tr>
        <w:tblPrEx>
          <w:tblCellMar>
            <w:top w:w="0" w:type="dxa"/>
            <w:left w:w="0" w:type="dxa"/>
            <w:bottom w:w="0" w:type="dxa"/>
            <w:right w:w="0" w:type="dxa"/>
          </w:tblCellMar>
        </w:tblPrEx>
        <w:trPr>
          <w:trHeight w:val="90" w:hRule="atLeast"/>
          <w:jc w:val="center"/>
        </w:trPr>
        <w:tc>
          <w:tcPr>
            <w:tcW w:w="2857"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210"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专业技术服务业</w:t>
            </w:r>
          </w:p>
        </w:tc>
        <w:tc>
          <w:tcPr>
            <w:tcW w:w="1829"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62.07 </w:t>
            </w:r>
          </w:p>
        </w:tc>
        <w:tc>
          <w:tcPr>
            <w:tcW w:w="1654"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32.22 </w:t>
            </w:r>
          </w:p>
        </w:tc>
        <w:tc>
          <w:tcPr>
            <w:tcW w:w="176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28.15 </w:t>
            </w:r>
          </w:p>
        </w:tc>
      </w:tr>
      <w:tr>
        <w:tblPrEx>
          <w:tblCellMar>
            <w:top w:w="0" w:type="dxa"/>
            <w:left w:w="0" w:type="dxa"/>
            <w:bottom w:w="0" w:type="dxa"/>
            <w:right w:w="0" w:type="dxa"/>
          </w:tblCellMar>
        </w:tblPrEx>
        <w:trPr>
          <w:trHeight w:val="90" w:hRule="atLeast"/>
          <w:jc w:val="center"/>
        </w:trPr>
        <w:tc>
          <w:tcPr>
            <w:tcW w:w="2857" w:type="dxa"/>
            <w:tcBorders>
              <w:top w:val="nil"/>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ind w:firstLine="210"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科技推广和应用服务业</w:t>
            </w:r>
          </w:p>
        </w:tc>
        <w:tc>
          <w:tcPr>
            <w:tcW w:w="1829" w:type="dxa"/>
            <w:tcBorders>
              <w:top w:val="nil"/>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115.17 </w:t>
            </w:r>
          </w:p>
        </w:tc>
        <w:tc>
          <w:tcPr>
            <w:tcW w:w="1654" w:type="dxa"/>
            <w:tcBorders>
              <w:top w:val="nil"/>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81.24 </w:t>
            </w:r>
          </w:p>
        </w:tc>
        <w:tc>
          <w:tcPr>
            <w:tcW w:w="1760" w:type="dxa"/>
            <w:tcBorders>
              <w:top w:val="nil"/>
              <w:left w:val="nil"/>
              <w:bottom w:val="single" w:color="000000" w:sz="12" w:space="0"/>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5.47 </w:t>
            </w:r>
          </w:p>
        </w:tc>
      </w:tr>
    </w:tbl>
    <w:p>
      <w:pPr>
        <w:spacing w:line="600" w:lineRule="exact"/>
        <w:ind w:firstLine="640" w:firstLineChars="200"/>
        <w:outlineLvl w:val="1"/>
        <w:rPr>
          <w:rFonts w:hint="eastAsia" w:ascii="黑体" w:hAnsi="黑体" w:eastAsia="黑体"/>
          <w:kern w:val="0"/>
          <w:sz w:val="32"/>
          <w:szCs w:val="32"/>
        </w:rPr>
      </w:pPr>
      <w:r>
        <w:rPr>
          <w:rFonts w:hint="eastAsia" w:ascii="黑体" w:hAnsi="黑体" w:eastAsia="黑体"/>
          <w:kern w:val="0"/>
          <w:sz w:val="32"/>
          <w:szCs w:val="32"/>
        </w:rPr>
        <w:t>二、水利、环境和公共设施管理业</w:t>
      </w:r>
    </w:p>
    <w:p>
      <w:pPr>
        <w:widowControl/>
        <w:spacing w:line="600" w:lineRule="exact"/>
        <w:ind w:firstLine="640" w:firstLineChars="200"/>
        <w:outlineLvl w:val="2"/>
        <w:rPr>
          <w:rFonts w:ascii="楷体_GB2312" w:hAnsi="楷体" w:eastAsia="楷体_GB2312" w:cs="宋体"/>
          <w:kern w:val="0"/>
          <w:sz w:val="32"/>
          <w:szCs w:val="32"/>
        </w:rPr>
      </w:pPr>
      <w:r>
        <w:rPr>
          <w:rFonts w:hint="eastAsia" w:ascii="楷体_GB2312" w:hAnsi="楷体" w:eastAsia="楷体_GB2312" w:cs="宋体"/>
          <w:kern w:val="0"/>
          <w:sz w:val="32"/>
          <w:szCs w:val="32"/>
        </w:rPr>
        <w:t>（一）法人单位数和从业人员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2018年末，全区共有水利、环境和公共设施管理业法人单位59个，分别比2013年末下降10.6%；从业人员1562人，比2013年末增长120.6%。其中，行政事业及非企业法人单位3个，从业人员124人。</w:t>
      </w:r>
    </w:p>
    <w:p>
      <w:pPr>
        <w:widowControl/>
        <w:spacing w:line="600" w:lineRule="exact"/>
        <w:ind w:firstLine="640" w:firstLineChars="200"/>
        <w:outlineLvl w:val="2"/>
        <w:rPr>
          <w:rFonts w:ascii="楷体_GB2312" w:hAnsi="楷体" w:eastAsia="楷体_GB2312" w:cs="宋体"/>
          <w:kern w:val="0"/>
          <w:sz w:val="32"/>
          <w:szCs w:val="32"/>
        </w:rPr>
      </w:pPr>
      <w:r>
        <w:rPr>
          <w:rFonts w:hint="eastAsia" w:ascii="楷体_GB2312" w:hAnsi="楷体" w:eastAsia="楷体_GB2312" w:cs="宋体"/>
          <w:kern w:val="0"/>
          <w:sz w:val="32"/>
          <w:szCs w:val="32"/>
        </w:rPr>
        <w:t>（二）主要经济</w:t>
      </w:r>
      <w:r>
        <w:rPr>
          <w:rFonts w:ascii="楷体_GB2312" w:hAnsi="楷体" w:eastAsia="楷体_GB2312" w:cs="宋体"/>
          <w:kern w:val="0"/>
          <w:sz w:val="32"/>
          <w:szCs w:val="32"/>
        </w:rPr>
        <w:t>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2018年末，水利、环境和公共设施管理业企业法人单位资产总计29.55亿元，比2013年末增长20.</w:t>
      </w:r>
      <w:r>
        <w:rPr>
          <w:rFonts w:hint="eastAsia" w:ascii="Times New Roman" w:hAnsi="Times New Roman" w:eastAsia="仿宋_GB2312" w:cs="Times New Roman"/>
          <w:sz w:val="32"/>
          <w:szCs w:val="32"/>
          <w:lang w:val="en-US" w:eastAsia="zh-CN"/>
        </w:rPr>
        <w:t>9</w:t>
      </w:r>
      <w:r>
        <w:rPr>
          <w:rFonts w:hint="eastAsia" w:ascii="Times New Roman" w:hAnsi="Times New Roman" w:eastAsia="仿宋_GB2312" w:cs="Times New Roman"/>
          <w:sz w:val="32"/>
          <w:szCs w:val="32"/>
        </w:rPr>
        <w:t>%。负债合计20.78亿元。全年实现营业收入2.36亿元。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行政事业及非企业法人单位年末资产0.31亿元。本年支出（费用）合计1.46亿元。</w:t>
      </w:r>
    </w:p>
    <w:p>
      <w:pPr>
        <w:spacing w:line="600" w:lineRule="exact"/>
        <w:ind w:firstLine="640" w:firstLineChars="200"/>
        <w:outlineLvl w:val="1"/>
        <w:rPr>
          <w:rFonts w:ascii="黑体" w:hAnsi="黑体" w:eastAsia="黑体"/>
          <w:kern w:val="0"/>
          <w:sz w:val="32"/>
          <w:szCs w:val="32"/>
        </w:rPr>
      </w:pPr>
      <w:r>
        <w:rPr>
          <w:rFonts w:hint="eastAsia" w:ascii="黑体" w:hAnsi="黑体" w:eastAsia="黑体"/>
          <w:kern w:val="0"/>
          <w:sz w:val="32"/>
          <w:szCs w:val="32"/>
        </w:rPr>
        <w:t>三</w:t>
      </w:r>
      <w:r>
        <w:rPr>
          <w:rFonts w:ascii="黑体" w:hAnsi="黑体" w:eastAsia="黑体"/>
          <w:kern w:val="0"/>
          <w:sz w:val="32"/>
          <w:szCs w:val="32"/>
        </w:rPr>
        <w:t>、</w:t>
      </w:r>
      <w:r>
        <w:rPr>
          <w:rFonts w:hint="eastAsia" w:ascii="黑体" w:hAnsi="黑体" w:eastAsia="黑体"/>
          <w:kern w:val="0"/>
          <w:sz w:val="32"/>
          <w:szCs w:val="32"/>
        </w:rPr>
        <w:t>居民</w:t>
      </w:r>
      <w:r>
        <w:rPr>
          <w:rFonts w:ascii="黑体" w:hAnsi="黑体" w:eastAsia="黑体"/>
          <w:kern w:val="0"/>
          <w:sz w:val="32"/>
          <w:szCs w:val="32"/>
        </w:rPr>
        <w:t>服务、修理和其他服务业</w:t>
      </w:r>
    </w:p>
    <w:p>
      <w:pPr>
        <w:widowControl/>
        <w:spacing w:line="600" w:lineRule="exact"/>
        <w:ind w:firstLine="640" w:firstLineChars="200"/>
        <w:outlineLvl w:val="2"/>
        <w:rPr>
          <w:rFonts w:ascii="楷体_GB2312" w:hAnsi="楷体" w:eastAsia="楷体_GB2312" w:cs="宋体"/>
          <w:kern w:val="0"/>
          <w:sz w:val="32"/>
          <w:szCs w:val="32"/>
        </w:rPr>
      </w:pPr>
      <w:r>
        <w:rPr>
          <w:rFonts w:hint="eastAsia" w:ascii="楷体_GB2312" w:hAnsi="楷体" w:eastAsia="楷体_GB2312" w:cs="宋体"/>
          <w:kern w:val="0"/>
          <w:sz w:val="32"/>
          <w:szCs w:val="32"/>
        </w:rPr>
        <w:t>（一）企业法人单位数和从业人员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2018年末，全区共有居民服务、修理和其他服务业企业法人单位250个，从业人员2507人，分别比2013年末增长657.</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%和24.</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%（详见表5-4）。</w:t>
      </w:r>
    </w:p>
    <w:tbl>
      <w:tblPr>
        <w:tblStyle w:val="10"/>
        <w:tblW w:w="8400" w:type="dxa"/>
        <w:jc w:val="center"/>
        <w:tblLayout w:type="fixed"/>
        <w:tblCellMar>
          <w:top w:w="0" w:type="dxa"/>
          <w:left w:w="0" w:type="dxa"/>
          <w:bottom w:w="0" w:type="dxa"/>
          <w:right w:w="0" w:type="dxa"/>
        </w:tblCellMar>
      </w:tblPr>
      <w:tblGrid>
        <w:gridCol w:w="4159"/>
        <w:gridCol w:w="1993"/>
        <w:gridCol w:w="2248"/>
      </w:tblGrid>
      <w:tr>
        <w:tblPrEx>
          <w:tblCellMar>
            <w:top w:w="0" w:type="dxa"/>
            <w:left w:w="0" w:type="dxa"/>
            <w:bottom w:w="0" w:type="dxa"/>
            <w:right w:w="0" w:type="dxa"/>
          </w:tblCellMar>
        </w:tblPrEx>
        <w:trPr>
          <w:trHeight w:val="355" w:hRule="atLeast"/>
          <w:jc w:val="center"/>
        </w:trPr>
        <w:tc>
          <w:tcPr>
            <w:tcW w:w="8400" w:type="dxa"/>
            <w:gridSpan w:val="3"/>
            <w:tcBorders>
              <w:top w:val="nil"/>
              <w:left w:val="nil"/>
              <w:bottom w:val="single" w:color="000000" w:sz="12" w:space="0"/>
              <w:right w:val="nil"/>
            </w:tcBorders>
            <w:shd w:val="clear" w:color="auto" w:fill="FFFFFF"/>
            <w:noWrap w:val="0"/>
            <w:tcMar>
              <w:top w:w="15" w:type="dxa"/>
              <w:left w:w="15" w:type="dxa"/>
              <w:right w:w="15" w:type="dxa"/>
            </w:tcMar>
            <w:vAlign w:val="center"/>
          </w:tcPr>
          <w:p>
            <w:pPr>
              <w:widowControl/>
              <w:jc w:val="center"/>
              <w:textAlignment w:val="center"/>
              <w:rPr>
                <w:rFonts w:hint="eastAsia" w:ascii="宋体" w:hAnsi="宋体" w:cs="宋体"/>
                <w:b/>
                <w:color w:val="000000"/>
                <w:sz w:val="24"/>
              </w:rPr>
            </w:pPr>
            <w:r>
              <w:rPr>
                <w:rFonts w:hint="eastAsia" w:ascii="宋体" w:hAnsi="宋体" w:cs="宋体"/>
                <w:b/>
                <w:color w:val="000000"/>
                <w:kern w:val="0"/>
                <w:sz w:val="24"/>
                <w:lang w:bidi="ar"/>
              </w:rPr>
              <w:t>表</w:t>
            </w:r>
            <w:r>
              <w:rPr>
                <w:b/>
                <w:color w:val="000000"/>
                <w:kern w:val="0"/>
                <w:sz w:val="24"/>
                <w:lang w:bidi="ar"/>
              </w:rPr>
              <w:t>5-4</w:t>
            </w:r>
            <w:r>
              <w:rPr>
                <w:rFonts w:hint="eastAsia" w:ascii="宋体" w:hAnsi="宋体" w:cs="宋体"/>
                <w:b/>
                <w:color w:val="000000"/>
                <w:kern w:val="0"/>
                <w:sz w:val="24"/>
                <w:lang w:bidi="ar"/>
              </w:rPr>
              <w:t>按行业大类分组的居民服务、修理和其他服务业企业法人单位和从业人员</w:t>
            </w:r>
          </w:p>
        </w:tc>
      </w:tr>
      <w:tr>
        <w:tblPrEx>
          <w:tblCellMar>
            <w:top w:w="0" w:type="dxa"/>
            <w:left w:w="0" w:type="dxa"/>
            <w:bottom w:w="0" w:type="dxa"/>
            <w:right w:w="0" w:type="dxa"/>
          </w:tblCellMar>
        </w:tblPrEx>
        <w:trPr>
          <w:trHeight w:val="388" w:hRule="atLeast"/>
          <w:jc w:val="center"/>
        </w:trPr>
        <w:tc>
          <w:tcPr>
            <w:tcW w:w="4159" w:type="dxa"/>
            <w:tcBorders>
              <w:top w:val="single" w:color="000000" w:sz="12" w:space="0"/>
              <w:left w:val="nil"/>
              <w:bottom w:val="single" w:color="000000" w:sz="12"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18"/>
                <w:szCs w:val="18"/>
              </w:rPr>
            </w:pPr>
          </w:p>
        </w:tc>
        <w:tc>
          <w:tcPr>
            <w:tcW w:w="1993" w:type="dxa"/>
            <w:tcBorders>
              <w:top w:val="single" w:color="000000" w:sz="12" w:space="0"/>
              <w:left w:val="nil"/>
              <w:bottom w:val="single" w:color="000000" w:sz="12"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b/>
                <w:color w:val="000000"/>
                <w:szCs w:val="21"/>
              </w:rPr>
            </w:pPr>
            <w:r>
              <w:rPr>
                <w:rFonts w:hint="eastAsia" w:ascii="宋体" w:hAnsi="宋体" w:cs="宋体"/>
                <w:b/>
                <w:color w:val="000000"/>
                <w:kern w:val="0"/>
                <w:szCs w:val="21"/>
                <w:lang w:bidi="ar"/>
              </w:rPr>
              <w:t>企业法人单位（个）</w:t>
            </w:r>
          </w:p>
        </w:tc>
        <w:tc>
          <w:tcPr>
            <w:tcW w:w="2248" w:type="dxa"/>
            <w:tcBorders>
              <w:top w:val="single" w:color="000000" w:sz="12" w:space="0"/>
              <w:left w:val="nil"/>
              <w:bottom w:val="single" w:color="000000" w:sz="12" w:space="0"/>
              <w:right w:val="nil"/>
            </w:tcBorders>
            <w:noWrap w:val="0"/>
            <w:tcMar>
              <w:top w:w="15" w:type="dxa"/>
              <w:left w:w="15" w:type="dxa"/>
              <w:right w:w="15" w:type="dxa"/>
            </w:tcMar>
            <w:vAlign w:val="center"/>
          </w:tcPr>
          <w:p>
            <w:pPr>
              <w:widowControl/>
              <w:jc w:val="center"/>
              <w:textAlignment w:val="center"/>
              <w:rPr>
                <w:rFonts w:hint="eastAsia" w:ascii="宋体" w:hAnsi="宋体" w:cs="宋体"/>
                <w:b/>
                <w:color w:val="000000"/>
                <w:szCs w:val="21"/>
              </w:rPr>
            </w:pPr>
            <w:r>
              <w:rPr>
                <w:rFonts w:hint="eastAsia" w:ascii="宋体" w:hAnsi="宋体" w:cs="宋体"/>
                <w:b/>
                <w:color w:val="000000"/>
                <w:kern w:val="0"/>
                <w:szCs w:val="21"/>
                <w:lang w:bidi="ar"/>
              </w:rPr>
              <w:t>从业人员（人）</w:t>
            </w:r>
          </w:p>
        </w:tc>
      </w:tr>
      <w:tr>
        <w:tblPrEx>
          <w:tblCellMar>
            <w:top w:w="0" w:type="dxa"/>
            <w:left w:w="0" w:type="dxa"/>
            <w:bottom w:w="0" w:type="dxa"/>
            <w:right w:w="0" w:type="dxa"/>
          </w:tblCellMar>
        </w:tblPrEx>
        <w:trPr>
          <w:trHeight w:val="388" w:hRule="atLeast"/>
          <w:jc w:val="center"/>
        </w:trPr>
        <w:tc>
          <w:tcPr>
            <w:tcW w:w="4159" w:type="dxa"/>
            <w:tcBorders>
              <w:top w:val="single" w:color="000000" w:sz="12" w:space="0"/>
              <w:left w:val="nil"/>
              <w:bottom w:val="nil"/>
              <w:right w:val="single" w:color="000000" w:sz="8" w:space="0"/>
            </w:tcBorders>
            <w:noWrap w:val="0"/>
            <w:tcMar>
              <w:top w:w="15" w:type="dxa"/>
              <w:left w:w="15" w:type="dxa"/>
              <w:right w:w="15" w:type="dxa"/>
            </w:tcMar>
            <w:vAlign w:val="center"/>
          </w:tcPr>
          <w:p>
            <w:pPr>
              <w:widowControl/>
              <w:textAlignment w:val="center"/>
              <w:rPr>
                <w:rFonts w:hint="eastAsia" w:ascii="宋体" w:hAnsi="宋体" w:cs="宋体"/>
                <w:b/>
                <w:color w:val="000000"/>
                <w:szCs w:val="21"/>
              </w:rPr>
            </w:pPr>
            <w:r>
              <w:rPr>
                <w:rFonts w:hint="eastAsia" w:ascii="宋体" w:hAnsi="宋体" w:cs="宋体"/>
                <w:b/>
                <w:color w:val="000000"/>
                <w:kern w:val="0"/>
                <w:szCs w:val="21"/>
                <w:lang w:bidi="ar"/>
              </w:rPr>
              <w:t>合 计</w:t>
            </w:r>
          </w:p>
        </w:tc>
        <w:tc>
          <w:tcPr>
            <w:tcW w:w="1993" w:type="dxa"/>
            <w:tcBorders>
              <w:top w:val="single" w:color="000000" w:sz="12" w:space="0"/>
              <w:left w:val="nil"/>
              <w:bottom w:val="nil"/>
              <w:right w:val="single" w:color="000000" w:sz="8" w:space="0"/>
            </w:tcBorders>
            <w:noWrap w:val="0"/>
            <w:tcMar>
              <w:top w:w="15" w:type="dxa"/>
              <w:left w:w="15" w:type="dxa"/>
              <w:right w:w="15" w:type="dxa"/>
            </w:tcMar>
            <w:vAlign w:val="top"/>
          </w:tcPr>
          <w:p>
            <w:pPr>
              <w:widowControl/>
              <w:jc w:val="right"/>
              <w:textAlignment w:val="top"/>
              <w:rPr>
                <w:b/>
                <w:color w:val="000000"/>
                <w:szCs w:val="21"/>
              </w:rPr>
            </w:pPr>
            <w:r>
              <w:rPr>
                <w:b/>
                <w:color w:val="000000"/>
                <w:kern w:val="0"/>
                <w:szCs w:val="21"/>
                <w:lang w:bidi="ar"/>
              </w:rPr>
              <w:t>250</w:t>
            </w:r>
          </w:p>
        </w:tc>
        <w:tc>
          <w:tcPr>
            <w:tcW w:w="2248" w:type="dxa"/>
            <w:tcBorders>
              <w:top w:val="single" w:color="000000" w:sz="12" w:space="0"/>
              <w:left w:val="nil"/>
              <w:bottom w:val="nil"/>
              <w:right w:val="nil"/>
            </w:tcBorders>
            <w:noWrap w:val="0"/>
            <w:tcMar>
              <w:top w:w="15" w:type="dxa"/>
              <w:left w:w="15" w:type="dxa"/>
              <w:right w:w="15" w:type="dxa"/>
            </w:tcMar>
            <w:vAlign w:val="top"/>
          </w:tcPr>
          <w:p>
            <w:pPr>
              <w:widowControl/>
              <w:jc w:val="right"/>
              <w:textAlignment w:val="top"/>
              <w:rPr>
                <w:b/>
                <w:color w:val="000000"/>
                <w:szCs w:val="21"/>
              </w:rPr>
            </w:pPr>
            <w:r>
              <w:rPr>
                <w:b/>
                <w:color w:val="000000"/>
                <w:kern w:val="0"/>
                <w:szCs w:val="21"/>
                <w:lang w:bidi="ar"/>
              </w:rPr>
              <w:t>2507</w:t>
            </w:r>
          </w:p>
        </w:tc>
      </w:tr>
      <w:tr>
        <w:tblPrEx>
          <w:tblCellMar>
            <w:top w:w="0" w:type="dxa"/>
            <w:left w:w="0" w:type="dxa"/>
            <w:bottom w:w="0" w:type="dxa"/>
            <w:right w:w="0" w:type="dxa"/>
          </w:tblCellMar>
        </w:tblPrEx>
        <w:trPr>
          <w:trHeight w:val="355" w:hRule="atLeast"/>
          <w:jc w:val="center"/>
        </w:trPr>
        <w:tc>
          <w:tcPr>
            <w:tcW w:w="4159" w:type="dxa"/>
            <w:tcBorders>
              <w:top w:val="nil"/>
              <w:left w:val="nil"/>
              <w:bottom w:val="nil"/>
              <w:right w:val="single" w:color="000000" w:sz="8" w:space="0"/>
            </w:tcBorders>
            <w:noWrap w:val="0"/>
            <w:tcMar>
              <w:top w:w="15" w:type="dxa"/>
              <w:left w:w="15" w:type="dxa"/>
              <w:right w:w="15" w:type="dxa"/>
            </w:tcMar>
            <w:vAlign w:val="center"/>
          </w:tcPr>
          <w:p>
            <w:pPr>
              <w:widowControl/>
              <w:ind w:firstLine="210" w:firstLineChars="100"/>
              <w:textAlignment w:val="center"/>
              <w:rPr>
                <w:rFonts w:hint="eastAsia" w:ascii="宋体" w:hAnsi="宋体" w:cs="宋体"/>
                <w:color w:val="000000"/>
                <w:szCs w:val="21"/>
              </w:rPr>
            </w:pPr>
            <w:r>
              <w:rPr>
                <w:rFonts w:hint="eastAsia" w:ascii="宋体" w:hAnsi="宋体" w:cs="宋体"/>
                <w:color w:val="000000"/>
                <w:kern w:val="0"/>
                <w:szCs w:val="21"/>
                <w:lang w:bidi="ar"/>
              </w:rPr>
              <w:t>居民服务业</w:t>
            </w:r>
          </w:p>
        </w:tc>
        <w:tc>
          <w:tcPr>
            <w:tcW w:w="1993"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61</w:t>
            </w:r>
          </w:p>
        </w:tc>
        <w:tc>
          <w:tcPr>
            <w:tcW w:w="2248" w:type="dxa"/>
            <w:tcBorders>
              <w:top w:val="nil"/>
              <w:left w:val="nil"/>
              <w:bottom w:val="nil"/>
              <w:right w:val="nil"/>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391</w:t>
            </w:r>
          </w:p>
        </w:tc>
      </w:tr>
      <w:tr>
        <w:tblPrEx>
          <w:tblCellMar>
            <w:top w:w="0" w:type="dxa"/>
            <w:left w:w="0" w:type="dxa"/>
            <w:bottom w:w="0" w:type="dxa"/>
            <w:right w:w="0" w:type="dxa"/>
          </w:tblCellMar>
        </w:tblPrEx>
        <w:trPr>
          <w:trHeight w:val="355" w:hRule="atLeast"/>
          <w:jc w:val="center"/>
        </w:trPr>
        <w:tc>
          <w:tcPr>
            <w:tcW w:w="4159" w:type="dxa"/>
            <w:tcBorders>
              <w:top w:val="nil"/>
              <w:left w:val="nil"/>
              <w:bottom w:val="nil"/>
              <w:right w:val="single" w:color="000000" w:sz="8" w:space="0"/>
            </w:tcBorders>
            <w:noWrap w:val="0"/>
            <w:tcMar>
              <w:top w:w="15" w:type="dxa"/>
              <w:left w:w="15" w:type="dxa"/>
              <w:right w:w="15" w:type="dxa"/>
            </w:tcMar>
            <w:vAlign w:val="center"/>
          </w:tcPr>
          <w:p>
            <w:pPr>
              <w:widowControl/>
              <w:ind w:firstLine="210" w:firstLineChars="100"/>
              <w:textAlignment w:val="center"/>
              <w:rPr>
                <w:rFonts w:hint="eastAsia" w:ascii="宋体" w:hAnsi="宋体" w:cs="宋体"/>
                <w:color w:val="000000"/>
                <w:szCs w:val="21"/>
              </w:rPr>
            </w:pPr>
            <w:r>
              <w:rPr>
                <w:rFonts w:hint="eastAsia" w:ascii="宋体" w:hAnsi="宋体" w:cs="宋体"/>
                <w:color w:val="000000"/>
                <w:kern w:val="0"/>
                <w:szCs w:val="21"/>
                <w:lang w:bidi="ar"/>
              </w:rPr>
              <w:t>机动车、电子产品和日用产品修理业</w:t>
            </w:r>
          </w:p>
        </w:tc>
        <w:tc>
          <w:tcPr>
            <w:tcW w:w="1993"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160</w:t>
            </w:r>
          </w:p>
        </w:tc>
        <w:tc>
          <w:tcPr>
            <w:tcW w:w="2248" w:type="dxa"/>
            <w:tcBorders>
              <w:top w:val="nil"/>
              <w:left w:val="nil"/>
              <w:bottom w:val="nil"/>
              <w:right w:val="nil"/>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1151</w:t>
            </w:r>
          </w:p>
        </w:tc>
      </w:tr>
      <w:tr>
        <w:tblPrEx>
          <w:tblCellMar>
            <w:top w:w="0" w:type="dxa"/>
            <w:left w:w="0" w:type="dxa"/>
            <w:bottom w:w="0" w:type="dxa"/>
            <w:right w:w="0" w:type="dxa"/>
          </w:tblCellMar>
        </w:tblPrEx>
        <w:trPr>
          <w:trHeight w:val="388" w:hRule="atLeast"/>
          <w:jc w:val="center"/>
        </w:trPr>
        <w:tc>
          <w:tcPr>
            <w:tcW w:w="4159" w:type="dxa"/>
            <w:tcBorders>
              <w:top w:val="nil"/>
              <w:left w:val="nil"/>
              <w:bottom w:val="single" w:color="000000" w:sz="12" w:space="0"/>
              <w:right w:val="single" w:color="000000" w:sz="8" w:space="0"/>
            </w:tcBorders>
            <w:noWrap w:val="0"/>
            <w:tcMar>
              <w:top w:w="15" w:type="dxa"/>
              <w:left w:w="15" w:type="dxa"/>
              <w:right w:w="15" w:type="dxa"/>
            </w:tcMar>
            <w:vAlign w:val="center"/>
          </w:tcPr>
          <w:p>
            <w:pPr>
              <w:widowControl/>
              <w:ind w:firstLine="210" w:firstLineChars="100"/>
              <w:textAlignment w:val="center"/>
              <w:rPr>
                <w:rFonts w:hint="eastAsia" w:ascii="宋体" w:hAnsi="宋体" w:cs="宋体"/>
                <w:color w:val="000000"/>
                <w:szCs w:val="21"/>
              </w:rPr>
            </w:pPr>
            <w:r>
              <w:rPr>
                <w:rFonts w:hint="eastAsia" w:ascii="宋体" w:hAnsi="宋体" w:cs="宋体"/>
                <w:color w:val="000000"/>
                <w:kern w:val="0"/>
                <w:szCs w:val="21"/>
                <w:lang w:bidi="ar"/>
              </w:rPr>
              <w:t>其他服务业</w:t>
            </w:r>
          </w:p>
        </w:tc>
        <w:tc>
          <w:tcPr>
            <w:tcW w:w="1993" w:type="dxa"/>
            <w:tcBorders>
              <w:top w:val="nil"/>
              <w:left w:val="nil"/>
              <w:bottom w:val="single" w:color="000000" w:sz="12" w:space="0"/>
              <w:right w:val="single" w:color="000000" w:sz="8" w:space="0"/>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29</w:t>
            </w:r>
          </w:p>
        </w:tc>
        <w:tc>
          <w:tcPr>
            <w:tcW w:w="2248" w:type="dxa"/>
            <w:tcBorders>
              <w:top w:val="nil"/>
              <w:left w:val="nil"/>
              <w:bottom w:val="single" w:color="000000" w:sz="12" w:space="0"/>
              <w:right w:val="nil"/>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965</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在居民服务、修理和其他服务业企业法人单位中，内资企业占100</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rPr>
        <w:t>%，无港、澳、台商投资企业和外商投资企业。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在居民服务、修理和其他服务业企业法人单位从业人员中，内资企业占100</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rPr>
        <w:t>%，无港、澳、台商投资企业和外商投资企业（详见表5-5）。</w:t>
      </w:r>
    </w:p>
    <w:tbl>
      <w:tblPr>
        <w:tblStyle w:val="10"/>
        <w:tblW w:w="0" w:type="auto"/>
        <w:jc w:val="center"/>
        <w:tblLayout w:type="fixed"/>
        <w:tblCellMar>
          <w:top w:w="0" w:type="dxa"/>
          <w:left w:w="0" w:type="dxa"/>
          <w:bottom w:w="0" w:type="dxa"/>
          <w:right w:w="0" w:type="dxa"/>
        </w:tblCellMar>
      </w:tblPr>
      <w:tblGrid>
        <w:gridCol w:w="4227"/>
        <w:gridCol w:w="2027"/>
        <w:gridCol w:w="1966"/>
      </w:tblGrid>
      <w:tr>
        <w:tblPrEx>
          <w:tblCellMar>
            <w:top w:w="0" w:type="dxa"/>
            <w:left w:w="0" w:type="dxa"/>
            <w:bottom w:w="0" w:type="dxa"/>
            <w:right w:w="0" w:type="dxa"/>
          </w:tblCellMar>
        </w:tblPrEx>
        <w:trPr>
          <w:trHeight w:val="289" w:hRule="atLeast"/>
          <w:jc w:val="center"/>
        </w:trPr>
        <w:tc>
          <w:tcPr>
            <w:tcW w:w="8220" w:type="dxa"/>
            <w:gridSpan w:val="3"/>
            <w:tcBorders>
              <w:top w:val="nil"/>
              <w:left w:val="nil"/>
              <w:bottom w:val="single" w:color="000000" w:sz="12" w:space="0"/>
              <w:right w:val="nil"/>
            </w:tcBorders>
            <w:shd w:val="clear" w:color="auto" w:fill="FFFFFF"/>
            <w:noWrap w:val="0"/>
            <w:tcMar>
              <w:top w:w="15" w:type="dxa"/>
              <w:left w:w="15" w:type="dxa"/>
              <w:right w:w="15" w:type="dxa"/>
            </w:tcMar>
            <w:vAlign w:val="center"/>
          </w:tcPr>
          <w:p>
            <w:pPr>
              <w:widowControl/>
              <w:jc w:val="center"/>
              <w:textAlignment w:val="center"/>
              <w:rPr>
                <w:rFonts w:hint="eastAsia" w:ascii="宋体" w:hAnsi="宋体" w:cs="宋体"/>
                <w:b/>
                <w:color w:val="000000"/>
                <w:sz w:val="24"/>
              </w:rPr>
            </w:pPr>
            <w:r>
              <w:rPr>
                <w:rFonts w:hint="eastAsia" w:ascii="宋体" w:hAnsi="宋体" w:cs="宋体"/>
                <w:b/>
                <w:color w:val="000000"/>
                <w:kern w:val="0"/>
                <w:sz w:val="24"/>
                <w:lang w:bidi="ar"/>
              </w:rPr>
              <w:t>表</w:t>
            </w:r>
            <w:r>
              <w:rPr>
                <w:b/>
                <w:color w:val="000000"/>
                <w:kern w:val="0"/>
                <w:sz w:val="24"/>
                <w:lang w:bidi="ar"/>
              </w:rPr>
              <w:t>5-</w:t>
            </w:r>
            <w:r>
              <w:rPr>
                <w:rFonts w:hint="eastAsia"/>
                <w:b/>
                <w:color w:val="000000"/>
                <w:kern w:val="0"/>
                <w:sz w:val="24"/>
                <w:lang w:val="en-US" w:eastAsia="zh-CN" w:bidi="ar"/>
              </w:rPr>
              <w:t xml:space="preserve">5 </w:t>
            </w:r>
            <w:r>
              <w:rPr>
                <w:rFonts w:hint="eastAsia" w:ascii="宋体" w:hAnsi="宋体" w:cs="宋体"/>
                <w:b/>
                <w:color w:val="000000"/>
                <w:kern w:val="0"/>
                <w:sz w:val="24"/>
                <w:lang w:bidi="ar"/>
              </w:rPr>
              <w:t>企业法人单位和从业人员</w:t>
            </w:r>
          </w:p>
        </w:tc>
      </w:tr>
      <w:tr>
        <w:tblPrEx>
          <w:tblCellMar>
            <w:top w:w="0" w:type="dxa"/>
            <w:left w:w="0" w:type="dxa"/>
            <w:bottom w:w="0" w:type="dxa"/>
            <w:right w:w="0" w:type="dxa"/>
          </w:tblCellMar>
        </w:tblPrEx>
        <w:trPr>
          <w:trHeight w:val="315" w:hRule="atLeast"/>
          <w:jc w:val="center"/>
        </w:trPr>
        <w:tc>
          <w:tcPr>
            <w:tcW w:w="4227" w:type="dxa"/>
            <w:tcBorders>
              <w:top w:val="single" w:color="000000" w:sz="12" w:space="0"/>
              <w:left w:val="nil"/>
              <w:bottom w:val="single" w:color="000000" w:sz="12" w:space="0"/>
              <w:right w:val="single" w:color="000000" w:sz="8" w:space="0"/>
            </w:tcBorders>
            <w:noWrap w:val="0"/>
            <w:tcMar>
              <w:top w:w="15" w:type="dxa"/>
              <w:left w:w="15" w:type="dxa"/>
              <w:right w:w="15" w:type="dxa"/>
            </w:tcMar>
            <w:vAlign w:val="center"/>
          </w:tcPr>
          <w:p>
            <w:pPr>
              <w:jc w:val="left"/>
              <w:rPr>
                <w:rFonts w:hint="eastAsia" w:ascii="宋体" w:hAnsi="宋体" w:cs="宋体"/>
                <w:b/>
                <w:color w:val="000000"/>
                <w:sz w:val="24"/>
              </w:rPr>
            </w:pPr>
          </w:p>
        </w:tc>
        <w:tc>
          <w:tcPr>
            <w:tcW w:w="2027" w:type="dxa"/>
            <w:tcBorders>
              <w:top w:val="single" w:color="000000" w:sz="12" w:space="0"/>
              <w:left w:val="nil"/>
              <w:bottom w:val="single" w:color="000000" w:sz="12"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b/>
                <w:color w:val="000000"/>
                <w:szCs w:val="21"/>
              </w:rPr>
            </w:pPr>
            <w:r>
              <w:rPr>
                <w:rFonts w:hint="eastAsia" w:ascii="宋体" w:hAnsi="宋体" w:cs="宋体"/>
                <w:b/>
                <w:color w:val="000000"/>
                <w:kern w:val="0"/>
                <w:szCs w:val="21"/>
                <w:lang w:bidi="ar"/>
              </w:rPr>
              <w:t>企业法人单位</w:t>
            </w:r>
            <w:r>
              <w:rPr>
                <w:b/>
                <w:color w:val="000000"/>
                <w:kern w:val="0"/>
                <w:szCs w:val="21"/>
                <w:lang w:bidi="ar"/>
              </w:rPr>
              <w:t>(</w:t>
            </w:r>
            <w:r>
              <w:rPr>
                <w:rFonts w:hint="eastAsia" w:ascii="宋体" w:hAnsi="宋体" w:cs="宋体"/>
                <w:b/>
                <w:color w:val="000000"/>
                <w:kern w:val="0"/>
                <w:szCs w:val="21"/>
                <w:lang w:bidi="ar"/>
              </w:rPr>
              <w:t>个</w:t>
            </w:r>
            <w:r>
              <w:rPr>
                <w:b/>
                <w:color w:val="000000"/>
                <w:kern w:val="0"/>
                <w:szCs w:val="21"/>
                <w:lang w:bidi="ar"/>
              </w:rPr>
              <w:t>)</w:t>
            </w:r>
          </w:p>
        </w:tc>
        <w:tc>
          <w:tcPr>
            <w:tcW w:w="1966" w:type="dxa"/>
            <w:tcBorders>
              <w:top w:val="single" w:color="000000" w:sz="12" w:space="0"/>
              <w:left w:val="nil"/>
              <w:bottom w:val="single" w:color="000000" w:sz="12" w:space="0"/>
              <w:right w:val="nil"/>
            </w:tcBorders>
            <w:noWrap w:val="0"/>
            <w:tcMar>
              <w:top w:w="15" w:type="dxa"/>
              <w:left w:w="15" w:type="dxa"/>
              <w:right w:w="15" w:type="dxa"/>
            </w:tcMar>
            <w:vAlign w:val="center"/>
          </w:tcPr>
          <w:p>
            <w:pPr>
              <w:widowControl/>
              <w:jc w:val="center"/>
              <w:textAlignment w:val="center"/>
              <w:rPr>
                <w:rFonts w:hint="eastAsia" w:ascii="宋体" w:hAnsi="宋体" w:cs="宋体"/>
                <w:b/>
                <w:color w:val="000000"/>
                <w:szCs w:val="21"/>
              </w:rPr>
            </w:pPr>
            <w:r>
              <w:rPr>
                <w:rFonts w:hint="eastAsia" w:ascii="宋体" w:hAnsi="宋体" w:cs="宋体"/>
                <w:b/>
                <w:color w:val="000000"/>
                <w:kern w:val="0"/>
                <w:szCs w:val="21"/>
                <w:lang w:bidi="ar"/>
              </w:rPr>
              <w:t>从业人员</w:t>
            </w:r>
            <w:r>
              <w:rPr>
                <w:b/>
                <w:color w:val="000000"/>
                <w:kern w:val="0"/>
                <w:szCs w:val="21"/>
                <w:lang w:bidi="ar"/>
              </w:rPr>
              <w:t>(</w:t>
            </w:r>
            <w:r>
              <w:rPr>
                <w:rFonts w:hint="eastAsia" w:ascii="宋体" w:hAnsi="宋体" w:cs="宋体"/>
                <w:b/>
                <w:color w:val="000000"/>
                <w:kern w:val="0"/>
                <w:szCs w:val="21"/>
                <w:lang w:bidi="ar"/>
              </w:rPr>
              <w:t>人</w:t>
            </w:r>
            <w:r>
              <w:rPr>
                <w:b/>
                <w:color w:val="000000"/>
                <w:kern w:val="0"/>
                <w:szCs w:val="21"/>
                <w:lang w:bidi="ar"/>
              </w:rPr>
              <w:t>)</w:t>
            </w:r>
          </w:p>
        </w:tc>
      </w:tr>
      <w:tr>
        <w:tblPrEx>
          <w:tblCellMar>
            <w:top w:w="0" w:type="dxa"/>
            <w:left w:w="0" w:type="dxa"/>
            <w:bottom w:w="0" w:type="dxa"/>
            <w:right w:w="0" w:type="dxa"/>
          </w:tblCellMar>
        </w:tblPrEx>
        <w:trPr>
          <w:trHeight w:val="358" w:hRule="atLeast"/>
          <w:jc w:val="center"/>
        </w:trPr>
        <w:tc>
          <w:tcPr>
            <w:tcW w:w="4227" w:type="dxa"/>
            <w:tcBorders>
              <w:top w:val="single" w:color="000000" w:sz="12" w:space="0"/>
              <w:left w:val="nil"/>
              <w:bottom w:val="nil"/>
              <w:right w:val="single" w:color="000000" w:sz="8" w:space="0"/>
            </w:tcBorders>
            <w:noWrap w:val="0"/>
            <w:tcMar>
              <w:top w:w="15" w:type="dxa"/>
              <w:left w:w="15" w:type="dxa"/>
              <w:right w:w="15" w:type="dxa"/>
            </w:tcMar>
            <w:vAlign w:val="center"/>
          </w:tcPr>
          <w:p>
            <w:pPr>
              <w:widowControl/>
              <w:textAlignment w:val="center"/>
              <w:rPr>
                <w:rFonts w:hint="eastAsia" w:ascii="宋体" w:hAnsi="宋体" w:cs="宋体"/>
                <w:b/>
                <w:color w:val="000000"/>
                <w:szCs w:val="21"/>
              </w:rPr>
            </w:pPr>
            <w:r>
              <w:rPr>
                <w:rFonts w:hint="eastAsia" w:ascii="宋体" w:hAnsi="宋体" w:cs="宋体"/>
                <w:b/>
                <w:color w:val="000000"/>
                <w:kern w:val="0"/>
                <w:szCs w:val="21"/>
                <w:lang w:bidi="ar"/>
              </w:rPr>
              <w:t>合 计</w:t>
            </w:r>
          </w:p>
        </w:tc>
        <w:tc>
          <w:tcPr>
            <w:tcW w:w="2027" w:type="dxa"/>
            <w:tcBorders>
              <w:top w:val="single" w:color="000000" w:sz="12" w:space="0"/>
              <w:left w:val="nil"/>
              <w:bottom w:val="nil"/>
              <w:right w:val="single" w:color="000000" w:sz="8" w:space="0"/>
            </w:tcBorders>
            <w:noWrap w:val="0"/>
            <w:tcMar>
              <w:top w:w="15" w:type="dxa"/>
              <w:left w:w="15" w:type="dxa"/>
              <w:right w:w="15" w:type="dxa"/>
            </w:tcMar>
            <w:vAlign w:val="top"/>
          </w:tcPr>
          <w:p>
            <w:pPr>
              <w:widowControl/>
              <w:jc w:val="right"/>
              <w:textAlignment w:val="top"/>
              <w:rPr>
                <w:b/>
                <w:color w:val="000000"/>
                <w:szCs w:val="21"/>
              </w:rPr>
            </w:pPr>
            <w:r>
              <w:rPr>
                <w:b/>
                <w:color w:val="000000"/>
                <w:kern w:val="0"/>
                <w:szCs w:val="21"/>
                <w:lang w:bidi="ar"/>
              </w:rPr>
              <w:t>250</w:t>
            </w:r>
          </w:p>
        </w:tc>
        <w:tc>
          <w:tcPr>
            <w:tcW w:w="1966" w:type="dxa"/>
            <w:tcBorders>
              <w:top w:val="single" w:color="000000" w:sz="12" w:space="0"/>
              <w:left w:val="nil"/>
              <w:bottom w:val="nil"/>
              <w:right w:val="nil"/>
            </w:tcBorders>
            <w:noWrap w:val="0"/>
            <w:tcMar>
              <w:top w:w="15" w:type="dxa"/>
              <w:left w:w="15" w:type="dxa"/>
              <w:right w:w="15" w:type="dxa"/>
            </w:tcMar>
            <w:vAlign w:val="top"/>
          </w:tcPr>
          <w:p>
            <w:pPr>
              <w:widowControl/>
              <w:jc w:val="right"/>
              <w:textAlignment w:val="top"/>
              <w:rPr>
                <w:b/>
                <w:color w:val="000000"/>
                <w:szCs w:val="21"/>
              </w:rPr>
            </w:pPr>
            <w:r>
              <w:rPr>
                <w:b/>
                <w:color w:val="000000"/>
                <w:kern w:val="0"/>
                <w:szCs w:val="21"/>
                <w:lang w:bidi="ar"/>
              </w:rPr>
              <w:t>2507</w:t>
            </w:r>
          </w:p>
        </w:tc>
      </w:tr>
      <w:tr>
        <w:tblPrEx>
          <w:tblCellMar>
            <w:top w:w="0" w:type="dxa"/>
            <w:left w:w="0" w:type="dxa"/>
            <w:bottom w:w="0" w:type="dxa"/>
            <w:right w:w="0" w:type="dxa"/>
          </w:tblCellMar>
        </w:tblPrEx>
        <w:trPr>
          <w:trHeight w:val="300" w:hRule="atLeast"/>
          <w:jc w:val="center"/>
        </w:trPr>
        <w:tc>
          <w:tcPr>
            <w:tcW w:w="4227" w:type="dxa"/>
            <w:tcBorders>
              <w:top w:val="nil"/>
              <w:left w:val="nil"/>
              <w:bottom w:val="nil"/>
              <w:right w:val="single" w:color="000000" w:sz="8" w:space="0"/>
            </w:tcBorders>
            <w:noWrap w:val="0"/>
            <w:tcMar>
              <w:top w:w="15" w:type="dxa"/>
              <w:left w:w="15" w:type="dxa"/>
              <w:right w:w="15" w:type="dxa"/>
            </w:tcMar>
            <w:vAlign w:val="center"/>
          </w:tcPr>
          <w:p>
            <w:pPr>
              <w:widowControl/>
              <w:textAlignment w:val="center"/>
              <w:rPr>
                <w:rFonts w:hint="eastAsia" w:ascii="宋体" w:hAnsi="宋体" w:cs="宋体"/>
                <w:b/>
                <w:color w:val="000000"/>
                <w:szCs w:val="21"/>
              </w:rPr>
            </w:pPr>
            <w:r>
              <w:rPr>
                <w:rFonts w:hint="eastAsia" w:ascii="宋体" w:hAnsi="宋体" w:cs="宋体"/>
                <w:b/>
                <w:color w:val="000000"/>
                <w:kern w:val="0"/>
                <w:szCs w:val="21"/>
                <w:lang w:bidi="ar"/>
              </w:rPr>
              <w:t>内资企业</w:t>
            </w:r>
          </w:p>
        </w:tc>
        <w:tc>
          <w:tcPr>
            <w:tcW w:w="2027"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b/>
                <w:color w:val="000000"/>
                <w:szCs w:val="21"/>
              </w:rPr>
            </w:pPr>
            <w:r>
              <w:rPr>
                <w:b/>
                <w:color w:val="000000"/>
                <w:kern w:val="0"/>
                <w:szCs w:val="21"/>
                <w:lang w:bidi="ar"/>
              </w:rPr>
              <w:t>250</w:t>
            </w:r>
          </w:p>
        </w:tc>
        <w:tc>
          <w:tcPr>
            <w:tcW w:w="1966" w:type="dxa"/>
            <w:tcBorders>
              <w:top w:val="nil"/>
              <w:left w:val="nil"/>
              <w:bottom w:val="nil"/>
              <w:right w:val="nil"/>
            </w:tcBorders>
            <w:noWrap w:val="0"/>
            <w:tcMar>
              <w:top w:w="15" w:type="dxa"/>
              <w:left w:w="15" w:type="dxa"/>
              <w:right w:w="15" w:type="dxa"/>
            </w:tcMar>
            <w:vAlign w:val="top"/>
          </w:tcPr>
          <w:p>
            <w:pPr>
              <w:widowControl/>
              <w:jc w:val="right"/>
              <w:textAlignment w:val="top"/>
              <w:rPr>
                <w:b/>
                <w:color w:val="000000"/>
                <w:szCs w:val="21"/>
              </w:rPr>
            </w:pPr>
            <w:r>
              <w:rPr>
                <w:b/>
                <w:color w:val="000000"/>
                <w:kern w:val="0"/>
                <w:szCs w:val="21"/>
                <w:lang w:bidi="ar"/>
              </w:rPr>
              <w:t>2507</w:t>
            </w:r>
          </w:p>
        </w:tc>
      </w:tr>
      <w:tr>
        <w:tblPrEx>
          <w:tblCellMar>
            <w:top w:w="0" w:type="dxa"/>
            <w:left w:w="0" w:type="dxa"/>
            <w:bottom w:w="0" w:type="dxa"/>
            <w:right w:w="0" w:type="dxa"/>
          </w:tblCellMar>
        </w:tblPrEx>
        <w:trPr>
          <w:trHeight w:val="313" w:hRule="atLeast"/>
          <w:jc w:val="center"/>
        </w:trPr>
        <w:tc>
          <w:tcPr>
            <w:tcW w:w="4227" w:type="dxa"/>
            <w:tcBorders>
              <w:top w:val="nil"/>
              <w:left w:val="nil"/>
              <w:bottom w:val="nil"/>
              <w:right w:val="single" w:color="000000" w:sz="8" w:space="0"/>
            </w:tcBorders>
            <w:noWrap w:val="0"/>
            <w:tcMar>
              <w:top w:w="15" w:type="dxa"/>
              <w:left w:w="15" w:type="dxa"/>
              <w:right w:w="15" w:type="dxa"/>
            </w:tcMar>
            <w:vAlign w:val="center"/>
          </w:tcPr>
          <w:p>
            <w:pPr>
              <w:widowControl/>
              <w:textAlignment w:val="center"/>
              <w:rPr>
                <w:color w:val="000000"/>
                <w:szCs w:val="21"/>
              </w:rPr>
            </w:pPr>
            <w:r>
              <w:rPr>
                <w:color w:val="000000"/>
                <w:kern w:val="0"/>
                <w:szCs w:val="21"/>
                <w:lang w:bidi="ar"/>
              </w:rPr>
              <w:t xml:space="preserve"> </w:t>
            </w:r>
            <w:r>
              <w:rPr>
                <w:rFonts w:hint="eastAsia" w:ascii="宋体" w:hAnsi="宋体" w:cs="宋体"/>
                <w:color w:val="000000"/>
                <w:kern w:val="0"/>
                <w:szCs w:val="21"/>
                <w:lang w:bidi="ar"/>
              </w:rPr>
              <w:t>国有企业</w:t>
            </w:r>
          </w:p>
        </w:tc>
        <w:tc>
          <w:tcPr>
            <w:tcW w:w="2027"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color w:val="000000"/>
                <w:szCs w:val="21"/>
              </w:rPr>
            </w:pPr>
            <w:r>
              <w:rPr>
                <w:rFonts w:hint="eastAsia"/>
                <w:color w:val="000000"/>
                <w:kern w:val="0"/>
                <w:szCs w:val="21"/>
                <w:lang w:eastAsia="zh-CN" w:bidi="ar"/>
              </w:rPr>
              <w:t>—</w:t>
            </w:r>
          </w:p>
        </w:tc>
        <w:tc>
          <w:tcPr>
            <w:tcW w:w="1966" w:type="dxa"/>
            <w:tcBorders>
              <w:top w:val="nil"/>
              <w:left w:val="nil"/>
              <w:bottom w:val="nil"/>
              <w:right w:val="nil"/>
            </w:tcBorders>
            <w:noWrap w:val="0"/>
            <w:tcMar>
              <w:top w:w="15" w:type="dxa"/>
              <w:left w:w="15" w:type="dxa"/>
              <w:right w:w="15" w:type="dxa"/>
            </w:tcMar>
            <w:vAlign w:val="top"/>
          </w:tcPr>
          <w:p>
            <w:pPr>
              <w:widowControl/>
              <w:jc w:val="right"/>
              <w:textAlignment w:val="top"/>
              <w:rPr>
                <w:color w:val="000000"/>
                <w:szCs w:val="21"/>
              </w:rPr>
            </w:pPr>
            <w:r>
              <w:rPr>
                <w:rFonts w:hint="eastAsia"/>
                <w:color w:val="000000"/>
                <w:kern w:val="0"/>
                <w:szCs w:val="21"/>
                <w:lang w:eastAsia="zh-CN" w:bidi="ar"/>
              </w:rPr>
              <w:t>—</w:t>
            </w:r>
          </w:p>
        </w:tc>
      </w:tr>
      <w:tr>
        <w:tblPrEx>
          <w:tblCellMar>
            <w:top w:w="0" w:type="dxa"/>
            <w:left w:w="0" w:type="dxa"/>
            <w:bottom w:w="0" w:type="dxa"/>
            <w:right w:w="0" w:type="dxa"/>
          </w:tblCellMar>
        </w:tblPrEx>
        <w:trPr>
          <w:trHeight w:val="313" w:hRule="atLeast"/>
          <w:jc w:val="center"/>
        </w:trPr>
        <w:tc>
          <w:tcPr>
            <w:tcW w:w="4227" w:type="dxa"/>
            <w:tcBorders>
              <w:top w:val="nil"/>
              <w:left w:val="nil"/>
              <w:bottom w:val="nil"/>
              <w:right w:val="single" w:color="000000" w:sz="8" w:space="0"/>
            </w:tcBorders>
            <w:noWrap w:val="0"/>
            <w:tcMar>
              <w:top w:w="15" w:type="dxa"/>
              <w:left w:w="15" w:type="dxa"/>
              <w:right w:w="15" w:type="dxa"/>
            </w:tcMar>
            <w:vAlign w:val="center"/>
          </w:tcPr>
          <w:p>
            <w:pPr>
              <w:widowControl/>
              <w:textAlignment w:val="center"/>
              <w:rPr>
                <w:color w:val="000000"/>
                <w:szCs w:val="21"/>
              </w:rPr>
            </w:pPr>
            <w:r>
              <w:rPr>
                <w:color w:val="000000"/>
                <w:kern w:val="0"/>
                <w:szCs w:val="21"/>
                <w:lang w:bidi="ar"/>
              </w:rPr>
              <w:t xml:space="preserve"> </w:t>
            </w:r>
            <w:r>
              <w:rPr>
                <w:rFonts w:hint="eastAsia" w:ascii="宋体" w:hAnsi="宋体" w:cs="宋体"/>
                <w:color w:val="000000"/>
                <w:kern w:val="0"/>
                <w:szCs w:val="21"/>
                <w:lang w:bidi="ar"/>
              </w:rPr>
              <w:t>集体企业</w:t>
            </w:r>
          </w:p>
        </w:tc>
        <w:tc>
          <w:tcPr>
            <w:tcW w:w="2027"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1</w:t>
            </w:r>
          </w:p>
        </w:tc>
        <w:tc>
          <w:tcPr>
            <w:tcW w:w="1966" w:type="dxa"/>
            <w:tcBorders>
              <w:top w:val="nil"/>
              <w:left w:val="nil"/>
              <w:bottom w:val="nil"/>
              <w:right w:val="nil"/>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0</w:t>
            </w:r>
          </w:p>
        </w:tc>
      </w:tr>
      <w:tr>
        <w:tblPrEx>
          <w:tblCellMar>
            <w:top w:w="0" w:type="dxa"/>
            <w:left w:w="0" w:type="dxa"/>
            <w:bottom w:w="0" w:type="dxa"/>
            <w:right w:w="0" w:type="dxa"/>
          </w:tblCellMar>
        </w:tblPrEx>
        <w:trPr>
          <w:trHeight w:val="313" w:hRule="atLeast"/>
          <w:jc w:val="center"/>
        </w:trPr>
        <w:tc>
          <w:tcPr>
            <w:tcW w:w="4227" w:type="dxa"/>
            <w:tcBorders>
              <w:top w:val="nil"/>
              <w:left w:val="nil"/>
              <w:bottom w:val="nil"/>
              <w:right w:val="single" w:color="000000" w:sz="8" w:space="0"/>
            </w:tcBorders>
            <w:noWrap w:val="0"/>
            <w:tcMar>
              <w:top w:w="15" w:type="dxa"/>
              <w:left w:w="15" w:type="dxa"/>
              <w:right w:w="15" w:type="dxa"/>
            </w:tcMar>
            <w:vAlign w:val="center"/>
          </w:tcPr>
          <w:p>
            <w:pPr>
              <w:widowControl/>
              <w:textAlignment w:val="center"/>
              <w:rPr>
                <w:color w:val="000000"/>
                <w:szCs w:val="21"/>
              </w:rPr>
            </w:pPr>
            <w:r>
              <w:rPr>
                <w:color w:val="000000"/>
                <w:kern w:val="0"/>
                <w:szCs w:val="21"/>
                <w:lang w:bidi="ar"/>
              </w:rPr>
              <w:t xml:space="preserve"> </w:t>
            </w:r>
            <w:r>
              <w:rPr>
                <w:rFonts w:hint="eastAsia" w:ascii="宋体" w:hAnsi="宋体" w:cs="宋体"/>
                <w:color w:val="000000"/>
                <w:kern w:val="0"/>
                <w:szCs w:val="21"/>
                <w:lang w:bidi="ar"/>
              </w:rPr>
              <w:t>股份合作企业</w:t>
            </w:r>
          </w:p>
        </w:tc>
        <w:tc>
          <w:tcPr>
            <w:tcW w:w="2027"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color w:val="000000"/>
                <w:szCs w:val="21"/>
              </w:rPr>
            </w:pPr>
            <w:r>
              <w:rPr>
                <w:rFonts w:hint="eastAsia"/>
                <w:color w:val="000000"/>
                <w:kern w:val="0"/>
                <w:szCs w:val="21"/>
                <w:lang w:eastAsia="zh-CN" w:bidi="ar"/>
              </w:rPr>
              <w:t>—</w:t>
            </w:r>
          </w:p>
        </w:tc>
        <w:tc>
          <w:tcPr>
            <w:tcW w:w="1966" w:type="dxa"/>
            <w:tcBorders>
              <w:top w:val="nil"/>
              <w:left w:val="nil"/>
              <w:bottom w:val="nil"/>
              <w:right w:val="nil"/>
            </w:tcBorders>
            <w:noWrap w:val="0"/>
            <w:tcMar>
              <w:top w:w="15" w:type="dxa"/>
              <w:left w:w="15" w:type="dxa"/>
              <w:right w:w="15" w:type="dxa"/>
            </w:tcMar>
            <w:vAlign w:val="top"/>
          </w:tcPr>
          <w:p>
            <w:pPr>
              <w:widowControl/>
              <w:jc w:val="right"/>
              <w:textAlignment w:val="top"/>
              <w:rPr>
                <w:color w:val="000000"/>
                <w:szCs w:val="21"/>
              </w:rPr>
            </w:pPr>
            <w:r>
              <w:rPr>
                <w:rFonts w:hint="eastAsia"/>
                <w:color w:val="000000"/>
                <w:kern w:val="0"/>
                <w:szCs w:val="21"/>
                <w:lang w:eastAsia="zh-CN" w:bidi="ar"/>
              </w:rPr>
              <w:t>—</w:t>
            </w:r>
          </w:p>
        </w:tc>
      </w:tr>
      <w:tr>
        <w:tblPrEx>
          <w:tblCellMar>
            <w:top w:w="0" w:type="dxa"/>
            <w:left w:w="0" w:type="dxa"/>
            <w:bottom w:w="0" w:type="dxa"/>
            <w:right w:w="0" w:type="dxa"/>
          </w:tblCellMar>
        </w:tblPrEx>
        <w:trPr>
          <w:trHeight w:val="313" w:hRule="atLeast"/>
          <w:jc w:val="center"/>
        </w:trPr>
        <w:tc>
          <w:tcPr>
            <w:tcW w:w="4227" w:type="dxa"/>
            <w:tcBorders>
              <w:top w:val="nil"/>
              <w:left w:val="nil"/>
              <w:bottom w:val="nil"/>
              <w:right w:val="single" w:color="000000" w:sz="8" w:space="0"/>
            </w:tcBorders>
            <w:noWrap w:val="0"/>
            <w:tcMar>
              <w:top w:w="15" w:type="dxa"/>
              <w:left w:w="15" w:type="dxa"/>
              <w:right w:w="15" w:type="dxa"/>
            </w:tcMar>
            <w:vAlign w:val="center"/>
          </w:tcPr>
          <w:p>
            <w:pPr>
              <w:widowControl/>
              <w:textAlignment w:val="center"/>
              <w:rPr>
                <w:color w:val="000000"/>
                <w:szCs w:val="21"/>
              </w:rPr>
            </w:pPr>
            <w:r>
              <w:rPr>
                <w:color w:val="000000"/>
                <w:kern w:val="0"/>
                <w:szCs w:val="21"/>
                <w:lang w:bidi="ar"/>
              </w:rPr>
              <w:t xml:space="preserve"> </w:t>
            </w:r>
            <w:r>
              <w:rPr>
                <w:rFonts w:hint="eastAsia" w:ascii="宋体" w:hAnsi="宋体" w:cs="宋体"/>
                <w:color w:val="000000"/>
                <w:kern w:val="0"/>
                <w:szCs w:val="21"/>
                <w:lang w:bidi="ar"/>
              </w:rPr>
              <w:t>联营企业</w:t>
            </w:r>
          </w:p>
        </w:tc>
        <w:tc>
          <w:tcPr>
            <w:tcW w:w="2027"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color w:val="000000"/>
                <w:szCs w:val="21"/>
              </w:rPr>
            </w:pPr>
            <w:r>
              <w:rPr>
                <w:rFonts w:hint="eastAsia"/>
                <w:color w:val="000000"/>
                <w:kern w:val="0"/>
                <w:szCs w:val="21"/>
                <w:lang w:eastAsia="zh-CN" w:bidi="ar"/>
              </w:rPr>
              <w:t>—</w:t>
            </w:r>
          </w:p>
        </w:tc>
        <w:tc>
          <w:tcPr>
            <w:tcW w:w="1966" w:type="dxa"/>
            <w:tcBorders>
              <w:top w:val="nil"/>
              <w:left w:val="nil"/>
              <w:bottom w:val="nil"/>
              <w:right w:val="nil"/>
            </w:tcBorders>
            <w:noWrap w:val="0"/>
            <w:tcMar>
              <w:top w:w="15" w:type="dxa"/>
              <w:left w:w="15" w:type="dxa"/>
              <w:right w:w="15" w:type="dxa"/>
            </w:tcMar>
            <w:vAlign w:val="top"/>
          </w:tcPr>
          <w:p>
            <w:pPr>
              <w:widowControl/>
              <w:jc w:val="right"/>
              <w:textAlignment w:val="top"/>
              <w:rPr>
                <w:color w:val="000000"/>
                <w:szCs w:val="21"/>
              </w:rPr>
            </w:pPr>
            <w:r>
              <w:rPr>
                <w:rFonts w:hint="eastAsia"/>
                <w:color w:val="000000"/>
                <w:kern w:val="0"/>
                <w:szCs w:val="21"/>
                <w:lang w:eastAsia="zh-CN" w:bidi="ar"/>
              </w:rPr>
              <w:t>—</w:t>
            </w:r>
          </w:p>
        </w:tc>
      </w:tr>
      <w:tr>
        <w:tblPrEx>
          <w:tblCellMar>
            <w:top w:w="0" w:type="dxa"/>
            <w:left w:w="0" w:type="dxa"/>
            <w:bottom w:w="0" w:type="dxa"/>
            <w:right w:w="0" w:type="dxa"/>
          </w:tblCellMar>
        </w:tblPrEx>
        <w:trPr>
          <w:trHeight w:val="313" w:hRule="atLeast"/>
          <w:jc w:val="center"/>
        </w:trPr>
        <w:tc>
          <w:tcPr>
            <w:tcW w:w="4227" w:type="dxa"/>
            <w:tcBorders>
              <w:top w:val="nil"/>
              <w:left w:val="nil"/>
              <w:bottom w:val="nil"/>
              <w:right w:val="single" w:color="000000" w:sz="8" w:space="0"/>
            </w:tcBorders>
            <w:noWrap w:val="0"/>
            <w:tcMar>
              <w:top w:w="15" w:type="dxa"/>
              <w:left w:w="15" w:type="dxa"/>
              <w:right w:w="15" w:type="dxa"/>
            </w:tcMar>
            <w:vAlign w:val="center"/>
          </w:tcPr>
          <w:p>
            <w:pPr>
              <w:widowControl/>
              <w:textAlignment w:val="center"/>
              <w:rPr>
                <w:color w:val="000000"/>
                <w:szCs w:val="21"/>
              </w:rPr>
            </w:pPr>
            <w:r>
              <w:rPr>
                <w:color w:val="000000"/>
                <w:kern w:val="0"/>
                <w:szCs w:val="21"/>
                <w:lang w:bidi="ar"/>
              </w:rPr>
              <w:t xml:space="preserve"> </w:t>
            </w:r>
            <w:r>
              <w:rPr>
                <w:rFonts w:hint="eastAsia" w:ascii="宋体" w:hAnsi="宋体" w:cs="宋体"/>
                <w:color w:val="000000"/>
                <w:kern w:val="0"/>
                <w:szCs w:val="21"/>
                <w:lang w:bidi="ar"/>
              </w:rPr>
              <w:t>有限责任公司</w:t>
            </w:r>
          </w:p>
        </w:tc>
        <w:tc>
          <w:tcPr>
            <w:tcW w:w="2027"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28</w:t>
            </w:r>
          </w:p>
        </w:tc>
        <w:tc>
          <w:tcPr>
            <w:tcW w:w="1966" w:type="dxa"/>
            <w:tcBorders>
              <w:top w:val="nil"/>
              <w:left w:val="nil"/>
              <w:bottom w:val="nil"/>
              <w:right w:val="nil"/>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327</w:t>
            </w:r>
          </w:p>
        </w:tc>
      </w:tr>
      <w:tr>
        <w:tblPrEx>
          <w:tblCellMar>
            <w:top w:w="0" w:type="dxa"/>
            <w:left w:w="0" w:type="dxa"/>
            <w:bottom w:w="0" w:type="dxa"/>
            <w:right w:w="0" w:type="dxa"/>
          </w:tblCellMar>
        </w:tblPrEx>
        <w:trPr>
          <w:trHeight w:val="313" w:hRule="atLeast"/>
          <w:jc w:val="center"/>
        </w:trPr>
        <w:tc>
          <w:tcPr>
            <w:tcW w:w="4227" w:type="dxa"/>
            <w:tcBorders>
              <w:top w:val="nil"/>
              <w:left w:val="nil"/>
              <w:bottom w:val="nil"/>
              <w:right w:val="single" w:color="000000" w:sz="8" w:space="0"/>
            </w:tcBorders>
            <w:noWrap w:val="0"/>
            <w:tcMar>
              <w:top w:w="15" w:type="dxa"/>
              <w:left w:w="15" w:type="dxa"/>
              <w:right w:w="15" w:type="dxa"/>
            </w:tcMar>
            <w:vAlign w:val="center"/>
          </w:tcPr>
          <w:p>
            <w:pPr>
              <w:widowControl/>
              <w:textAlignment w:val="center"/>
              <w:rPr>
                <w:color w:val="000000"/>
                <w:szCs w:val="21"/>
              </w:rPr>
            </w:pPr>
            <w:r>
              <w:rPr>
                <w:color w:val="000000"/>
                <w:kern w:val="0"/>
                <w:szCs w:val="21"/>
                <w:lang w:bidi="ar"/>
              </w:rPr>
              <w:t xml:space="preserve"> </w:t>
            </w:r>
            <w:r>
              <w:rPr>
                <w:rFonts w:hint="eastAsia" w:ascii="宋体" w:hAnsi="宋体" w:cs="宋体"/>
                <w:color w:val="000000"/>
                <w:kern w:val="0"/>
                <w:szCs w:val="21"/>
                <w:lang w:bidi="ar"/>
              </w:rPr>
              <w:t>股份有限公司</w:t>
            </w:r>
          </w:p>
        </w:tc>
        <w:tc>
          <w:tcPr>
            <w:tcW w:w="2027"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color w:val="000000"/>
                <w:szCs w:val="21"/>
              </w:rPr>
            </w:pPr>
            <w:r>
              <w:rPr>
                <w:rFonts w:hint="eastAsia"/>
                <w:color w:val="000000"/>
                <w:kern w:val="0"/>
                <w:szCs w:val="21"/>
                <w:lang w:eastAsia="zh-CN" w:bidi="ar"/>
              </w:rPr>
              <w:t>—</w:t>
            </w:r>
          </w:p>
        </w:tc>
        <w:tc>
          <w:tcPr>
            <w:tcW w:w="1966" w:type="dxa"/>
            <w:tcBorders>
              <w:top w:val="nil"/>
              <w:left w:val="nil"/>
              <w:bottom w:val="nil"/>
              <w:right w:val="nil"/>
            </w:tcBorders>
            <w:noWrap w:val="0"/>
            <w:tcMar>
              <w:top w:w="15" w:type="dxa"/>
              <w:left w:w="15" w:type="dxa"/>
              <w:right w:w="15" w:type="dxa"/>
            </w:tcMar>
            <w:vAlign w:val="top"/>
          </w:tcPr>
          <w:p>
            <w:pPr>
              <w:widowControl/>
              <w:jc w:val="right"/>
              <w:textAlignment w:val="top"/>
              <w:rPr>
                <w:color w:val="000000"/>
                <w:szCs w:val="21"/>
              </w:rPr>
            </w:pPr>
            <w:r>
              <w:rPr>
                <w:rFonts w:hint="eastAsia"/>
                <w:color w:val="000000"/>
                <w:kern w:val="0"/>
                <w:szCs w:val="21"/>
                <w:lang w:eastAsia="zh-CN" w:bidi="ar"/>
              </w:rPr>
              <w:t>—</w:t>
            </w:r>
          </w:p>
        </w:tc>
      </w:tr>
      <w:tr>
        <w:tblPrEx>
          <w:tblCellMar>
            <w:top w:w="0" w:type="dxa"/>
            <w:left w:w="0" w:type="dxa"/>
            <w:bottom w:w="0" w:type="dxa"/>
            <w:right w:w="0" w:type="dxa"/>
          </w:tblCellMar>
        </w:tblPrEx>
        <w:trPr>
          <w:trHeight w:val="313" w:hRule="atLeast"/>
          <w:jc w:val="center"/>
        </w:trPr>
        <w:tc>
          <w:tcPr>
            <w:tcW w:w="4227" w:type="dxa"/>
            <w:tcBorders>
              <w:top w:val="nil"/>
              <w:left w:val="nil"/>
              <w:bottom w:val="nil"/>
              <w:right w:val="single" w:color="000000" w:sz="8" w:space="0"/>
            </w:tcBorders>
            <w:noWrap w:val="0"/>
            <w:tcMar>
              <w:top w:w="15" w:type="dxa"/>
              <w:left w:w="15" w:type="dxa"/>
              <w:right w:w="15" w:type="dxa"/>
            </w:tcMar>
            <w:vAlign w:val="center"/>
          </w:tcPr>
          <w:p>
            <w:pPr>
              <w:widowControl/>
              <w:textAlignment w:val="center"/>
              <w:rPr>
                <w:color w:val="000000"/>
                <w:szCs w:val="21"/>
              </w:rPr>
            </w:pPr>
            <w:r>
              <w:rPr>
                <w:color w:val="000000"/>
                <w:kern w:val="0"/>
                <w:szCs w:val="21"/>
                <w:lang w:bidi="ar"/>
              </w:rPr>
              <w:t xml:space="preserve"> </w:t>
            </w:r>
            <w:r>
              <w:rPr>
                <w:rFonts w:hint="eastAsia" w:ascii="宋体" w:hAnsi="宋体" w:cs="宋体"/>
                <w:color w:val="000000"/>
                <w:kern w:val="0"/>
                <w:szCs w:val="21"/>
                <w:lang w:bidi="ar"/>
              </w:rPr>
              <w:t>私营企业</w:t>
            </w:r>
          </w:p>
        </w:tc>
        <w:tc>
          <w:tcPr>
            <w:tcW w:w="2027"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221</w:t>
            </w:r>
          </w:p>
        </w:tc>
        <w:tc>
          <w:tcPr>
            <w:tcW w:w="1966" w:type="dxa"/>
            <w:tcBorders>
              <w:top w:val="nil"/>
              <w:left w:val="nil"/>
              <w:bottom w:val="nil"/>
              <w:right w:val="nil"/>
            </w:tcBorders>
            <w:noWrap w:val="0"/>
            <w:tcMar>
              <w:top w:w="15" w:type="dxa"/>
              <w:left w:w="15" w:type="dxa"/>
              <w:right w:w="15" w:type="dxa"/>
            </w:tcMar>
            <w:vAlign w:val="top"/>
          </w:tcPr>
          <w:p>
            <w:pPr>
              <w:widowControl/>
              <w:jc w:val="right"/>
              <w:textAlignment w:val="top"/>
              <w:rPr>
                <w:color w:val="000000"/>
                <w:szCs w:val="21"/>
              </w:rPr>
            </w:pPr>
            <w:r>
              <w:rPr>
                <w:color w:val="000000"/>
                <w:kern w:val="0"/>
                <w:szCs w:val="21"/>
                <w:lang w:bidi="ar"/>
              </w:rPr>
              <w:t>2180</w:t>
            </w:r>
          </w:p>
        </w:tc>
      </w:tr>
      <w:tr>
        <w:tblPrEx>
          <w:tblCellMar>
            <w:top w:w="0" w:type="dxa"/>
            <w:left w:w="0" w:type="dxa"/>
            <w:bottom w:w="0" w:type="dxa"/>
            <w:right w:w="0" w:type="dxa"/>
          </w:tblCellMar>
        </w:tblPrEx>
        <w:trPr>
          <w:trHeight w:val="313" w:hRule="atLeast"/>
          <w:jc w:val="center"/>
        </w:trPr>
        <w:tc>
          <w:tcPr>
            <w:tcW w:w="4227" w:type="dxa"/>
            <w:tcBorders>
              <w:top w:val="nil"/>
              <w:left w:val="nil"/>
              <w:bottom w:val="nil"/>
              <w:right w:val="single" w:color="000000" w:sz="8" w:space="0"/>
            </w:tcBorders>
            <w:noWrap w:val="0"/>
            <w:tcMar>
              <w:top w:w="15" w:type="dxa"/>
              <w:left w:w="15" w:type="dxa"/>
              <w:right w:w="15" w:type="dxa"/>
            </w:tcMar>
            <w:vAlign w:val="center"/>
          </w:tcPr>
          <w:p>
            <w:pPr>
              <w:widowControl/>
              <w:textAlignment w:val="center"/>
              <w:rPr>
                <w:color w:val="000000"/>
                <w:szCs w:val="21"/>
              </w:rPr>
            </w:pPr>
            <w:r>
              <w:rPr>
                <w:color w:val="000000"/>
                <w:kern w:val="0"/>
                <w:szCs w:val="21"/>
                <w:lang w:bidi="ar"/>
              </w:rPr>
              <w:t xml:space="preserve"> </w:t>
            </w:r>
            <w:r>
              <w:rPr>
                <w:rFonts w:hint="eastAsia" w:ascii="宋体" w:hAnsi="宋体" w:cs="宋体"/>
                <w:color w:val="000000"/>
                <w:kern w:val="0"/>
                <w:szCs w:val="21"/>
                <w:lang w:bidi="ar"/>
              </w:rPr>
              <w:t>其他企业</w:t>
            </w:r>
          </w:p>
        </w:tc>
        <w:tc>
          <w:tcPr>
            <w:tcW w:w="2027"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color w:val="000000"/>
                <w:szCs w:val="21"/>
              </w:rPr>
            </w:pPr>
            <w:r>
              <w:rPr>
                <w:rFonts w:hint="eastAsia"/>
                <w:color w:val="000000"/>
                <w:kern w:val="0"/>
                <w:szCs w:val="21"/>
                <w:lang w:eastAsia="zh-CN" w:bidi="ar"/>
              </w:rPr>
              <w:t>—</w:t>
            </w:r>
          </w:p>
        </w:tc>
        <w:tc>
          <w:tcPr>
            <w:tcW w:w="1966" w:type="dxa"/>
            <w:tcBorders>
              <w:top w:val="nil"/>
              <w:left w:val="nil"/>
              <w:bottom w:val="nil"/>
              <w:right w:val="nil"/>
            </w:tcBorders>
            <w:noWrap w:val="0"/>
            <w:tcMar>
              <w:top w:w="15" w:type="dxa"/>
              <w:left w:w="15" w:type="dxa"/>
              <w:right w:w="15" w:type="dxa"/>
            </w:tcMar>
            <w:vAlign w:val="top"/>
          </w:tcPr>
          <w:p>
            <w:pPr>
              <w:widowControl/>
              <w:jc w:val="right"/>
              <w:textAlignment w:val="top"/>
              <w:rPr>
                <w:color w:val="000000"/>
                <w:szCs w:val="21"/>
              </w:rPr>
            </w:pPr>
            <w:r>
              <w:rPr>
                <w:rFonts w:hint="eastAsia"/>
                <w:color w:val="000000"/>
                <w:kern w:val="0"/>
                <w:szCs w:val="21"/>
                <w:lang w:eastAsia="zh-CN" w:bidi="ar"/>
              </w:rPr>
              <w:t>—</w:t>
            </w:r>
          </w:p>
        </w:tc>
      </w:tr>
      <w:tr>
        <w:tblPrEx>
          <w:tblCellMar>
            <w:top w:w="0" w:type="dxa"/>
            <w:left w:w="0" w:type="dxa"/>
            <w:bottom w:w="0" w:type="dxa"/>
            <w:right w:w="0" w:type="dxa"/>
          </w:tblCellMar>
        </w:tblPrEx>
        <w:trPr>
          <w:trHeight w:val="313" w:hRule="atLeast"/>
          <w:jc w:val="center"/>
        </w:trPr>
        <w:tc>
          <w:tcPr>
            <w:tcW w:w="4227" w:type="dxa"/>
            <w:tcBorders>
              <w:top w:val="nil"/>
              <w:left w:val="nil"/>
              <w:bottom w:val="nil"/>
              <w:right w:val="single" w:color="000000" w:sz="8" w:space="0"/>
            </w:tcBorders>
            <w:noWrap w:val="0"/>
            <w:tcMar>
              <w:top w:w="15" w:type="dxa"/>
              <w:left w:w="15" w:type="dxa"/>
              <w:right w:w="15" w:type="dxa"/>
            </w:tcMar>
            <w:vAlign w:val="center"/>
          </w:tcPr>
          <w:p>
            <w:pPr>
              <w:widowControl/>
              <w:textAlignment w:val="center"/>
              <w:rPr>
                <w:rFonts w:hint="eastAsia" w:ascii="宋体" w:hAnsi="宋体" w:cs="宋体"/>
                <w:b/>
                <w:color w:val="000000"/>
                <w:szCs w:val="21"/>
              </w:rPr>
            </w:pPr>
            <w:r>
              <w:rPr>
                <w:rFonts w:hint="eastAsia" w:ascii="宋体" w:hAnsi="宋体" w:cs="宋体"/>
                <w:b/>
                <w:color w:val="000000"/>
                <w:kern w:val="0"/>
                <w:szCs w:val="21"/>
                <w:lang w:bidi="ar"/>
              </w:rPr>
              <w:t>港、澳、台商投资企业</w:t>
            </w:r>
          </w:p>
        </w:tc>
        <w:tc>
          <w:tcPr>
            <w:tcW w:w="2027" w:type="dxa"/>
            <w:tcBorders>
              <w:top w:val="nil"/>
              <w:left w:val="nil"/>
              <w:bottom w:val="nil"/>
              <w:right w:val="single" w:color="000000" w:sz="8" w:space="0"/>
            </w:tcBorders>
            <w:noWrap w:val="0"/>
            <w:tcMar>
              <w:top w:w="15" w:type="dxa"/>
              <w:left w:w="15" w:type="dxa"/>
              <w:right w:w="15" w:type="dxa"/>
            </w:tcMar>
            <w:vAlign w:val="top"/>
          </w:tcPr>
          <w:p>
            <w:pPr>
              <w:widowControl/>
              <w:jc w:val="right"/>
              <w:textAlignment w:val="top"/>
              <w:rPr>
                <w:b/>
                <w:color w:val="000000"/>
                <w:szCs w:val="21"/>
              </w:rPr>
            </w:pPr>
            <w:r>
              <w:rPr>
                <w:rFonts w:hint="eastAsia"/>
                <w:color w:val="000000"/>
                <w:kern w:val="0"/>
                <w:szCs w:val="21"/>
                <w:lang w:eastAsia="zh-CN" w:bidi="ar"/>
              </w:rPr>
              <w:t>—</w:t>
            </w:r>
          </w:p>
        </w:tc>
        <w:tc>
          <w:tcPr>
            <w:tcW w:w="1966" w:type="dxa"/>
            <w:tcBorders>
              <w:top w:val="nil"/>
              <w:left w:val="nil"/>
              <w:bottom w:val="nil"/>
              <w:right w:val="nil"/>
            </w:tcBorders>
            <w:noWrap w:val="0"/>
            <w:tcMar>
              <w:top w:w="15" w:type="dxa"/>
              <w:left w:w="15" w:type="dxa"/>
              <w:right w:w="15" w:type="dxa"/>
            </w:tcMar>
            <w:vAlign w:val="top"/>
          </w:tcPr>
          <w:p>
            <w:pPr>
              <w:widowControl/>
              <w:jc w:val="right"/>
              <w:textAlignment w:val="top"/>
              <w:rPr>
                <w:b/>
                <w:color w:val="000000"/>
                <w:szCs w:val="21"/>
              </w:rPr>
            </w:pPr>
            <w:r>
              <w:rPr>
                <w:rFonts w:hint="eastAsia"/>
                <w:color w:val="000000"/>
                <w:kern w:val="0"/>
                <w:szCs w:val="21"/>
                <w:lang w:eastAsia="zh-CN" w:bidi="ar"/>
              </w:rPr>
              <w:t>—</w:t>
            </w:r>
          </w:p>
        </w:tc>
      </w:tr>
      <w:tr>
        <w:tblPrEx>
          <w:tblCellMar>
            <w:top w:w="0" w:type="dxa"/>
            <w:left w:w="0" w:type="dxa"/>
            <w:bottom w:w="0" w:type="dxa"/>
            <w:right w:w="0" w:type="dxa"/>
          </w:tblCellMar>
        </w:tblPrEx>
        <w:trPr>
          <w:trHeight w:val="367" w:hRule="atLeast"/>
          <w:jc w:val="center"/>
        </w:trPr>
        <w:tc>
          <w:tcPr>
            <w:tcW w:w="4227" w:type="dxa"/>
            <w:tcBorders>
              <w:top w:val="nil"/>
              <w:left w:val="nil"/>
              <w:bottom w:val="single" w:color="000000" w:sz="12" w:space="0"/>
              <w:right w:val="single" w:color="000000" w:sz="8" w:space="0"/>
            </w:tcBorders>
            <w:noWrap w:val="0"/>
            <w:tcMar>
              <w:top w:w="15" w:type="dxa"/>
              <w:left w:w="15" w:type="dxa"/>
              <w:right w:w="15" w:type="dxa"/>
            </w:tcMar>
            <w:vAlign w:val="center"/>
          </w:tcPr>
          <w:p>
            <w:pPr>
              <w:widowControl/>
              <w:textAlignment w:val="center"/>
              <w:rPr>
                <w:rFonts w:hint="eastAsia" w:ascii="宋体" w:hAnsi="宋体" w:cs="宋体"/>
                <w:b/>
                <w:color w:val="000000"/>
                <w:szCs w:val="21"/>
              </w:rPr>
            </w:pPr>
            <w:r>
              <w:rPr>
                <w:rFonts w:hint="eastAsia" w:ascii="宋体" w:hAnsi="宋体" w:cs="宋体"/>
                <w:b/>
                <w:color w:val="000000"/>
                <w:kern w:val="0"/>
                <w:szCs w:val="21"/>
                <w:lang w:bidi="ar"/>
              </w:rPr>
              <w:t>外商投资企业</w:t>
            </w:r>
          </w:p>
        </w:tc>
        <w:tc>
          <w:tcPr>
            <w:tcW w:w="2027" w:type="dxa"/>
            <w:tcBorders>
              <w:top w:val="nil"/>
              <w:left w:val="nil"/>
              <w:bottom w:val="single" w:color="000000" w:sz="12" w:space="0"/>
              <w:right w:val="single" w:color="000000" w:sz="8" w:space="0"/>
            </w:tcBorders>
            <w:noWrap w:val="0"/>
            <w:tcMar>
              <w:top w:w="15" w:type="dxa"/>
              <w:left w:w="15" w:type="dxa"/>
              <w:right w:w="15" w:type="dxa"/>
            </w:tcMar>
            <w:vAlign w:val="top"/>
          </w:tcPr>
          <w:p>
            <w:pPr>
              <w:widowControl/>
              <w:jc w:val="right"/>
              <w:textAlignment w:val="top"/>
              <w:rPr>
                <w:b/>
                <w:color w:val="000000"/>
                <w:szCs w:val="21"/>
              </w:rPr>
            </w:pPr>
            <w:r>
              <w:rPr>
                <w:rFonts w:hint="eastAsia"/>
                <w:color w:val="000000"/>
                <w:kern w:val="0"/>
                <w:szCs w:val="21"/>
                <w:lang w:eastAsia="zh-CN" w:bidi="ar"/>
              </w:rPr>
              <w:t>—</w:t>
            </w:r>
          </w:p>
        </w:tc>
        <w:tc>
          <w:tcPr>
            <w:tcW w:w="1966" w:type="dxa"/>
            <w:tcBorders>
              <w:top w:val="nil"/>
              <w:left w:val="nil"/>
              <w:bottom w:val="single" w:color="000000" w:sz="12" w:space="0"/>
              <w:right w:val="nil"/>
            </w:tcBorders>
            <w:noWrap w:val="0"/>
            <w:tcMar>
              <w:top w:w="15" w:type="dxa"/>
              <w:left w:w="15" w:type="dxa"/>
              <w:right w:w="15" w:type="dxa"/>
            </w:tcMar>
            <w:vAlign w:val="top"/>
          </w:tcPr>
          <w:p>
            <w:pPr>
              <w:widowControl/>
              <w:jc w:val="right"/>
              <w:textAlignment w:val="top"/>
              <w:rPr>
                <w:b/>
                <w:color w:val="000000"/>
                <w:szCs w:val="21"/>
              </w:rPr>
            </w:pPr>
            <w:r>
              <w:rPr>
                <w:rFonts w:hint="eastAsia"/>
                <w:color w:val="000000"/>
                <w:kern w:val="0"/>
                <w:szCs w:val="21"/>
                <w:lang w:eastAsia="zh-CN" w:bidi="ar"/>
              </w:rPr>
              <w:t>—</w:t>
            </w:r>
          </w:p>
        </w:tc>
      </w:tr>
    </w:tbl>
    <w:p>
      <w:pPr>
        <w:widowControl/>
        <w:spacing w:line="600" w:lineRule="exact"/>
        <w:ind w:firstLine="640" w:firstLineChars="200"/>
        <w:outlineLvl w:val="2"/>
        <w:rPr>
          <w:rFonts w:ascii="楷体_GB2312" w:hAnsi="楷体" w:eastAsia="楷体_GB2312" w:cs="宋体"/>
          <w:kern w:val="0"/>
          <w:sz w:val="32"/>
          <w:szCs w:val="32"/>
        </w:rPr>
      </w:pPr>
      <w:r>
        <w:rPr>
          <w:rFonts w:hint="eastAsia" w:ascii="楷体_GB2312" w:hAnsi="楷体" w:eastAsia="楷体_GB2312" w:cs="宋体"/>
          <w:kern w:val="0"/>
          <w:sz w:val="32"/>
          <w:szCs w:val="32"/>
        </w:rPr>
        <w:t>（二）主要经济</w:t>
      </w:r>
      <w:r>
        <w:rPr>
          <w:rFonts w:ascii="楷体_GB2312" w:hAnsi="楷体" w:eastAsia="楷体_GB2312" w:cs="宋体"/>
          <w:kern w:val="0"/>
          <w:sz w:val="32"/>
          <w:szCs w:val="32"/>
        </w:rPr>
        <w:t>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2018年末，居民服务、修理和其他服务业企业法人单位资产总计4.86亿元，比2013年末下降43.4%。负债合计2.53亿元。全年实现营业收入3.63亿元（详见表5-6）。</w:t>
      </w:r>
    </w:p>
    <w:tbl>
      <w:tblPr>
        <w:tblStyle w:val="10"/>
        <w:tblW w:w="0" w:type="auto"/>
        <w:jc w:val="center"/>
        <w:tblLayout w:type="fixed"/>
        <w:tblCellMar>
          <w:top w:w="0" w:type="dxa"/>
          <w:left w:w="0" w:type="dxa"/>
          <w:bottom w:w="0" w:type="dxa"/>
          <w:right w:w="0" w:type="dxa"/>
        </w:tblCellMar>
      </w:tblPr>
      <w:tblGrid>
        <w:gridCol w:w="3559"/>
        <w:gridCol w:w="1626"/>
        <w:gridCol w:w="1329"/>
        <w:gridCol w:w="1506"/>
      </w:tblGrid>
      <w:tr>
        <w:tblPrEx>
          <w:tblCellMar>
            <w:top w:w="0" w:type="dxa"/>
            <w:left w:w="0" w:type="dxa"/>
            <w:bottom w:w="0" w:type="dxa"/>
            <w:right w:w="0" w:type="dxa"/>
          </w:tblCellMar>
        </w:tblPrEx>
        <w:trPr>
          <w:trHeight w:val="90" w:hRule="atLeast"/>
          <w:jc w:val="center"/>
        </w:trPr>
        <w:tc>
          <w:tcPr>
            <w:tcW w:w="8020" w:type="dxa"/>
            <w:gridSpan w:val="4"/>
            <w:tcBorders>
              <w:top w:val="nil"/>
              <w:left w:val="nil"/>
              <w:bottom w:val="nil"/>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表5-6按行业大类分组的居民服务、修理和其他服务业</w:t>
            </w:r>
          </w:p>
        </w:tc>
      </w:tr>
      <w:tr>
        <w:tblPrEx>
          <w:tblCellMar>
            <w:top w:w="0" w:type="dxa"/>
            <w:left w:w="0" w:type="dxa"/>
            <w:bottom w:w="0" w:type="dxa"/>
            <w:right w:w="0" w:type="dxa"/>
          </w:tblCellMar>
        </w:tblPrEx>
        <w:trPr>
          <w:trHeight w:val="90" w:hRule="atLeast"/>
          <w:jc w:val="center"/>
        </w:trPr>
        <w:tc>
          <w:tcPr>
            <w:tcW w:w="8020" w:type="dxa"/>
            <w:gridSpan w:val="4"/>
            <w:tcBorders>
              <w:top w:val="nil"/>
              <w:left w:val="nil"/>
              <w:bottom w:val="single" w:color="000000" w:sz="12"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企业法人单位主要经济指标</w:t>
            </w:r>
          </w:p>
        </w:tc>
      </w:tr>
      <w:tr>
        <w:tblPrEx>
          <w:tblCellMar>
            <w:top w:w="0" w:type="dxa"/>
            <w:left w:w="0" w:type="dxa"/>
            <w:bottom w:w="0" w:type="dxa"/>
            <w:right w:w="0" w:type="dxa"/>
          </w:tblCellMar>
        </w:tblPrEx>
        <w:trPr>
          <w:trHeight w:val="90" w:hRule="atLeast"/>
          <w:jc w:val="center"/>
        </w:trPr>
        <w:tc>
          <w:tcPr>
            <w:tcW w:w="3559" w:type="dxa"/>
            <w:tcBorders>
              <w:top w:val="nil"/>
              <w:left w:val="nil"/>
              <w:bottom w:val="single" w:color="000000" w:sz="12" w:space="0"/>
              <w:right w:val="single" w:color="000000" w:sz="8" w:space="0"/>
            </w:tcBorders>
            <w:noWrap w:val="0"/>
            <w:tcMar>
              <w:top w:w="15" w:type="dxa"/>
              <w:left w:w="15" w:type="dxa"/>
              <w:right w:w="15" w:type="dxa"/>
            </w:tcMar>
            <w:vAlign w:val="center"/>
          </w:tcPr>
          <w:p>
            <w:pPr>
              <w:jc w:val="both"/>
              <w:rPr>
                <w:rFonts w:hint="eastAsia" w:ascii="宋体" w:hAnsi="宋体" w:eastAsia="宋体" w:cs="宋体"/>
                <w:b/>
                <w:i w:val="0"/>
                <w:color w:val="000000"/>
                <w:sz w:val="18"/>
                <w:szCs w:val="18"/>
                <w:u w:val="none"/>
              </w:rPr>
            </w:pPr>
          </w:p>
        </w:tc>
        <w:tc>
          <w:tcPr>
            <w:tcW w:w="1626" w:type="dxa"/>
            <w:tcBorders>
              <w:top w:val="nil"/>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资产总计</w:t>
            </w:r>
          </w:p>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（亿元）</w:t>
            </w:r>
          </w:p>
        </w:tc>
        <w:tc>
          <w:tcPr>
            <w:tcW w:w="1329" w:type="dxa"/>
            <w:tcBorders>
              <w:top w:val="nil"/>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负债合计</w:t>
            </w:r>
          </w:p>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（亿元）</w:t>
            </w:r>
          </w:p>
        </w:tc>
        <w:tc>
          <w:tcPr>
            <w:tcW w:w="1506" w:type="dxa"/>
            <w:tcBorders>
              <w:top w:val="nil"/>
              <w:left w:val="nil"/>
              <w:bottom w:val="single" w:color="000000" w:sz="12"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营业收入</w:t>
            </w:r>
          </w:p>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（亿元）</w:t>
            </w:r>
          </w:p>
        </w:tc>
      </w:tr>
      <w:tr>
        <w:tblPrEx>
          <w:tblCellMar>
            <w:top w:w="0" w:type="dxa"/>
            <w:left w:w="0" w:type="dxa"/>
            <w:bottom w:w="0" w:type="dxa"/>
            <w:right w:w="0" w:type="dxa"/>
          </w:tblCellMar>
        </w:tblPrEx>
        <w:trPr>
          <w:trHeight w:val="90" w:hRule="atLeast"/>
          <w:jc w:val="center"/>
        </w:trPr>
        <w:tc>
          <w:tcPr>
            <w:tcW w:w="3559"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合计</w:t>
            </w:r>
          </w:p>
        </w:tc>
        <w:tc>
          <w:tcPr>
            <w:tcW w:w="1626"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4.86</w:t>
            </w:r>
          </w:p>
        </w:tc>
        <w:tc>
          <w:tcPr>
            <w:tcW w:w="1329"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2.53</w:t>
            </w:r>
          </w:p>
        </w:tc>
        <w:tc>
          <w:tcPr>
            <w:tcW w:w="1506"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3.63</w:t>
            </w:r>
          </w:p>
        </w:tc>
      </w:tr>
      <w:tr>
        <w:tblPrEx>
          <w:tblCellMar>
            <w:top w:w="0" w:type="dxa"/>
            <w:left w:w="0" w:type="dxa"/>
            <w:bottom w:w="0" w:type="dxa"/>
            <w:right w:w="0" w:type="dxa"/>
          </w:tblCellMar>
        </w:tblPrEx>
        <w:trPr>
          <w:trHeight w:val="90" w:hRule="atLeast"/>
          <w:jc w:val="center"/>
        </w:trPr>
        <w:tc>
          <w:tcPr>
            <w:tcW w:w="3559"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210"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居民服务业</w:t>
            </w:r>
          </w:p>
        </w:tc>
        <w:tc>
          <w:tcPr>
            <w:tcW w:w="1626"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0.91</w:t>
            </w:r>
          </w:p>
        </w:tc>
        <w:tc>
          <w:tcPr>
            <w:tcW w:w="1329"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0.22</w:t>
            </w:r>
          </w:p>
        </w:tc>
        <w:tc>
          <w:tcPr>
            <w:tcW w:w="1506"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0.26</w:t>
            </w:r>
          </w:p>
        </w:tc>
      </w:tr>
      <w:tr>
        <w:tblPrEx>
          <w:tblCellMar>
            <w:top w:w="0" w:type="dxa"/>
            <w:left w:w="0" w:type="dxa"/>
            <w:bottom w:w="0" w:type="dxa"/>
            <w:right w:w="0" w:type="dxa"/>
          </w:tblCellMar>
        </w:tblPrEx>
        <w:trPr>
          <w:trHeight w:val="90" w:hRule="atLeast"/>
          <w:jc w:val="center"/>
        </w:trPr>
        <w:tc>
          <w:tcPr>
            <w:tcW w:w="3559"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ind w:firstLine="210"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机动车、电子产品和日用产品修理业</w:t>
            </w:r>
          </w:p>
        </w:tc>
        <w:tc>
          <w:tcPr>
            <w:tcW w:w="1626"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2.78</w:t>
            </w:r>
          </w:p>
        </w:tc>
        <w:tc>
          <w:tcPr>
            <w:tcW w:w="1329"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1.73</w:t>
            </w:r>
          </w:p>
        </w:tc>
        <w:tc>
          <w:tcPr>
            <w:tcW w:w="1506"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1.99</w:t>
            </w:r>
          </w:p>
        </w:tc>
      </w:tr>
      <w:tr>
        <w:tblPrEx>
          <w:tblCellMar>
            <w:top w:w="0" w:type="dxa"/>
            <w:left w:w="0" w:type="dxa"/>
            <w:bottom w:w="0" w:type="dxa"/>
            <w:right w:w="0" w:type="dxa"/>
          </w:tblCellMar>
        </w:tblPrEx>
        <w:trPr>
          <w:trHeight w:val="90" w:hRule="atLeast"/>
          <w:jc w:val="center"/>
        </w:trPr>
        <w:tc>
          <w:tcPr>
            <w:tcW w:w="3559" w:type="dxa"/>
            <w:tcBorders>
              <w:top w:val="nil"/>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ind w:firstLine="210" w:firstLineChars="10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其他服务业</w:t>
            </w:r>
          </w:p>
        </w:tc>
        <w:tc>
          <w:tcPr>
            <w:tcW w:w="1626" w:type="dxa"/>
            <w:tcBorders>
              <w:top w:val="nil"/>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1.17</w:t>
            </w:r>
          </w:p>
        </w:tc>
        <w:tc>
          <w:tcPr>
            <w:tcW w:w="1329" w:type="dxa"/>
            <w:tcBorders>
              <w:top w:val="nil"/>
              <w:left w:val="nil"/>
              <w:bottom w:val="single" w:color="000000" w:sz="12" w:space="0"/>
              <w:right w:val="single" w:color="000000" w:sz="8"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0.58</w:t>
            </w:r>
          </w:p>
        </w:tc>
        <w:tc>
          <w:tcPr>
            <w:tcW w:w="1506" w:type="dxa"/>
            <w:tcBorders>
              <w:top w:val="nil"/>
              <w:left w:val="nil"/>
              <w:bottom w:val="single" w:color="000000" w:sz="12" w:space="0"/>
              <w:right w:val="nil"/>
            </w:tcBorders>
            <w:noWrap w:val="0"/>
            <w:tcMar>
              <w:top w:w="15" w:type="dxa"/>
              <w:left w:w="15" w:type="dxa"/>
              <w:right w:w="15" w:type="dxa"/>
            </w:tcMar>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1.38</w:t>
            </w:r>
          </w:p>
        </w:tc>
      </w:tr>
    </w:tbl>
    <w:p>
      <w:pPr>
        <w:spacing w:line="600" w:lineRule="exact"/>
        <w:ind w:firstLine="640" w:firstLineChars="200"/>
        <w:outlineLvl w:val="1"/>
        <w:rPr>
          <w:rFonts w:ascii="黑体" w:hAnsi="黑体" w:eastAsia="黑体"/>
          <w:kern w:val="0"/>
          <w:sz w:val="32"/>
          <w:szCs w:val="32"/>
        </w:rPr>
      </w:pPr>
      <w:r>
        <w:rPr>
          <w:rFonts w:hint="eastAsia" w:ascii="黑体" w:hAnsi="黑体" w:eastAsia="黑体"/>
          <w:kern w:val="0"/>
          <w:sz w:val="32"/>
          <w:szCs w:val="32"/>
        </w:rPr>
        <w:t>四</w:t>
      </w:r>
      <w:r>
        <w:rPr>
          <w:rFonts w:ascii="黑体" w:hAnsi="黑体" w:eastAsia="黑体"/>
          <w:kern w:val="0"/>
          <w:sz w:val="32"/>
          <w:szCs w:val="32"/>
        </w:rPr>
        <w:t>、</w:t>
      </w:r>
      <w:r>
        <w:rPr>
          <w:rFonts w:hint="eastAsia" w:ascii="黑体" w:hAnsi="黑体" w:eastAsia="黑体"/>
          <w:kern w:val="0"/>
          <w:sz w:val="32"/>
          <w:szCs w:val="32"/>
        </w:rPr>
        <w:t>教育</w:t>
      </w:r>
    </w:p>
    <w:p>
      <w:pPr>
        <w:spacing w:line="600" w:lineRule="exact"/>
        <w:ind w:firstLine="640" w:firstLineChars="200"/>
        <w:outlineLvl w:val="2"/>
        <w:rPr>
          <w:rFonts w:ascii="楷体_GB2312" w:hAnsi="楷体" w:eastAsia="楷体_GB2312" w:cs="宋体"/>
          <w:kern w:val="0"/>
          <w:sz w:val="32"/>
          <w:szCs w:val="32"/>
        </w:rPr>
      </w:pPr>
      <w:r>
        <w:rPr>
          <w:rFonts w:hint="eastAsia" w:ascii="楷体_GB2312" w:hAnsi="楷体" w:eastAsia="楷体_GB2312" w:cs="宋体"/>
          <w:kern w:val="0"/>
          <w:sz w:val="32"/>
          <w:szCs w:val="32"/>
        </w:rPr>
        <w:t>（一）法人单位数和从业人员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2018年末，全区共有教育法人单位118个，从业人员4269人，分别比2013年末增长15</w:t>
      </w:r>
      <w:r>
        <w:rPr>
          <w:rFonts w:hint="eastAsia" w:ascii="Times New Roman" w:hAnsi="Times New Roman" w:eastAsia="仿宋_GB2312" w:cs="Times New Roman"/>
          <w:sz w:val="32"/>
          <w:szCs w:val="32"/>
          <w:lang w:val="en-US" w:eastAsia="zh-CN"/>
        </w:rPr>
        <w:t>6.5</w:t>
      </w:r>
      <w:r>
        <w:rPr>
          <w:rFonts w:hint="eastAsia" w:ascii="Times New Roman" w:hAnsi="Times New Roman" w:eastAsia="仿宋_GB2312" w:cs="Times New Roman"/>
          <w:sz w:val="32"/>
          <w:szCs w:val="32"/>
        </w:rPr>
        <w:t>%和128.</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%。其中，行政事业及非企业法人单位64个，从业人员3783人，分别比2013年末增长100.0%和173.1%。</w:t>
      </w:r>
    </w:p>
    <w:p>
      <w:pPr>
        <w:spacing w:line="600" w:lineRule="exact"/>
        <w:ind w:firstLine="640" w:firstLineChars="200"/>
        <w:outlineLvl w:val="2"/>
        <w:rPr>
          <w:rFonts w:ascii="楷体_GB2312" w:hAnsi="楷体" w:eastAsia="楷体_GB2312" w:cs="宋体"/>
          <w:kern w:val="0"/>
          <w:sz w:val="32"/>
          <w:szCs w:val="32"/>
        </w:rPr>
      </w:pPr>
      <w:r>
        <w:rPr>
          <w:rFonts w:hint="eastAsia" w:ascii="楷体_GB2312" w:hAnsi="楷体" w:eastAsia="楷体_GB2312" w:cs="宋体"/>
          <w:kern w:val="0"/>
          <w:sz w:val="32"/>
          <w:szCs w:val="32"/>
        </w:rPr>
        <w:t>（二）主要经济</w:t>
      </w:r>
      <w:r>
        <w:rPr>
          <w:rFonts w:ascii="楷体_GB2312" w:hAnsi="楷体" w:eastAsia="楷体_GB2312" w:cs="宋体"/>
          <w:kern w:val="0"/>
          <w:sz w:val="32"/>
          <w:szCs w:val="32"/>
        </w:rPr>
        <w:t>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2018年末，教育企业法人单位资产总计9.98亿元，比2013年增长547.5%。负债合计3.39亿元。全年实现营业收入2.28亿元。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行政事业及非企业法人单位年末资产37.94亿元。本年支出（费用）合计11.01亿元。</w:t>
      </w:r>
    </w:p>
    <w:p>
      <w:pPr>
        <w:spacing w:line="600" w:lineRule="exact"/>
        <w:ind w:firstLine="640" w:firstLineChars="200"/>
        <w:outlineLvl w:val="1"/>
        <w:rPr>
          <w:rFonts w:hint="eastAsia" w:ascii="黑体" w:hAnsi="黑体" w:eastAsia="黑体"/>
          <w:kern w:val="0"/>
          <w:sz w:val="32"/>
          <w:szCs w:val="32"/>
        </w:rPr>
      </w:pPr>
      <w:r>
        <w:rPr>
          <w:rFonts w:hint="eastAsia" w:ascii="黑体" w:hAnsi="黑体" w:eastAsia="黑体"/>
          <w:kern w:val="0"/>
          <w:sz w:val="32"/>
          <w:szCs w:val="32"/>
        </w:rPr>
        <w:t>五</w:t>
      </w:r>
      <w:r>
        <w:rPr>
          <w:rFonts w:ascii="黑体" w:hAnsi="黑体" w:eastAsia="黑体"/>
          <w:kern w:val="0"/>
          <w:sz w:val="32"/>
          <w:szCs w:val="32"/>
        </w:rPr>
        <w:t>、</w:t>
      </w:r>
      <w:r>
        <w:rPr>
          <w:rFonts w:hint="eastAsia" w:ascii="黑体" w:hAnsi="黑体" w:eastAsia="黑体"/>
          <w:kern w:val="0"/>
          <w:sz w:val="32"/>
          <w:szCs w:val="32"/>
        </w:rPr>
        <w:t>卫生</w:t>
      </w:r>
      <w:r>
        <w:rPr>
          <w:rFonts w:ascii="黑体" w:hAnsi="黑体" w:eastAsia="黑体"/>
          <w:kern w:val="0"/>
          <w:sz w:val="32"/>
          <w:szCs w:val="32"/>
        </w:rPr>
        <w:t>和社会</w:t>
      </w:r>
      <w:r>
        <w:rPr>
          <w:rFonts w:hint="eastAsia" w:ascii="黑体" w:hAnsi="黑体" w:eastAsia="黑体"/>
          <w:kern w:val="0"/>
          <w:sz w:val="32"/>
          <w:szCs w:val="32"/>
        </w:rPr>
        <w:t>工作</w:t>
      </w:r>
    </w:p>
    <w:p>
      <w:pPr>
        <w:spacing w:line="600" w:lineRule="exact"/>
        <w:ind w:firstLine="640" w:firstLineChars="200"/>
        <w:outlineLvl w:val="2"/>
        <w:rPr>
          <w:rFonts w:ascii="楷体_GB2312" w:hAnsi="楷体" w:eastAsia="楷体_GB2312" w:cs="宋体"/>
          <w:kern w:val="0"/>
          <w:sz w:val="32"/>
          <w:szCs w:val="32"/>
        </w:rPr>
      </w:pPr>
      <w:r>
        <w:rPr>
          <w:rFonts w:hint="eastAsia" w:ascii="楷体_GB2312" w:hAnsi="楷体" w:eastAsia="楷体_GB2312" w:cs="宋体"/>
          <w:kern w:val="0"/>
          <w:sz w:val="32"/>
          <w:szCs w:val="32"/>
        </w:rPr>
        <w:t>（一）法人单位数和从业人员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2018年末，全区共有卫生和社会工作法人单位37个，从业人员1433人，分别比2013年末增长68.</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%和42.7%。其中，行政事业及非企业法人单位21个，比2013年末增长4</w:t>
      </w:r>
      <w:r>
        <w:rPr>
          <w:rFonts w:hint="eastAsia" w:ascii="Times New Roman" w:hAnsi="Times New Roman" w:eastAsia="仿宋_GB2312" w:cs="Times New Roman"/>
          <w:sz w:val="32"/>
          <w:szCs w:val="32"/>
          <w:lang w:val="en-US" w:eastAsia="zh-CN"/>
        </w:rPr>
        <w:t>0.0</w:t>
      </w:r>
      <w:r>
        <w:rPr>
          <w:rFonts w:hint="eastAsia" w:ascii="Times New Roman" w:hAnsi="Times New Roman" w:eastAsia="仿宋_GB2312" w:cs="Times New Roman"/>
          <w:sz w:val="32"/>
          <w:szCs w:val="32"/>
        </w:rPr>
        <w:t>%，从业人员648人，增长22.5%。</w:t>
      </w:r>
    </w:p>
    <w:p>
      <w:pPr>
        <w:spacing w:line="600" w:lineRule="exact"/>
        <w:ind w:firstLine="640" w:firstLineChars="200"/>
        <w:outlineLvl w:val="2"/>
        <w:rPr>
          <w:rFonts w:ascii="楷体_GB2312" w:hAnsi="楷体" w:eastAsia="楷体_GB2312" w:cs="宋体"/>
          <w:kern w:val="0"/>
          <w:sz w:val="32"/>
          <w:szCs w:val="32"/>
        </w:rPr>
      </w:pPr>
      <w:r>
        <w:rPr>
          <w:rFonts w:hint="eastAsia" w:ascii="楷体_GB2312" w:hAnsi="楷体" w:eastAsia="楷体_GB2312" w:cs="宋体"/>
          <w:kern w:val="0"/>
          <w:sz w:val="32"/>
          <w:szCs w:val="32"/>
        </w:rPr>
        <w:t>（二）主要经济</w:t>
      </w:r>
      <w:r>
        <w:rPr>
          <w:rFonts w:ascii="楷体_GB2312" w:hAnsi="楷体" w:eastAsia="楷体_GB2312" w:cs="宋体"/>
          <w:kern w:val="0"/>
          <w:sz w:val="32"/>
          <w:szCs w:val="32"/>
        </w:rPr>
        <w:t>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2018年末，卫生和社会工作企业法人单位资产总计3.26亿元，比2013年增长111.</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%。负债合计1.98亿元。全年实现营业收入3.63亿元。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行政事业及非企业法人单位年末资产1.32亿元。本年支出（费用）合计1.35亿元。</w:t>
      </w:r>
    </w:p>
    <w:p>
      <w:pPr>
        <w:spacing w:line="600" w:lineRule="exact"/>
        <w:ind w:firstLine="640" w:firstLineChars="200"/>
        <w:outlineLvl w:val="1"/>
        <w:rPr>
          <w:rFonts w:ascii="黑体" w:hAnsi="黑体" w:eastAsia="黑体"/>
          <w:kern w:val="0"/>
          <w:sz w:val="32"/>
          <w:szCs w:val="32"/>
        </w:rPr>
      </w:pPr>
      <w:r>
        <w:rPr>
          <w:rFonts w:hint="eastAsia" w:ascii="黑体" w:hAnsi="黑体" w:eastAsia="黑体"/>
          <w:kern w:val="0"/>
          <w:sz w:val="32"/>
          <w:szCs w:val="32"/>
        </w:rPr>
        <w:t>六</w:t>
      </w:r>
      <w:r>
        <w:rPr>
          <w:rFonts w:ascii="黑体" w:hAnsi="黑体" w:eastAsia="黑体"/>
          <w:kern w:val="0"/>
          <w:sz w:val="32"/>
          <w:szCs w:val="32"/>
        </w:rPr>
        <w:t>、</w:t>
      </w:r>
      <w:r>
        <w:rPr>
          <w:rFonts w:hint="eastAsia" w:ascii="黑体" w:hAnsi="黑体" w:eastAsia="黑体"/>
          <w:kern w:val="0"/>
          <w:sz w:val="32"/>
          <w:szCs w:val="32"/>
        </w:rPr>
        <w:t>文化</w:t>
      </w:r>
      <w:r>
        <w:rPr>
          <w:rFonts w:ascii="黑体" w:hAnsi="黑体" w:eastAsia="黑体"/>
          <w:kern w:val="0"/>
          <w:sz w:val="32"/>
          <w:szCs w:val="32"/>
        </w:rPr>
        <w:t>、体育和娱乐业</w:t>
      </w:r>
    </w:p>
    <w:p>
      <w:pPr>
        <w:spacing w:line="600" w:lineRule="exact"/>
        <w:ind w:firstLine="640" w:firstLineChars="200"/>
        <w:outlineLvl w:val="2"/>
        <w:rPr>
          <w:rFonts w:ascii="楷体_GB2312" w:hAnsi="楷体" w:eastAsia="楷体_GB2312" w:cs="宋体"/>
          <w:kern w:val="0"/>
          <w:sz w:val="32"/>
          <w:szCs w:val="32"/>
        </w:rPr>
      </w:pPr>
      <w:r>
        <w:rPr>
          <w:rFonts w:hint="eastAsia" w:ascii="楷体_GB2312" w:hAnsi="楷体" w:eastAsia="楷体_GB2312" w:cs="宋体"/>
          <w:kern w:val="0"/>
          <w:sz w:val="32"/>
          <w:szCs w:val="32"/>
        </w:rPr>
        <w:t>（一）法人单位数和从业人员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2018年末，全区共有文化、体育和娱乐业法人单位232个，从业人员2085人，分别比2013年末增长1060</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rPr>
        <w:t>%和66.1%。其中，企业法人单位230</w:t>
      </w:r>
      <w:r>
        <w:rPr>
          <w:rFonts w:hint="eastAsia" w:ascii="Times New Roman" w:hAnsi="Times New Roman" w:eastAsia="仿宋_GB2312" w:cs="Times New Roman"/>
          <w:sz w:val="32"/>
          <w:szCs w:val="32"/>
          <w:lang w:eastAsia="zh-CN"/>
        </w:rPr>
        <w:t>个</w:t>
      </w:r>
      <w:r>
        <w:rPr>
          <w:rFonts w:hint="eastAsia" w:ascii="Times New Roman" w:hAnsi="Times New Roman" w:eastAsia="仿宋_GB2312" w:cs="Times New Roman"/>
          <w:sz w:val="32"/>
          <w:szCs w:val="32"/>
        </w:rPr>
        <w:t>，从业人员20</w:t>
      </w:r>
      <w:r>
        <w:rPr>
          <w:rFonts w:hint="eastAsia" w:ascii="Times New Roman" w:hAnsi="Times New Roman" w:eastAsia="仿宋_GB2312" w:cs="Times New Roman"/>
          <w:sz w:val="32"/>
          <w:szCs w:val="32"/>
          <w:lang w:val="en-US" w:eastAsia="zh-CN"/>
        </w:rPr>
        <w:t>80</w:t>
      </w:r>
      <w:r>
        <w:rPr>
          <w:rFonts w:hint="eastAsia" w:ascii="Times New Roman" w:hAnsi="Times New Roman" w:eastAsia="仿宋_GB2312" w:cs="Times New Roman"/>
          <w:sz w:val="32"/>
          <w:szCs w:val="32"/>
        </w:rPr>
        <w:t>人</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rPr>
        <w:t>行政事业及非企业法人单位</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个，比2013年末</w:t>
      </w:r>
      <w:r>
        <w:rPr>
          <w:rFonts w:hint="eastAsia" w:ascii="Times New Roman" w:hAnsi="Times New Roman" w:eastAsia="仿宋_GB2312" w:cs="Times New Roman"/>
          <w:sz w:val="32"/>
          <w:szCs w:val="32"/>
          <w:lang w:eastAsia="zh-CN"/>
        </w:rPr>
        <w:t>下降</w:t>
      </w:r>
      <w:r>
        <w:rPr>
          <w:rFonts w:hint="eastAsia" w:ascii="Times New Roman" w:hAnsi="Times New Roman" w:eastAsia="仿宋_GB2312" w:cs="Times New Roman"/>
          <w:sz w:val="32"/>
          <w:szCs w:val="32"/>
          <w:lang w:val="en-US" w:eastAsia="zh-CN"/>
        </w:rPr>
        <w:t>33.3</w:t>
      </w:r>
      <w:r>
        <w:rPr>
          <w:rFonts w:hint="eastAsia" w:ascii="Times New Roman" w:hAnsi="Times New Roman" w:eastAsia="仿宋_GB2312" w:cs="Times New Roman"/>
          <w:sz w:val="32"/>
          <w:szCs w:val="32"/>
        </w:rPr>
        <w:t>%，从业人员</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人，</w:t>
      </w:r>
      <w:r>
        <w:rPr>
          <w:rFonts w:hint="eastAsia" w:ascii="Times New Roman" w:hAnsi="Times New Roman" w:eastAsia="仿宋_GB2312" w:cs="Times New Roman"/>
          <w:sz w:val="32"/>
          <w:szCs w:val="32"/>
          <w:lang w:eastAsia="zh-CN"/>
        </w:rPr>
        <w:t>下降</w:t>
      </w:r>
      <w:r>
        <w:rPr>
          <w:rFonts w:hint="eastAsia" w:ascii="Times New Roman" w:hAnsi="Times New Roman" w:eastAsia="仿宋_GB2312" w:cs="Times New Roman"/>
          <w:sz w:val="32"/>
          <w:szCs w:val="32"/>
          <w:lang w:val="en-US" w:eastAsia="zh-CN"/>
        </w:rPr>
        <w:t>75</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rPr>
        <w:t>%。</w:t>
      </w:r>
    </w:p>
    <w:p>
      <w:pPr>
        <w:spacing w:line="600" w:lineRule="exact"/>
        <w:ind w:firstLine="640" w:firstLineChars="200"/>
        <w:outlineLvl w:val="2"/>
        <w:rPr>
          <w:rFonts w:ascii="楷体_GB2312" w:hAnsi="楷体" w:eastAsia="楷体_GB2312" w:cs="宋体"/>
          <w:kern w:val="0"/>
          <w:sz w:val="32"/>
          <w:szCs w:val="32"/>
        </w:rPr>
      </w:pPr>
      <w:r>
        <w:rPr>
          <w:rFonts w:hint="eastAsia" w:ascii="楷体_GB2312" w:hAnsi="楷体" w:eastAsia="楷体_GB2312" w:cs="宋体"/>
          <w:kern w:val="0"/>
          <w:sz w:val="32"/>
          <w:szCs w:val="32"/>
        </w:rPr>
        <w:t>（二）主要经济</w:t>
      </w:r>
      <w:r>
        <w:rPr>
          <w:rFonts w:ascii="楷体_GB2312" w:hAnsi="楷体" w:eastAsia="楷体_GB2312" w:cs="宋体"/>
          <w:kern w:val="0"/>
          <w:sz w:val="32"/>
          <w:szCs w:val="32"/>
        </w:rPr>
        <w:t>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2018年末，文化、体育和娱乐业企业法人单位资产总计80.06亿元，比2013年增长759.</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%。负债合计37.47亿元。全年实现营业收入9.15亿元。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行政事业及非企业法人单位年末资产568800元，本年支出（费用）合计0元。</w:t>
      </w:r>
    </w:p>
    <w:p>
      <w:pPr>
        <w:spacing w:line="600" w:lineRule="exact"/>
        <w:ind w:firstLine="640" w:firstLineChars="200"/>
        <w:outlineLvl w:val="1"/>
        <w:rPr>
          <w:rFonts w:ascii="黑体" w:hAnsi="黑体" w:eastAsia="黑体"/>
          <w:kern w:val="0"/>
          <w:sz w:val="32"/>
          <w:szCs w:val="32"/>
        </w:rPr>
      </w:pPr>
      <w:r>
        <w:rPr>
          <w:rFonts w:hint="eastAsia" w:ascii="黑体" w:hAnsi="黑体" w:eastAsia="黑体"/>
          <w:kern w:val="0"/>
          <w:sz w:val="32"/>
          <w:szCs w:val="32"/>
        </w:rPr>
        <w:t>七</w:t>
      </w:r>
      <w:r>
        <w:rPr>
          <w:rFonts w:ascii="黑体" w:hAnsi="黑体" w:eastAsia="黑体"/>
          <w:kern w:val="0"/>
          <w:sz w:val="32"/>
          <w:szCs w:val="32"/>
        </w:rPr>
        <w:t>、</w:t>
      </w:r>
      <w:r>
        <w:rPr>
          <w:rFonts w:hint="eastAsia" w:ascii="黑体" w:hAnsi="黑体" w:eastAsia="黑体"/>
          <w:kern w:val="0"/>
          <w:sz w:val="32"/>
          <w:szCs w:val="32"/>
        </w:rPr>
        <w:t>公共管理</w:t>
      </w:r>
      <w:r>
        <w:rPr>
          <w:rFonts w:ascii="黑体" w:hAnsi="黑体" w:eastAsia="黑体"/>
          <w:kern w:val="0"/>
          <w:sz w:val="32"/>
          <w:szCs w:val="32"/>
        </w:rPr>
        <w:t>、社会保障和社会组织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2018年末，全区共有公共管理、社会保障和社会组织法人单位98个，比2013年末增长78.</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%，从业人员2684人，</w:t>
      </w:r>
      <w:r>
        <w:rPr>
          <w:rFonts w:hint="eastAsia" w:ascii="Times New Roman" w:hAnsi="Times New Roman" w:eastAsia="仿宋_GB2312" w:cs="Times New Roman"/>
          <w:sz w:val="32"/>
          <w:szCs w:val="32"/>
          <w:lang w:eastAsia="zh-CN"/>
        </w:rPr>
        <w:t>增长</w:t>
      </w:r>
      <w:r>
        <w:rPr>
          <w:rFonts w:hint="eastAsia" w:ascii="Times New Roman" w:hAnsi="Times New Roman" w:eastAsia="仿宋_GB2312" w:cs="Times New Roman"/>
          <w:sz w:val="32"/>
          <w:szCs w:val="32"/>
        </w:rPr>
        <w:t>151.</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%。行政事业及非企业法人单位的本年支出（费用）合计22.74亿元。</w:t>
      </w:r>
    </w:p>
    <w:p>
      <w:pPr>
        <w:pStyle w:val="2"/>
        <w:rPr>
          <w:rFonts w:hint="eastAsia" w:ascii="Times New Roman" w:hAnsi="Times New Roman" w:eastAsia="仿宋_GB2312" w:cs="Times New Roman"/>
          <w:sz w:val="32"/>
          <w:szCs w:val="32"/>
        </w:rPr>
      </w:pPr>
    </w:p>
    <w:p>
      <w:pPr>
        <w:pStyle w:val="2"/>
        <w:rPr>
          <w:rFonts w:hint="eastAsia" w:ascii="Times New Roman" w:hAnsi="Times New Roman" w:eastAsia="仿宋_GB2312" w:cs="Times New Roman"/>
          <w:sz w:val="32"/>
          <w:szCs w:val="32"/>
        </w:rPr>
      </w:pPr>
      <w:bookmarkStart w:id="0" w:name="_GoBack"/>
      <w:bookmarkEnd w:id="0"/>
    </w:p>
    <w:p>
      <w:pPr>
        <w:widowControl/>
        <w:spacing w:line="600" w:lineRule="exact"/>
        <w:ind w:firstLine="560" w:firstLineChars="200"/>
        <w:rPr>
          <w:rFonts w:ascii="黑体" w:hAnsi="黑体" w:eastAsia="黑体" w:cs="宋体"/>
          <w:kern w:val="0"/>
          <w:sz w:val="28"/>
          <w:szCs w:val="28"/>
        </w:rPr>
      </w:pPr>
      <w:r>
        <w:rPr>
          <w:rFonts w:hint="eastAsia" w:ascii="黑体" w:hAnsi="黑体" w:eastAsia="黑体" w:cs="宋体"/>
          <w:kern w:val="0"/>
          <w:sz w:val="28"/>
          <w:szCs w:val="28"/>
        </w:rPr>
        <w:t>注释：</w:t>
      </w:r>
    </w:p>
    <w:p>
      <w:pPr>
        <w:widowControl/>
        <w:spacing w:line="600" w:lineRule="exact"/>
        <w:ind w:firstLine="560" w:firstLineChars="200"/>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[1]本公报</w:t>
      </w:r>
      <w:r>
        <w:rPr>
          <w:rFonts w:ascii="仿宋_GB2312" w:hAnsi="宋体" w:eastAsia="仿宋_GB2312" w:cs="宋体"/>
          <w:kern w:val="0"/>
          <w:sz w:val="28"/>
          <w:szCs w:val="28"/>
        </w:rPr>
        <w:t>中的企业法人单位，</w:t>
      </w:r>
      <w:r>
        <w:rPr>
          <w:rFonts w:hint="eastAsia" w:ascii="仿宋_GB2312" w:hAnsi="宋体" w:eastAsia="仿宋_GB2312" w:cs="宋体"/>
          <w:kern w:val="0"/>
          <w:sz w:val="28"/>
          <w:szCs w:val="28"/>
        </w:rPr>
        <w:t>包括机构类型为企业的法人单位，以及执行</w:t>
      </w:r>
      <w:r>
        <w:rPr>
          <w:rFonts w:ascii="仿宋_GB2312" w:hAnsi="宋体" w:eastAsia="仿宋_GB2312" w:cs="宋体"/>
          <w:kern w:val="0"/>
          <w:sz w:val="28"/>
          <w:szCs w:val="28"/>
        </w:rPr>
        <w:t>企业</w:t>
      </w:r>
      <w:r>
        <w:rPr>
          <w:rFonts w:hint="eastAsia" w:ascii="仿宋_GB2312" w:hAnsi="宋体" w:eastAsia="仿宋_GB2312" w:cs="宋体"/>
          <w:kern w:val="0"/>
          <w:sz w:val="28"/>
          <w:szCs w:val="28"/>
        </w:rPr>
        <w:t>会计</w:t>
      </w:r>
      <w:r>
        <w:rPr>
          <w:rFonts w:ascii="仿宋_GB2312" w:hAnsi="宋体" w:eastAsia="仿宋_GB2312" w:cs="宋体"/>
          <w:kern w:val="0"/>
          <w:sz w:val="28"/>
          <w:szCs w:val="28"/>
        </w:rPr>
        <w:t>制度的事业法人单位、民办非企业法人单位和</w:t>
      </w:r>
      <w:r>
        <w:rPr>
          <w:rFonts w:hint="eastAsia" w:ascii="仿宋_GB2312" w:hAnsi="宋体" w:eastAsia="仿宋_GB2312" w:cs="宋体"/>
          <w:kern w:val="0"/>
          <w:sz w:val="28"/>
          <w:szCs w:val="28"/>
        </w:rPr>
        <w:t>基金会，</w:t>
      </w:r>
      <w:r>
        <w:rPr>
          <w:rFonts w:ascii="仿宋_GB2312" w:hAnsi="宋体" w:eastAsia="仿宋_GB2312" w:cs="宋体"/>
          <w:kern w:val="0"/>
          <w:sz w:val="28"/>
          <w:szCs w:val="28"/>
        </w:rPr>
        <w:t>农民专业合作社，农村集体经济组织和除宗教活动场所以外的</w:t>
      </w:r>
      <w:r>
        <w:rPr>
          <w:rFonts w:hint="eastAsia" w:ascii="仿宋_GB2312" w:hAnsi="宋体" w:eastAsia="仿宋_GB2312" w:cs="宋体"/>
          <w:kern w:val="0"/>
          <w:sz w:val="28"/>
          <w:szCs w:val="28"/>
        </w:rPr>
        <w:t>机构</w:t>
      </w:r>
      <w:r>
        <w:rPr>
          <w:rFonts w:ascii="仿宋_GB2312" w:hAnsi="宋体" w:eastAsia="仿宋_GB2312" w:cs="宋体"/>
          <w:kern w:val="0"/>
          <w:sz w:val="28"/>
          <w:szCs w:val="28"/>
        </w:rPr>
        <w:t>类型为其他组织机构</w:t>
      </w:r>
      <w:r>
        <w:rPr>
          <w:rFonts w:hint="eastAsia" w:ascii="仿宋_GB2312" w:hAnsi="宋体" w:eastAsia="仿宋_GB2312" w:cs="宋体"/>
          <w:kern w:val="0"/>
          <w:sz w:val="28"/>
          <w:szCs w:val="28"/>
        </w:rPr>
        <w:t>的</w:t>
      </w:r>
      <w:r>
        <w:rPr>
          <w:rFonts w:ascii="仿宋_GB2312" w:hAnsi="宋体" w:eastAsia="仿宋_GB2312" w:cs="宋体"/>
          <w:kern w:val="0"/>
          <w:sz w:val="28"/>
          <w:szCs w:val="28"/>
        </w:rPr>
        <w:t>法人单位。</w:t>
      </w:r>
    </w:p>
    <w:p>
      <w:pPr>
        <w:widowControl/>
        <w:spacing w:line="60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w:t>
      </w:r>
      <w:r>
        <w:rPr>
          <w:rFonts w:ascii="仿宋_GB2312" w:hAnsi="宋体" w:eastAsia="仿宋_GB2312" w:cs="宋体"/>
          <w:kern w:val="0"/>
          <w:sz w:val="28"/>
          <w:szCs w:val="28"/>
        </w:rPr>
        <w:t>2</w:t>
      </w:r>
      <w:r>
        <w:rPr>
          <w:rFonts w:hint="eastAsia" w:ascii="仿宋_GB2312" w:hAnsi="宋体" w:eastAsia="仿宋_GB2312" w:cs="宋体"/>
          <w:kern w:val="0"/>
          <w:sz w:val="28"/>
          <w:szCs w:val="28"/>
        </w:rPr>
        <w:t>]本公报</w:t>
      </w:r>
      <w:r>
        <w:rPr>
          <w:rFonts w:ascii="仿宋_GB2312" w:hAnsi="宋体" w:eastAsia="仿宋_GB2312" w:cs="宋体"/>
          <w:kern w:val="0"/>
          <w:sz w:val="28"/>
          <w:szCs w:val="28"/>
        </w:rPr>
        <w:t>中的</w:t>
      </w:r>
      <w:r>
        <w:rPr>
          <w:rFonts w:hint="eastAsia" w:ascii="仿宋_GB2312" w:hAnsi="宋体" w:eastAsia="仿宋_GB2312" w:cs="宋体"/>
          <w:kern w:val="0"/>
          <w:sz w:val="28"/>
          <w:szCs w:val="28"/>
        </w:rPr>
        <w:t>行政事业</w:t>
      </w:r>
      <w:r>
        <w:rPr>
          <w:rFonts w:ascii="仿宋_GB2312" w:hAnsi="宋体" w:eastAsia="仿宋_GB2312" w:cs="宋体"/>
          <w:kern w:val="0"/>
          <w:sz w:val="28"/>
          <w:szCs w:val="28"/>
        </w:rPr>
        <w:t>及非企业法人单位，</w:t>
      </w:r>
      <w:r>
        <w:rPr>
          <w:rFonts w:hint="eastAsia" w:ascii="仿宋_GB2312" w:hAnsi="宋体" w:eastAsia="仿宋_GB2312" w:cs="宋体"/>
          <w:kern w:val="0"/>
          <w:sz w:val="28"/>
          <w:szCs w:val="28"/>
        </w:rPr>
        <w:t>不包括执行</w:t>
      </w:r>
      <w:r>
        <w:rPr>
          <w:rFonts w:ascii="仿宋_GB2312" w:hAnsi="宋体" w:eastAsia="仿宋_GB2312" w:cs="宋体"/>
          <w:kern w:val="0"/>
          <w:sz w:val="28"/>
          <w:szCs w:val="28"/>
        </w:rPr>
        <w:t>企业</w:t>
      </w:r>
      <w:r>
        <w:rPr>
          <w:rFonts w:hint="eastAsia" w:ascii="仿宋_GB2312" w:hAnsi="宋体" w:eastAsia="仿宋_GB2312" w:cs="宋体"/>
          <w:kern w:val="0"/>
          <w:sz w:val="28"/>
          <w:szCs w:val="28"/>
        </w:rPr>
        <w:t>会计</w:t>
      </w:r>
      <w:r>
        <w:rPr>
          <w:rFonts w:ascii="仿宋_GB2312" w:hAnsi="宋体" w:eastAsia="仿宋_GB2312" w:cs="宋体"/>
          <w:kern w:val="0"/>
          <w:sz w:val="28"/>
          <w:szCs w:val="28"/>
        </w:rPr>
        <w:t>制度的事业法人单位、民办非企业法人单位和</w:t>
      </w:r>
      <w:r>
        <w:rPr>
          <w:rFonts w:hint="eastAsia" w:ascii="仿宋_GB2312" w:hAnsi="宋体" w:eastAsia="仿宋_GB2312" w:cs="宋体"/>
          <w:kern w:val="0"/>
          <w:sz w:val="28"/>
          <w:szCs w:val="28"/>
        </w:rPr>
        <w:t>基金会，</w:t>
      </w:r>
      <w:r>
        <w:rPr>
          <w:rFonts w:ascii="仿宋_GB2312" w:hAnsi="宋体" w:eastAsia="仿宋_GB2312" w:cs="宋体"/>
          <w:kern w:val="0"/>
          <w:sz w:val="28"/>
          <w:szCs w:val="28"/>
        </w:rPr>
        <w:t>农民专业合作社，农村集体经济组织和除宗教活动场所以外的</w:t>
      </w:r>
      <w:r>
        <w:rPr>
          <w:rFonts w:hint="eastAsia" w:ascii="仿宋_GB2312" w:hAnsi="宋体" w:eastAsia="仿宋_GB2312" w:cs="宋体"/>
          <w:kern w:val="0"/>
          <w:sz w:val="28"/>
          <w:szCs w:val="28"/>
        </w:rPr>
        <w:t>机构</w:t>
      </w:r>
      <w:r>
        <w:rPr>
          <w:rFonts w:ascii="仿宋_GB2312" w:hAnsi="宋体" w:eastAsia="仿宋_GB2312" w:cs="宋体"/>
          <w:kern w:val="0"/>
          <w:sz w:val="28"/>
          <w:szCs w:val="28"/>
        </w:rPr>
        <w:t>类型为其他组织机构</w:t>
      </w:r>
      <w:r>
        <w:rPr>
          <w:rFonts w:hint="eastAsia" w:ascii="仿宋_GB2312" w:hAnsi="宋体" w:eastAsia="仿宋_GB2312" w:cs="宋体"/>
          <w:kern w:val="0"/>
          <w:sz w:val="28"/>
          <w:szCs w:val="28"/>
        </w:rPr>
        <w:t>的</w:t>
      </w:r>
      <w:r>
        <w:rPr>
          <w:rFonts w:ascii="仿宋_GB2312" w:hAnsi="宋体" w:eastAsia="仿宋_GB2312" w:cs="宋体"/>
          <w:kern w:val="0"/>
          <w:sz w:val="28"/>
          <w:szCs w:val="28"/>
        </w:rPr>
        <w:t>法人单位。</w:t>
      </w:r>
    </w:p>
    <w:p>
      <w:pPr>
        <w:widowControl/>
        <w:spacing w:line="600" w:lineRule="exact"/>
        <w:ind w:firstLine="560" w:firstLineChars="200"/>
        <w:rPr>
          <w:rFonts w:hint="eastAsia" w:ascii="仿宋_GB2312" w:hAnsi="宋体" w:eastAsia="仿宋_GB2312" w:cs="宋体"/>
          <w:kern w:val="0"/>
          <w:sz w:val="28"/>
          <w:szCs w:val="28"/>
        </w:rPr>
      </w:pPr>
      <w:r>
        <w:rPr>
          <w:rFonts w:hint="eastAsia" w:ascii="仿宋_GB2312" w:hAnsi="宋体" w:eastAsia="仿宋_GB2312" w:cs="宋体"/>
          <w:kern w:val="0"/>
          <w:sz w:val="28"/>
          <w:szCs w:val="28"/>
        </w:rPr>
        <w:t>[</w:t>
      </w:r>
      <w:r>
        <w:rPr>
          <w:rFonts w:ascii="仿宋_GB2312" w:hAnsi="宋体" w:eastAsia="仿宋_GB2312" w:cs="宋体"/>
          <w:kern w:val="0"/>
          <w:sz w:val="28"/>
          <w:szCs w:val="28"/>
        </w:rPr>
        <w:t>3</w:t>
      </w:r>
      <w:r>
        <w:rPr>
          <w:rFonts w:hint="eastAsia" w:ascii="仿宋_GB2312" w:hAnsi="宋体" w:eastAsia="仿宋_GB2312" w:cs="宋体"/>
          <w:kern w:val="0"/>
          <w:sz w:val="28"/>
          <w:szCs w:val="28"/>
        </w:rPr>
        <w:t>]表中</w:t>
      </w:r>
      <w:r>
        <w:rPr>
          <w:rFonts w:ascii="仿宋_GB2312" w:hAnsi="宋体" w:eastAsia="仿宋_GB2312" w:cs="宋体"/>
          <w:kern w:val="0"/>
          <w:sz w:val="28"/>
          <w:szCs w:val="28"/>
        </w:rPr>
        <w:t>的合计数和部分计算数据因小数取舍而产生的误差，均未作机械调整。</w:t>
      </w:r>
    </w:p>
    <w:p/>
    <w:sectPr>
      <w:pgSz w:w="11906" w:h="16838"/>
      <w:pgMar w:top="2098" w:right="1531" w:bottom="209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AA1077"/>
    <w:rsid w:val="09124219"/>
    <w:rsid w:val="0DE02ECD"/>
    <w:rsid w:val="27AA1077"/>
    <w:rsid w:val="50604921"/>
    <w:rsid w:val="6072599E"/>
    <w:rsid w:val="6D586D57"/>
    <w:rsid w:val="79FE1C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link w:val="13"/>
    <w:qFormat/>
    <w:uiPriority w:val="0"/>
    <w:pPr>
      <w:keepNext/>
      <w:keepLines/>
      <w:spacing w:before="340" w:after="330" w:line="578" w:lineRule="auto"/>
      <w:outlineLvl w:val="0"/>
    </w:pPr>
    <w:rPr>
      <w:rFonts w:ascii="Times New Roman" w:hAnsi="Times New Roman" w:eastAsia="黑体" w:cs="Times New Roman"/>
      <w:b/>
      <w:bCs/>
      <w:kern w:val="44"/>
      <w:sz w:val="32"/>
      <w:szCs w:val="44"/>
    </w:rPr>
  </w:style>
  <w:style w:type="paragraph" w:styleId="5">
    <w:name w:val="heading 2"/>
    <w:basedOn w:val="1"/>
    <w:next w:val="1"/>
    <w:link w:val="14"/>
    <w:semiHidden/>
    <w:unhideWhenUsed/>
    <w:qFormat/>
    <w:uiPriority w:val="0"/>
    <w:pPr>
      <w:keepNext/>
      <w:tabs>
        <w:tab w:val="left" w:pos="596"/>
      </w:tabs>
      <w:adjustRightInd w:val="0"/>
      <w:spacing w:before="120" w:line="360" w:lineRule="auto"/>
      <w:ind w:left="596" w:hanging="596"/>
      <w:outlineLvl w:val="1"/>
    </w:pPr>
    <w:rPr>
      <w:rFonts w:ascii="Times New Roman" w:hAnsi="Times New Roman" w:eastAsia="楷体" w:cs="Times New Roman"/>
      <w:b/>
      <w:kern w:val="0"/>
      <w:sz w:val="32"/>
      <w:szCs w:val="20"/>
    </w:rPr>
  </w:style>
  <w:style w:type="paragraph" w:styleId="6">
    <w:name w:val="heading 3"/>
    <w:basedOn w:val="1"/>
    <w:next w:val="1"/>
    <w:link w:val="15"/>
    <w:semiHidden/>
    <w:unhideWhenUsed/>
    <w:qFormat/>
    <w:uiPriority w:val="0"/>
    <w:pPr>
      <w:tabs>
        <w:tab w:val="left" w:pos="900"/>
        <w:tab w:val="left" w:pos="1588"/>
      </w:tabs>
      <w:adjustRightInd w:val="0"/>
      <w:spacing w:before="120" w:line="360" w:lineRule="auto"/>
      <w:ind w:left="1588" w:hanging="737"/>
      <w:outlineLvl w:val="2"/>
    </w:pPr>
    <w:rPr>
      <w:rFonts w:ascii="Times New Roman" w:hAnsi="Times New Roman" w:eastAsia="仿宋" w:cs="Times New Roman"/>
      <w:b/>
      <w:kern w:val="0"/>
      <w:sz w:val="32"/>
      <w:szCs w:val="20"/>
    </w:rPr>
  </w:style>
  <w:style w:type="paragraph" w:styleId="7">
    <w:name w:val="heading 4"/>
    <w:basedOn w:val="1"/>
    <w:next w:val="1"/>
    <w:link w:val="16"/>
    <w:semiHidden/>
    <w:unhideWhenUsed/>
    <w:qFormat/>
    <w:uiPriority w:val="0"/>
    <w:pPr>
      <w:keepNext/>
      <w:keepLines/>
      <w:spacing w:line="240" w:lineRule="auto"/>
      <w:ind w:firstLine="723" w:firstLineChars="200"/>
      <w:outlineLvl w:val="3"/>
    </w:pPr>
    <w:rPr>
      <w:rFonts w:eastAsia="仿宋" w:asciiTheme="majorAscii" w:hAnsiTheme="majorAscii" w:cstheme="majorBidi"/>
      <w:bCs/>
      <w:sz w:val="32"/>
      <w:szCs w:val="28"/>
    </w:rPr>
  </w:style>
  <w:style w:type="character" w:default="1" w:styleId="11">
    <w:name w:val="Default Paragraph Font"/>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uiPriority w:val="0"/>
    <w:pPr>
      <w:ind w:firstLine="880" w:firstLineChars="200"/>
    </w:pPr>
  </w:style>
  <w:style w:type="paragraph" w:styleId="3">
    <w:name w:val="Body Text"/>
    <w:basedOn w:val="1"/>
    <w:uiPriority w:val="0"/>
    <w:pPr>
      <w:spacing w:after="120" w:afterLines="0"/>
    </w:pPr>
  </w:style>
  <w:style w:type="paragraph" w:styleId="8">
    <w:name w:val="footer"/>
    <w:basedOn w:val="1"/>
    <w:qFormat/>
    <w:uiPriority w:val="0"/>
    <w:pPr>
      <w:tabs>
        <w:tab w:val="center" w:pos="4153"/>
        <w:tab w:val="right" w:pos="8306"/>
      </w:tabs>
      <w:snapToGrid w:val="0"/>
      <w:jc w:val="left"/>
    </w:pPr>
    <w:rPr>
      <w:kern w:val="2"/>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kern w:val="2"/>
      <w:sz w:val="18"/>
      <w:szCs w:val="18"/>
    </w:rPr>
  </w:style>
  <w:style w:type="character" w:styleId="12">
    <w:name w:val="page number"/>
    <w:basedOn w:val="11"/>
    <w:qFormat/>
    <w:uiPriority w:val="0"/>
  </w:style>
  <w:style w:type="character" w:customStyle="1" w:styleId="13">
    <w:name w:val="标题 1 Char"/>
    <w:basedOn w:val="11"/>
    <w:link w:val="4"/>
    <w:qFormat/>
    <w:uiPriority w:val="9"/>
    <w:rPr>
      <w:rFonts w:ascii="Times New Roman" w:hAnsi="Times New Roman" w:eastAsia="黑体" w:cs="Times New Roman"/>
      <w:b/>
      <w:bCs/>
      <w:kern w:val="44"/>
      <w:sz w:val="32"/>
      <w:szCs w:val="44"/>
    </w:rPr>
  </w:style>
  <w:style w:type="character" w:customStyle="1" w:styleId="14">
    <w:name w:val="标题 2 Char1"/>
    <w:link w:val="5"/>
    <w:qFormat/>
    <w:locked/>
    <w:uiPriority w:val="0"/>
    <w:rPr>
      <w:rFonts w:ascii="Times New Roman" w:hAnsi="Times New Roman" w:eastAsia="楷体" w:cs="Times New Roman"/>
      <w:b/>
      <w:kern w:val="0"/>
      <w:sz w:val="32"/>
      <w:szCs w:val="20"/>
    </w:rPr>
  </w:style>
  <w:style w:type="character" w:customStyle="1" w:styleId="15">
    <w:name w:val="标题 3 Char1"/>
    <w:link w:val="6"/>
    <w:qFormat/>
    <w:locked/>
    <w:uiPriority w:val="0"/>
    <w:rPr>
      <w:rFonts w:ascii="Times New Roman" w:hAnsi="Times New Roman" w:eastAsia="仿宋" w:cs="Times New Roman"/>
      <w:b/>
      <w:kern w:val="0"/>
      <w:sz w:val="32"/>
      <w:szCs w:val="20"/>
    </w:rPr>
  </w:style>
  <w:style w:type="character" w:customStyle="1" w:styleId="16">
    <w:name w:val="标题 4 Char"/>
    <w:basedOn w:val="11"/>
    <w:link w:val="7"/>
    <w:qFormat/>
    <w:uiPriority w:val="9"/>
    <w:rPr>
      <w:rFonts w:eastAsia="仿宋" w:asciiTheme="majorAscii" w:hAnsiTheme="majorAscii" w:cstheme="majorBidi"/>
      <w:bCs/>
      <w:sz w:val="32"/>
      <w:szCs w:val="28"/>
    </w:rPr>
  </w:style>
  <w:style w:type="character" w:customStyle="1" w:styleId="17">
    <w:name w:val="font91"/>
    <w:uiPriority w:val="0"/>
    <w:rPr>
      <w:rFonts w:hint="default" w:ascii="Times New Roman" w:hAnsi="Times New Roman" w:cs="Times New Roman"/>
      <w:b/>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云南省昆明空港经济区</Company>
  <Pages>1</Pages>
  <Words>0</Words>
  <Characters>0</Characters>
  <Lines>0</Lines>
  <Paragraphs>0</Paragraphs>
  <TotalTime>1</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2020-06-09T08:01:00Z</dcterms:created>
  <dc:creator>shiping</dc:creator>
  <cp:lastModifiedBy>shiping</cp:lastModifiedBy>
  <dcterms:modified xsi:type="dcterms:W3CDTF">2020-06-09T08:03:22Z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