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昆明经济技术开发区第四次全国经济普查公报（第四号）</w:t>
      </w:r>
    </w:p>
    <w:p>
      <w:pPr>
        <w:widowControl/>
        <w:spacing w:line="600" w:lineRule="exact"/>
        <w:jc w:val="center"/>
        <w:outlineLvl w:val="0"/>
        <w:rPr>
          <w:rFonts w:hint="eastAsia" w:ascii="方正小标宋_GBK" w:hAnsi="方正小标宋_GBK" w:eastAsia="方正小标宋_GBK" w:cs="方正小标宋_GBK"/>
          <w:bCs/>
          <w:kern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2"/>
          <w:szCs w:val="32"/>
        </w:rPr>
        <w:t>——第三产业基本情况之一</w:t>
      </w:r>
    </w:p>
    <w:p>
      <w:pPr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昆明经济技术开发区经济发展局</w:t>
      </w: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sz w:val="32"/>
          <w:szCs w:val="32"/>
        </w:rPr>
        <w:t>昆明经济技术开发区第四次全国经济普查领导小组办公室</w:t>
      </w: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2020年5月9日</w:t>
      </w:r>
    </w:p>
    <w:p>
      <w:pPr>
        <w:widowControl/>
        <w:spacing w:line="600" w:lineRule="exact"/>
        <w:jc w:val="left"/>
        <w:rPr>
          <w:rFonts w:ascii="宋体" w:hAnsi="宋体" w:cs="宋体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根据第四次全国经济普查结果，现将我区第三产业中批发和零售业，交通运输、仓储和邮政业，住宿和餐饮业，信息传输、软件和信息技术服务业，金融业，房地产业，租赁和商务服务业的主要数据公布如下：</w:t>
      </w:r>
    </w:p>
    <w:p>
      <w:pPr>
        <w:widowControl/>
        <w:spacing w:line="580" w:lineRule="exact"/>
        <w:ind w:firstLine="640" w:firstLineChars="200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</w:t>
      </w:r>
      <w:r>
        <w:rPr>
          <w:rFonts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kern w:val="0"/>
          <w:sz w:val="32"/>
          <w:szCs w:val="32"/>
        </w:rPr>
        <w:t>批发</w:t>
      </w:r>
      <w:r>
        <w:rPr>
          <w:rFonts w:ascii="黑体" w:hAnsi="黑体" w:eastAsia="黑体"/>
          <w:kern w:val="0"/>
          <w:sz w:val="32"/>
          <w:szCs w:val="32"/>
        </w:rPr>
        <w:t>和零售业</w:t>
      </w:r>
    </w:p>
    <w:p>
      <w:pPr>
        <w:widowControl/>
        <w:spacing w:line="580" w:lineRule="exact"/>
        <w:ind w:firstLine="640" w:firstLineChars="200"/>
        <w:outlineLvl w:val="2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（一）企业法人单位数和从业人员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2018年末，全区共有批发和零售业企业法人单位6455个，从业人员50566人，分别比2013年末增长85.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%和58.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在批发和零售业企业法人单位中，批发业占77.8%，零售业占22.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%。在批发和零售业企业法人单位从业人员中，批发业占49.7%，零售业占50.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%（详见表4-1）。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7"/>
        <w:gridCol w:w="1765"/>
        <w:gridCol w:w="19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830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4-1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按行业中类分组的批发和零售业企业法人单位和从业人员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4547" w:type="dxa"/>
            <w:vMerge w:val="restart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</w:t>
            </w:r>
          </w:p>
        </w:tc>
        <w:tc>
          <w:tcPr>
            <w:tcW w:w="1988" w:type="dxa"/>
            <w:tcBorders>
              <w:top w:val="single" w:color="000000" w:sz="12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4547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（个）</w:t>
            </w:r>
          </w:p>
        </w:tc>
        <w:tc>
          <w:tcPr>
            <w:tcW w:w="1988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4547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 计</w:t>
            </w:r>
          </w:p>
        </w:tc>
        <w:tc>
          <w:tcPr>
            <w:tcW w:w="1765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6455</w:t>
            </w:r>
          </w:p>
        </w:tc>
        <w:tc>
          <w:tcPr>
            <w:tcW w:w="1988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50566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批发业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5024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25145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农、林、牧、渔产品批发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食品、饮料及烟草制品批发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601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3049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纺织、服装及家庭用品批发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421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2599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文化、体育用品及器材批发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138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医药及医疗器材批发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169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1651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矿产品、建材及化工产品批发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1692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7763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机械设备、五金产品及电子产品批发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1367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6848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贸易经纪与代理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其他批发业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419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1439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零售业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1431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25421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综合零售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食品、饮料及烟草制品专门零售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202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纺织、服装及日用品专门零售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文化、体育用品及器材专门零售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84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医药及医疗器材专门零售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16967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汽车、摩托车、零配件和燃料及其他动力销售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282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3784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家用电器及电子产品专门零售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154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769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五金、家具及室内装饰材料专门零售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307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45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货摊、无店铺及其他零售业</w:t>
            </w:r>
          </w:p>
        </w:tc>
        <w:tc>
          <w:tcPr>
            <w:tcW w:w="17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158</w:t>
            </w:r>
          </w:p>
        </w:tc>
        <w:tc>
          <w:tcPr>
            <w:tcW w:w="198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在批发和零售业企业法人单位中，内资企业占99.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%，港、澳、台商投资企业占0.1%，外商投资企业占0.1%。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在批发和零售业企业法人单位从业人员中，内资企业占9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%，港、澳、台商投资企业占0.1%，外商投资企业占0.9%（详见表4-2）。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0"/>
        <w:gridCol w:w="2080"/>
        <w:gridCol w:w="20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844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4-2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按登记注册类型分组的批发和零售业企业法人单位和从业人员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4340" w:type="dxa"/>
            <w:vMerge w:val="restart"/>
            <w:tcBorders>
              <w:top w:val="single" w:color="000000" w:sz="12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</w:t>
            </w:r>
          </w:p>
        </w:tc>
        <w:tc>
          <w:tcPr>
            <w:tcW w:w="2020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4340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（个）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434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08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6455</w:t>
            </w:r>
          </w:p>
        </w:tc>
        <w:tc>
          <w:tcPr>
            <w:tcW w:w="2020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50566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内资企业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6440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50041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国有企业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kern w:val="0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kern w:val="0"/>
                <w:szCs w:val="21"/>
                <w:highlight w:val="none"/>
                <w:lang w:bidi="ar"/>
              </w:rPr>
              <w:t>115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集体企业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kern w:val="0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kern w:val="0"/>
                <w:szCs w:val="21"/>
                <w:highlight w:val="none"/>
                <w:lang w:bidi="ar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股份合作企业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联营企业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有限责任公司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491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5030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股份有限公司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私营企业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5929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44753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其他企业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港、澳、台商投资企业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外商投资企业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466</w:t>
            </w:r>
          </w:p>
        </w:tc>
      </w:tr>
    </w:tbl>
    <w:p>
      <w:pPr>
        <w:widowControl/>
        <w:spacing w:line="600" w:lineRule="exact"/>
        <w:ind w:firstLine="640" w:firstLineChars="200"/>
        <w:outlineLvl w:val="2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（二）主要经济指标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2018年末，批发和零售业企业法人单位资产总计888.82亿元，比2013年末增长24.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%。其中，批发业企业法人单位资产总计725.28亿元，零售业企业法人单位资产总计163.54亿元，分别比2013年末增长20.8%和42.2%。负债合计630.74亿元。全年实现营业收入974.05亿元（详见表4-3）。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2"/>
        <w:gridCol w:w="1275"/>
        <w:gridCol w:w="1380"/>
        <w:gridCol w:w="13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460" w:type="dxa"/>
            <w:gridSpan w:val="4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4-3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按行业中类分组的批发和零售业企业法人单位主要经济指标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vMerge w:val="restart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资产总计</w:t>
            </w:r>
          </w:p>
        </w:tc>
        <w:tc>
          <w:tcPr>
            <w:tcW w:w="138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负债合计</w:t>
            </w:r>
          </w:p>
        </w:tc>
        <w:tc>
          <w:tcPr>
            <w:tcW w:w="1323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  <w:jc w:val="center"/>
        </w:trPr>
        <w:tc>
          <w:tcPr>
            <w:tcW w:w="4482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275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888.82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630.74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974.05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批发业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725.28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524.41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785.56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农、林、牧、渔产品批发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14.38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6.61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食品、饮料及烟草制品批发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54.06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43.61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纺织、服装及家庭用品批发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84.73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78.16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文化、体育用品及器材批发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9.73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医药及医疗器材批发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17.8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11.71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矿产品、建材及化工产品批发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371.14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263.96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540.39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机械设备、五金产品及电子产品批发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74.31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52.48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贸易经纪与代理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其他批发业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57.16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零售业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163.54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106.33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综合零售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食品、饮料及烟草制品专门零售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10.89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纺织、服装及日用品专门零售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文化、体育用品及器材专门零售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11.76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医药及医疗器材专门零售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67.49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34.63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汽车、摩托车、零配件和燃料及其他动力销售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34.01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家用电器及电子产品专门零售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五金、家具及室内装饰材料专门零售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7.02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482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货摊、无店铺及其他零售业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4.39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4.59</w:t>
            </w:r>
          </w:p>
        </w:tc>
      </w:tr>
    </w:tbl>
    <w:p>
      <w:pPr>
        <w:widowControl/>
        <w:spacing w:line="600" w:lineRule="exact"/>
        <w:ind w:firstLine="640" w:firstLineChars="200"/>
        <w:jc w:val="left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二</w:t>
      </w:r>
      <w:r>
        <w:rPr>
          <w:rFonts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kern w:val="0"/>
          <w:sz w:val="32"/>
          <w:szCs w:val="32"/>
        </w:rPr>
        <w:t>交通</w:t>
      </w:r>
      <w:r>
        <w:rPr>
          <w:rFonts w:ascii="黑体" w:hAnsi="黑体" w:eastAsia="黑体"/>
          <w:kern w:val="0"/>
          <w:sz w:val="32"/>
          <w:szCs w:val="32"/>
        </w:rPr>
        <w:t>运输、仓储和邮政业</w:t>
      </w:r>
    </w:p>
    <w:p>
      <w:pPr>
        <w:widowControl/>
        <w:spacing w:line="600" w:lineRule="exact"/>
        <w:ind w:firstLine="640" w:firstLineChars="200"/>
        <w:outlineLvl w:val="2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（一）企业法人单位数和从业人员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2018年末，全区共有交通运输、仓储和邮政业企业法人单位697个，从业人员16067人，分别比2013年末增长32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%和75.9%（详见表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-4）。</w:t>
      </w:r>
    </w:p>
    <w:tbl>
      <w:tblPr>
        <w:tblStyle w:val="8"/>
        <w:tblpPr w:leftFromText="180" w:rightFromText="180" w:vertAnchor="text" w:horzAnchor="page" w:tblpXSpec="center" w:tblpY="263"/>
        <w:tblOverlap w:val="never"/>
        <w:tblW w:w="0" w:type="auto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78"/>
        <w:gridCol w:w="2356"/>
        <w:gridCol w:w="236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840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20" w:lineRule="atLeast"/>
              <w:ind w:left="57" w:right="57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表</w:t>
            </w:r>
            <w:r>
              <w:rPr>
                <w:b/>
                <w:bCs/>
                <w:kern w:val="0"/>
                <w:sz w:val="24"/>
              </w:rPr>
              <w:t>4-4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按行业大类分组的交通运输、仓储和邮政业企业法人单位和从业人员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3678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500"/>
              <w:jc w:val="center"/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企业法人单位</w:t>
            </w:r>
          </w:p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（个）</w:t>
            </w:r>
          </w:p>
        </w:tc>
        <w:tc>
          <w:tcPr>
            <w:tcW w:w="236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从业人员</w:t>
            </w:r>
          </w:p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678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 计</w:t>
            </w:r>
          </w:p>
        </w:tc>
        <w:tc>
          <w:tcPr>
            <w:tcW w:w="2356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  <w:t>697</w:t>
            </w:r>
          </w:p>
        </w:tc>
        <w:tc>
          <w:tcPr>
            <w:tcW w:w="2366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  <w:t>16067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7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</w:pPr>
            <w:r>
              <w:rPr>
                <w:rFonts w:hint="eastAsia" w:ascii="宋体" w:hAnsi="宋体" w:cs="宋体"/>
                <w:kern w:val="0"/>
                <w:szCs w:val="21"/>
              </w:rPr>
              <w:t>铁路运输业</w:t>
            </w:r>
          </w:p>
        </w:tc>
        <w:tc>
          <w:tcPr>
            <w:tcW w:w="23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366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7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</w:pPr>
            <w:r>
              <w:rPr>
                <w:rFonts w:hint="eastAsia" w:ascii="宋体" w:hAnsi="宋体" w:cs="宋体"/>
                <w:kern w:val="0"/>
                <w:szCs w:val="21"/>
              </w:rPr>
              <w:t>道路运输业</w:t>
            </w:r>
          </w:p>
        </w:tc>
        <w:tc>
          <w:tcPr>
            <w:tcW w:w="23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488</w:t>
            </w:r>
          </w:p>
        </w:tc>
        <w:tc>
          <w:tcPr>
            <w:tcW w:w="2366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5774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7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</w:pPr>
            <w:r>
              <w:rPr>
                <w:rFonts w:hint="eastAsia" w:ascii="宋体" w:hAnsi="宋体" w:cs="宋体"/>
                <w:kern w:val="0"/>
                <w:szCs w:val="21"/>
              </w:rPr>
              <w:t>水上运输业</w:t>
            </w:r>
          </w:p>
        </w:tc>
        <w:tc>
          <w:tcPr>
            <w:tcW w:w="23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366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367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</w:pPr>
            <w:r>
              <w:rPr>
                <w:rFonts w:hint="eastAsia" w:ascii="宋体" w:hAnsi="宋体" w:cs="宋体"/>
                <w:kern w:val="0"/>
                <w:szCs w:val="21"/>
              </w:rPr>
              <w:t>航空运输业</w:t>
            </w:r>
          </w:p>
        </w:tc>
        <w:tc>
          <w:tcPr>
            <w:tcW w:w="23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366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2478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7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</w:pPr>
            <w:r>
              <w:rPr>
                <w:rFonts w:hint="eastAsia" w:ascii="宋体" w:hAnsi="宋体" w:cs="宋体"/>
                <w:kern w:val="0"/>
                <w:szCs w:val="21"/>
              </w:rPr>
              <w:t>管道运输业</w:t>
            </w:r>
          </w:p>
        </w:tc>
        <w:tc>
          <w:tcPr>
            <w:tcW w:w="23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366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367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</w:pPr>
            <w:r>
              <w:rPr>
                <w:rFonts w:hint="eastAsia" w:ascii="宋体" w:hAnsi="宋体" w:cs="宋体"/>
                <w:kern w:val="0"/>
                <w:szCs w:val="21"/>
              </w:rPr>
              <w:t>多式</w:t>
            </w:r>
            <w:r>
              <w:rPr>
                <w:rFonts w:ascii="宋体" w:hAnsi="宋体" w:cs="宋体"/>
                <w:kern w:val="0"/>
                <w:szCs w:val="21"/>
              </w:rPr>
              <w:t>联运和</w:t>
            </w:r>
            <w:r>
              <w:rPr>
                <w:rFonts w:hint="eastAsia" w:ascii="宋体" w:hAnsi="宋体" w:cs="宋体"/>
                <w:kern w:val="0"/>
                <w:szCs w:val="21"/>
              </w:rPr>
              <w:t>运输代理业</w:t>
            </w:r>
          </w:p>
        </w:tc>
        <w:tc>
          <w:tcPr>
            <w:tcW w:w="23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2366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1469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7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</w:pPr>
            <w:r>
              <w:rPr>
                <w:rFonts w:hint="eastAsia" w:ascii="宋体" w:hAnsi="宋体" w:cs="宋体"/>
                <w:kern w:val="0"/>
                <w:szCs w:val="21"/>
              </w:rPr>
              <w:t>装卸搬运和仓储业</w:t>
            </w:r>
          </w:p>
        </w:tc>
        <w:tc>
          <w:tcPr>
            <w:tcW w:w="23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111</w:t>
            </w:r>
          </w:p>
        </w:tc>
        <w:tc>
          <w:tcPr>
            <w:tcW w:w="2366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1549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367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</w:pPr>
            <w:r>
              <w:rPr>
                <w:rFonts w:hint="eastAsia" w:ascii="宋体" w:hAnsi="宋体" w:cs="宋体"/>
                <w:kern w:val="0"/>
                <w:szCs w:val="21"/>
              </w:rPr>
              <w:t>邮政业</w:t>
            </w:r>
          </w:p>
        </w:tc>
        <w:tc>
          <w:tcPr>
            <w:tcW w:w="2356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2366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4797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在交通运输、仓储和邮政业企业法人单位中，内资企业占99.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%，港、澳、台商投资企业占0.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%，外商投资企业占0.1%。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在交通运输、仓储和邮政业企业法人单位从业人员中，内资企业占99.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%，港、澳、台商投资企业占0.2%，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外商投资企业（详见表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p>
      <w:pPr>
        <w:pStyle w:val="2"/>
        <w:rPr>
          <w:rFonts w:hint="eastAsia"/>
        </w:rPr>
      </w:pPr>
    </w:p>
    <w:tbl>
      <w:tblPr>
        <w:tblStyle w:val="8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51"/>
        <w:gridCol w:w="2275"/>
        <w:gridCol w:w="263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846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20" w:lineRule="atLeast"/>
              <w:ind w:left="57" w:right="57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表</w:t>
            </w:r>
            <w:r>
              <w:rPr>
                <w:b/>
                <w:bCs/>
                <w:kern w:val="0"/>
                <w:sz w:val="24"/>
              </w:rPr>
              <w:t>4-5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按登记注册类型分组的交通运输、仓储和邮政业企业法人单位和从业人员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3551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27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企业法人单位</w:t>
            </w:r>
          </w:p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Cs w:val="21"/>
              </w:rPr>
              <w:t>(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个</w:t>
            </w:r>
            <w:r>
              <w:rPr>
                <w:b/>
                <w:kern w:val="0"/>
                <w:szCs w:val="21"/>
              </w:rPr>
              <w:t>)</w:t>
            </w:r>
          </w:p>
        </w:tc>
        <w:tc>
          <w:tcPr>
            <w:tcW w:w="263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从业人员</w:t>
            </w:r>
          </w:p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Cs w:val="21"/>
              </w:rPr>
              <w:t>(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人</w:t>
            </w:r>
            <w:r>
              <w:rPr>
                <w:b/>
                <w:kern w:val="0"/>
                <w:szCs w:val="21"/>
              </w:rPr>
              <w:t>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3551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 计</w:t>
            </w:r>
          </w:p>
        </w:tc>
        <w:tc>
          <w:tcPr>
            <w:tcW w:w="2275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  <w:t>697</w:t>
            </w:r>
          </w:p>
        </w:tc>
        <w:tc>
          <w:tcPr>
            <w:tcW w:w="2634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  <w:t>16067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内资企业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  <w:t>694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  <w:t>16028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国有企业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147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集体企业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股份合作企业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联营企业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有限责任公司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102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6258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股份有限公司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199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私营企业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586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9424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其他企业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港、澳、台商投资企业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b/>
                <w:bCs/>
                <w:color w:val="000000"/>
                <w:kern w:val="0"/>
                <w:szCs w:val="21"/>
                <w:lang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355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57" w:right="57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外商投资企业</w:t>
            </w:r>
          </w:p>
        </w:tc>
        <w:tc>
          <w:tcPr>
            <w:tcW w:w="2275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634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b/>
                <w:bCs/>
                <w:color w:val="000000"/>
                <w:kern w:val="0"/>
                <w:szCs w:val="21"/>
                <w:lang w:bidi="ar"/>
              </w:rPr>
              <w:t>0</w:t>
            </w:r>
          </w:p>
        </w:tc>
      </w:tr>
    </w:tbl>
    <w:p>
      <w:pPr>
        <w:widowControl/>
        <w:spacing w:line="62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（二）主要经济指标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2018年末，交通运输、仓储和邮政业企业法人单位资产总计339.21亿元，比2013年末增长159.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%。负债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合计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244.46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。全年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实现营业收入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150.80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0"/>
        <w:gridCol w:w="1257"/>
        <w:gridCol w:w="1257"/>
        <w:gridCol w:w="17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8560" w:type="dxa"/>
            <w:gridSpan w:val="4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表4-6按行业大类分组的交通运输、仓储和邮政业企业法人单位主要经济指标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4280" w:type="dxa"/>
            <w:vMerge w:val="restart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资产总计</w:t>
            </w:r>
          </w:p>
        </w:tc>
        <w:tc>
          <w:tcPr>
            <w:tcW w:w="1257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负债合计</w:t>
            </w:r>
          </w:p>
        </w:tc>
        <w:tc>
          <w:tcPr>
            <w:tcW w:w="1766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4280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7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257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428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 计</w:t>
            </w:r>
          </w:p>
        </w:tc>
        <w:tc>
          <w:tcPr>
            <w:tcW w:w="1257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339.21 </w:t>
            </w:r>
          </w:p>
        </w:tc>
        <w:tc>
          <w:tcPr>
            <w:tcW w:w="1257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244.46 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150.80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42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铁路运输业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42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248.27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166.19 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46.24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42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水上运输业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42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航空运输业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36.99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31.66 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32.33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42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42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多式联运和运输代理业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2.17 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428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装卸搬运和仓储业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45.55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38.12 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51.68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428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邮政业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6.32 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14.48 </w:t>
            </w:r>
          </w:p>
        </w:tc>
      </w:tr>
    </w:tbl>
    <w:p>
      <w:pPr>
        <w:pStyle w:val="2"/>
        <w:rPr>
          <w:rFonts w:hint="eastAsia"/>
        </w:rPr>
      </w:pPr>
    </w:p>
    <w:p>
      <w:pPr>
        <w:widowControl/>
        <w:spacing w:line="620" w:lineRule="exact"/>
        <w:ind w:firstLine="640" w:firstLineChars="200"/>
        <w:jc w:val="left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三</w:t>
      </w:r>
      <w:r>
        <w:rPr>
          <w:rFonts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kern w:val="0"/>
          <w:sz w:val="32"/>
          <w:szCs w:val="32"/>
        </w:rPr>
        <w:t>住宿</w:t>
      </w:r>
      <w:r>
        <w:rPr>
          <w:rFonts w:ascii="黑体" w:hAnsi="黑体" w:eastAsia="黑体"/>
          <w:kern w:val="0"/>
          <w:sz w:val="32"/>
          <w:szCs w:val="32"/>
        </w:rPr>
        <w:t>和餐饮业</w:t>
      </w:r>
    </w:p>
    <w:p>
      <w:pPr>
        <w:widowControl/>
        <w:spacing w:line="620" w:lineRule="exact"/>
        <w:ind w:firstLine="640" w:firstLineChars="200"/>
        <w:outlineLvl w:val="2"/>
        <w:rPr>
          <w:rFonts w:ascii="楷体_GB2312" w:hAnsi="楷体" w:eastAsia="楷体_GB2312"/>
          <w:kern w:val="0"/>
          <w:sz w:val="32"/>
          <w:szCs w:val="32"/>
        </w:rPr>
      </w:pPr>
      <w:r>
        <w:rPr>
          <w:rFonts w:hint="eastAsia" w:ascii="楷体_GB2312" w:hAnsi="楷体" w:eastAsia="楷体_GB2312" w:cs="楷体_GB2312"/>
          <w:kern w:val="0"/>
          <w:sz w:val="32"/>
          <w:szCs w:val="32"/>
        </w:rPr>
        <w:t>（一）企业法人单位数和从业人员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2018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年末，全区共有住宿和餐饮业企业法人单位145个，从业人员2683人，分别比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年末增长45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和90.0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在住宿和餐饮业企业法人单位中，住宿业占42.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，餐饮业占57.9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。在住宿和餐饮业企业法人单位从业人员中，住宿业占40.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，餐饮业占59.1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4-7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10"/>
        <w:gridCol w:w="2658"/>
        <w:gridCol w:w="193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830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20" w:lineRule="atLeast"/>
              <w:ind w:left="57" w:right="57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表</w:t>
            </w:r>
            <w:r>
              <w:rPr>
                <w:b/>
                <w:bCs/>
                <w:kern w:val="0"/>
                <w:sz w:val="24"/>
              </w:rPr>
              <w:t>4-7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按行业中类分组的住宿和餐饮业企业法人单位和从业人员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371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65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企业法人单位</w:t>
            </w:r>
          </w:p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（个）</w:t>
            </w:r>
          </w:p>
        </w:tc>
        <w:tc>
          <w:tcPr>
            <w:tcW w:w="1932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从业人员</w:t>
            </w:r>
          </w:p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710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 计</w:t>
            </w:r>
          </w:p>
        </w:tc>
        <w:tc>
          <w:tcPr>
            <w:tcW w:w="2658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145</w:t>
            </w:r>
          </w:p>
        </w:tc>
        <w:tc>
          <w:tcPr>
            <w:tcW w:w="1932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2683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住宿业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1096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旅游饭店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264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一般旅馆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592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民宿</w:t>
            </w:r>
            <w:r>
              <w:rPr>
                <w:rFonts w:ascii="宋体" w:hAnsi="宋体" w:cs="宋体"/>
                <w:kern w:val="0"/>
                <w:szCs w:val="21"/>
              </w:rPr>
              <w:t>服务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露营</w:t>
            </w:r>
            <w:r>
              <w:rPr>
                <w:rFonts w:ascii="宋体" w:hAnsi="宋体" w:cs="宋体"/>
                <w:kern w:val="0"/>
                <w:szCs w:val="21"/>
              </w:rPr>
              <w:t>地服务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其他住宿业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240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餐饮业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84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1587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正餐服务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557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快餐服务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841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饮料及冷饮服务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餐饮</w:t>
            </w:r>
            <w:r>
              <w:rPr>
                <w:rFonts w:ascii="宋体" w:hAnsi="宋体" w:cs="宋体"/>
                <w:kern w:val="0"/>
                <w:szCs w:val="21"/>
              </w:rPr>
              <w:t>配送及外卖送餐服务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22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71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其他餐饮业</w:t>
            </w:r>
          </w:p>
        </w:tc>
        <w:tc>
          <w:tcPr>
            <w:tcW w:w="2658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932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164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在住宿和餐饮业企业法人单位中，内资企业占100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港、澳台商投资企业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外商投资企业。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在住宿和餐饮业企业法人单位从业人员中，内资企业占100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港、澳、台商投资企业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外商投资企业（详见表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4-8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p>
      <w:pPr>
        <w:pStyle w:val="2"/>
        <w:rPr>
          <w:rFonts w:hint="eastAsia"/>
        </w:rPr>
      </w:pPr>
    </w:p>
    <w:p>
      <w:pPr>
        <w:spacing w:line="20" w:lineRule="exact"/>
        <w:ind w:firstLine="200" w:firstLineChars="200"/>
        <w:rPr>
          <w:rFonts w:ascii="仿宋_GB2312" w:hAnsi="宋体" w:eastAsia="仿宋_GB2312" w:cs="宋体"/>
          <w:kern w:val="0"/>
          <w:sz w:val="10"/>
          <w:szCs w:val="10"/>
        </w:rPr>
      </w:pPr>
    </w:p>
    <w:tbl>
      <w:tblPr>
        <w:tblStyle w:val="8"/>
        <w:tblpPr w:leftFromText="180" w:rightFromText="180" w:vertAnchor="text" w:horzAnchor="page" w:tblpXSpec="center" w:tblpY="51"/>
        <w:tblOverlap w:val="never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6"/>
        <w:gridCol w:w="2740"/>
        <w:gridCol w:w="19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856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20" w:lineRule="atLeast"/>
              <w:ind w:left="57" w:right="57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表</w:t>
            </w:r>
            <w:r>
              <w:rPr>
                <w:b/>
                <w:bCs/>
                <w:kern w:val="0"/>
                <w:sz w:val="24"/>
              </w:rPr>
              <w:t>4-8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按登记注册类型分组的住宿和餐饮业企业法人单位和从业人员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3826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企业法人单位</w:t>
            </w:r>
          </w:p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（个）</w:t>
            </w:r>
          </w:p>
        </w:tc>
        <w:tc>
          <w:tcPr>
            <w:tcW w:w="19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从业人员</w:t>
            </w:r>
          </w:p>
          <w:p>
            <w:pPr>
              <w:widowControl/>
              <w:spacing w:line="240" w:lineRule="atLeast"/>
              <w:ind w:left="57" w:right="57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jc w:val="center"/>
        </w:trPr>
        <w:tc>
          <w:tcPr>
            <w:tcW w:w="3826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 计</w:t>
            </w:r>
          </w:p>
        </w:tc>
        <w:tc>
          <w:tcPr>
            <w:tcW w:w="2740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145</w:t>
            </w:r>
          </w:p>
        </w:tc>
        <w:tc>
          <w:tcPr>
            <w:tcW w:w="1994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2683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内资企业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145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2683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国有企业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集体企业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股份合作企业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联营企业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有限责任公司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924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股份有限公司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私营企业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123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1752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 w:firstLine="21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Cs/>
              </w:rPr>
            </w:pPr>
            <w:r>
              <w:rPr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港、澳、台商投资企业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382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left="57" w:right="57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外商投资企业</w:t>
            </w:r>
          </w:p>
        </w:tc>
        <w:tc>
          <w:tcPr>
            <w:tcW w:w="2740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94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b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</w:tbl>
    <w:p>
      <w:pPr>
        <w:widowControl/>
        <w:spacing w:line="62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（二）主要</w:t>
      </w:r>
      <w:r>
        <w:rPr>
          <w:rFonts w:ascii="楷体_GB2312" w:hAnsi="楷体" w:eastAsia="楷体_GB2312" w:cs="宋体"/>
          <w:kern w:val="0"/>
          <w:sz w:val="32"/>
          <w:szCs w:val="32"/>
        </w:rPr>
        <w:t>经济指标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2018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年末，住宿和餐饮业企业法人单位资产总计11.57亿元，比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年末增长445.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。其中，住宿业企业法人单位资产总计2.73亿元，餐饮业企业法人单位资产总计8.84亿元，分别比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年末增长268.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和540.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。负债合计6.03亿元。全年实现年营业收入5.44亿元（详见表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4-9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1239"/>
        <w:gridCol w:w="1239"/>
        <w:gridCol w:w="17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8440" w:type="dxa"/>
            <w:gridSpan w:val="4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4-9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按行业中类分组的住宿和餐饮业企业法人单位主要经济指标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4220" w:type="dxa"/>
            <w:vMerge w:val="restart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资产总计</w:t>
            </w:r>
          </w:p>
        </w:tc>
        <w:tc>
          <w:tcPr>
            <w:tcW w:w="1239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负债合计</w:t>
            </w:r>
          </w:p>
        </w:tc>
        <w:tc>
          <w:tcPr>
            <w:tcW w:w="1742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4220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11.57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6.03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5.44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住宿业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2.73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2.39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旅游饭店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0.16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一般旅馆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0.67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民宿服务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露营地服务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其他住宿业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1.90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1.77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餐饮业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8.84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3.64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4.34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正餐服务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1.48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1.16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快餐服务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2.07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1.02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3.06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饮料及冷饮服务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餐饮配送及外卖送餐服务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0.08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422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其他餐饮业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1.41 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</w:tr>
    </w:tbl>
    <w:p>
      <w:pPr>
        <w:spacing w:line="620" w:lineRule="exact"/>
        <w:ind w:firstLine="640" w:firstLineChars="200"/>
        <w:outlineLvl w:val="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四、信息传输、软件和信息技术服务业</w:t>
      </w:r>
    </w:p>
    <w:p>
      <w:pPr>
        <w:widowControl/>
        <w:spacing w:line="620" w:lineRule="exact"/>
        <w:ind w:firstLine="640" w:firstLineChars="200"/>
        <w:outlineLvl w:val="2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（一）企业法人单位数和从业人员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2018年末，全区共有信息传输、软件和信息技术服务业企业法人单位686个，从业人员5746人，分别比20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%和27.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%（详见表4-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9"/>
        <w:gridCol w:w="2062"/>
        <w:gridCol w:w="19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836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4-1</w:t>
            </w:r>
            <w:r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4299" w:type="dxa"/>
            <w:vMerge w:val="restart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</w:t>
            </w:r>
          </w:p>
        </w:tc>
        <w:tc>
          <w:tcPr>
            <w:tcW w:w="1999" w:type="dxa"/>
            <w:tcBorders>
              <w:top w:val="single" w:color="000000" w:sz="12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4299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（个）</w:t>
            </w:r>
          </w:p>
        </w:tc>
        <w:tc>
          <w:tcPr>
            <w:tcW w:w="1999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4299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062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686</w:t>
            </w:r>
          </w:p>
        </w:tc>
        <w:tc>
          <w:tcPr>
            <w:tcW w:w="1999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5746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429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电信、广播电视和卫星传输服务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429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互联网和相关服务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429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软件和信息技术服务业</w:t>
            </w:r>
          </w:p>
        </w:tc>
        <w:tc>
          <w:tcPr>
            <w:tcW w:w="2062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622</w:t>
            </w:r>
          </w:p>
        </w:tc>
        <w:tc>
          <w:tcPr>
            <w:tcW w:w="1999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5288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在信息传输、软件和信息技术服务业企业法人单位中，内资企业占99.7%，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港、澳、台商投资企业，外商投资企业占0.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在信息传输、软件和信息技术服务业企业法人单位从业人员中，内资企业占99.9%，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港、澳、台商投资企业，外商投资企业占0.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0"/>
        <w:gridCol w:w="2081"/>
        <w:gridCol w:w="20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8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4-11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按登记注册类型分组的信息传输、软件和信息技术服务业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844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4340" w:type="dxa"/>
            <w:vMerge w:val="restart"/>
            <w:tcBorders>
              <w:top w:val="single" w:color="000000" w:sz="12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081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</w:t>
            </w:r>
          </w:p>
        </w:tc>
        <w:tc>
          <w:tcPr>
            <w:tcW w:w="2019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4340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个</w:t>
            </w:r>
            <w:r>
              <w:rPr>
                <w:b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人</w:t>
            </w:r>
            <w:r>
              <w:rPr>
                <w:b/>
                <w:color w:val="000000"/>
                <w:kern w:val="0"/>
                <w:szCs w:val="21"/>
                <w:lang w:bidi="ar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434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081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686</w:t>
            </w:r>
          </w:p>
        </w:tc>
        <w:tc>
          <w:tcPr>
            <w:tcW w:w="2019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5746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内资企业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684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5744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国有企业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集体企业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股份合作企业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联营企业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有限责任公司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773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股份有限公司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314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私营企业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622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4648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其他企业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港、澳、台商投资企业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434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外商投资企业</w:t>
            </w:r>
          </w:p>
        </w:tc>
        <w:tc>
          <w:tcPr>
            <w:tcW w:w="2081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2</w:t>
            </w:r>
          </w:p>
        </w:tc>
      </w:tr>
    </w:tbl>
    <w:p>
      <w:pPr>
        <w:widowControl/>
        <w:spacing w:line="620" w:lineRule="exact"/>
        <w:ind w:firstLine="640" w:firstLineChars="200"/>
        <w:outlineLvl w:val="2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  <w:lang w:eastAsia="zh-CN"/>
        </w:rPr>
        <w:t>（二</w:t>
      </w:r>
      <w:r>
        <w:rPr>
          <w:rFonts w:hint="eastAsia" w:ascii="楷体_GB2312" w:hAnsi="楷体" w:eastAsia="楷体_GB2312" w:cs="宋体"/>
          <w:kern w:val="0"/>
          <w:sz w:val="32"/>
          <w:szCs w:val="32"/>
        </w:rPr>
        <w:t>）主要经济指标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2018年末，信息传输、软件和信息技术服务业企业法人单位资产总计30.16亿元，比20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年末增长66.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%。负债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合计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11.14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。全年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实现营业收入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13.28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30"/>
        <w:gridCol w:w="1213"/>
        <w:gridCol w:w="1213"/>
        <w:gridCol w:w="17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8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表4-12按行业大类分组的信息传输、软件和信息技术服务业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8260" w:type="dxa"/>
            <w:gridSpan w:val="4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企业法人单位主要经济指标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4130" w:type="dxa"/>
            <w:vMerge w:val="restart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3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资产总计</w:t>
            </w:r>
          </w:p>
        </w:tc>
        <w:tc>
          <w:tcPr>
            <w:tcW w:w="1213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负债合计</w:t>
            </w:r>
          </w:p>
        </w:tc>
        <w:tc>
          <w:tcPr>
            <w:tcW w:w="1704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4130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3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213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413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213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30.16</w:t>
            </w:r>
          </w:p>
        </w:tc>
        <w:tc>
          <w:tcPr>
            <w:tcW w:w="1213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11.14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413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电信、广播电视和卫星传输服务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413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互联网和相关服务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413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软件和信息技术服务业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27.14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9.97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11.58</w:t>
            </w:r>
          </w:p>
        </w:tc>
      </w:tr>
    </w:tbl>
    <w:p>
      <w:pPr>
        <w:pStyle w:val="2"/>
        <w:rPr>
          <w:rFonts w:hint="eastAsia"/>
        </w:rPr>
      </w:pPr>
    </w:p>
    <w:p>
      <w:pPr>
        <w:widowControl/>
        <w:spacing w:line="600" w:lineRule="exact"/>
        <w:ind w:firstLine="640" w:firstLineChars="200"/>
        <w:jc w:val="left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  <w:lang w:eastAsia="zh-CN"/>
        </w:rPr>
        <w:t>五</w:t>
      </w:r>
      <w:r>
        <w:rPr>
          <w:rFonts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kern w:val="0"/>
          <w:sz w:val="32"/>
          <w:szCs w:val="32"/>
        </w:rPr>
        <w:t>房地产</w:t>
      </w:r>
      <w:r>
        <w:rPr>
          <w:rFonts w:ascii="黑体" w:hAnsi="黑体" w:eastAsia="黑体"/>
          <w:kern w:val="0"/>
          <w:sz w:val="32"/>
          <w:szCs w:val="32"/>
        </w:rPr>
        <w:t>业</w:t>
      </w:r>
    </w:p>
    <w:p>
      <w:pPr>
        <w:widowControl/>
        <w:spacing w:line="60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（一）企业法人单位数和从业人员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2018年末，全区共有房地产业企业法人单位343个，比2013年末增长154.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%。其中，房地产开发经营企业118个，物业管理企业94个，房地产中介服务企业64个。房地产开发经营企业比2013年下降4.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%，物业管理企业、房地产中介服务企业分别比20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年末增长261.5%和236.8%。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2018年末，全区房地产业企业法人单位的从业人员为5193人，比20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年末增长66.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%。其中，房地产开发经营企业1767人，物业管理企业2722人，房地产中介服务企业219人，房地产开发经营企业比2013年下降22.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%，物业管理企业、房地产中介服务企业分别比20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年末增长205.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%和71.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1"/>
        <w:gridCol w:w="2096"/>
        <w:gridCol w:w="203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850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4-15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按行业中类分组的房地产业企业法人单位和从业人员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4371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企业法人单位（个）</w:t>
            </w:r>
          </w:p>
        </w:tc>
        <w:tc>
          <w:tcPr>
            <w:tcW w:w="2033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4371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096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343</w:t>
            </w:r>
          </w:p>
        </w:tc>
        <w:tc>
          <w:tcPr>
            <w:tcW w:w="2033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5193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437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房地产开发经营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118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1767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437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物业管理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94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2722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437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房地产中介服务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437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房地产租赁经营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4371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其他房地产业</w:t>
            </w:r>
          </w:p>
        </w:tc>
        <w:tc>
          <w:tcPr>
            <w:tcW w:w="2096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033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</w:t>
            </w:r>
          </w:p>
        </w:tc>
      </w:tr>
    </w:tbl>
    <w:p>
      <w:pPr>
        <w:widowControl/>
        <w:spacing w:line="60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（二）主要</w:t>
      </w:r>
      <w:r>
        <w:rPr>
          <w:rFonts w:ascii="楷体_GB2312" w:hAnsi="楷体" w:eastAsia="楷体_GB2312" w:cs="宋体"/>
          <w:kern w:val="0"/>
          <w:sz w:val="32"/>
          <w:szCs w:val="32"/>
        </w:rPr>
        <w:t>经济指标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2018年末，全区房地产业企业法人单位的资产总计为1957.18亿元，比20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年末增长33.9%。其中，房地产开发经营企业1855.45亿元，物业管理企业70.23亿元，房地产中介服务企业0.97亿元。房地产开发经营企业和物业管理企业分别比20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年末增长29.3%和2822.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%，房地产中介服务企业比20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年末下降66.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%。负债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合计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1353.23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。全年实现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营业收入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53.05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00"/>
        <w:gridCol w:w="1204"/>
        <w:gridCol w:w="1585"/>
        <w:gridCol w:w="13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  <w:jc w:val="center"/>
        </w:trPr>
        <w:tc>
          <w:tcPr>
            <w:tcW w:w="8200" w:type="dxa"/>
            <w:gridSpan w:val="4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4-16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按行业中类分组的房地产业企业法人单位主要经济指标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  <w:jc w:val="center"/>
        </w:trPr>
        <w:tc>
          <w:tcPr>
            <w:tcW w:w="4100" w:type="dxa"/>
            <w:vMerge w:val="restart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资产总计</w:t>
            </w:r>
          </w:p>
        </w:tc>
        <w:tc>
          <w:tcPr>
            <w:tcW w:w="1585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负债合计</w:t>
            </w:r>
          </w:p>
        </w:tc>
        <w:tc>
          <w:tcPr>
            <w:tcW w:w="1311" w:type="dxa"/>
            <w:tcBorders>
              <w:top w:val="single" w:color="000000" w:sz="12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  <w:jc w:val="center"/>
        </w:trPr>
        <w:tc>
          <w:tcPr>
            <w:tcW w:w="4100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585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  <w:jc w:val="center"/>
        </w:trPr>
        <w:tc>
          <w:tcPr>
            <w:tcW w:w="41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204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1957.18 </w:t>
            </w:r>
          </w:p>
        </w:tc>
        <w:tc>
          <w:tcPr>
            <w:tcW w:w="1585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1353.23 </w:t>
            </w:r>
          </w:p>
        </w:tc>
        <w:tc>
          <w:tcPr>
            <w:tcW w:w="1311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53.05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  <w:jc w:val="center"/>
        </w:trPr>
        <w:tc>
          <w:tcPr>
            <w:tcW w:w="41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房地产开发经营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1855.45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1260.47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41.63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  <w:jc w:val="center"/>
        </w:trPr>
        <w:tc>
          <w:tcPr>
            <w:tcW w:w="41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70.23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63.63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9.48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  <w:jc w:val="center"/>
        </w:trPr>
        <w:tc>
          <w:tcPr>
            <w:tcW w:w="41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房地产中介服务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0.97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  <w:jc w:val="center"/>
        </w:trPr>
        <w:tc>
          <w:tcPr>
            <w:tcW w:w="41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房地产租赁经营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30.52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28.87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1.80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  <w:jc w:val="center"/>
        </w:trPr>
        <w:tc>
          <w:tcPr>
            <w:tcW w:w="41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其他房地产业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</w:tbl>
    <w:p>
      <w:pPr>
        <w:widowControl/>
        <w:spacing w:line="600" w:lineRule="exact"/>
        <w:ind w:firstLine="640" w:firstLineChars="200"/>
        <w:jc w:val="left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  <w:lang w:eastAsia="zh-CN"/>
        </w:rPr>
        <w:t>六</w:t>
      </w:r>
      <w:r>
        <w:rPr>
          <w:rFonts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kern w:val="0"/>
          <w:sz w:val="32"/>
          <w:szCs w:val="32"/>
        </w:rPr>
        <w:t>租赁和商务</w:t>
      </w:r>
      <w:r>
        <w:rPr>
          <w:rFonts w:ascii="黑体" w:hAnsi="黑体" w:eastAsia="黑体"/>
          <w:kern w:val="0"/>
          <w:sz w:val="32"/>
          <w:szCs w:val="32"/>
        </w:rPr>
        <w:t>服务业</w:t>
      </w:r>
    </w:p>
    <w:p>
      <w:pPr>
        <w:widowControl/>
        <w:spacing w:line="60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（一）企业法人单位数和从业人员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2018年末，全区共有租赁和商务服务业企业法人单位1487个，从业人员21975人，分别比20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年末增长93.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%和43.2%。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在租赁和商务服务业企业法人单位中，租赁业占12.8%，商务服务业占87.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%。在租赁和商务服务业企业法人单位从业人员中，租赁业占5.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%，商务服务业占94.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%（详见表4-1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4"/>
        <w:gridCol w:w="2171"/>
        <w:gridCol w:w="27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850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表4-17按行业大类分组的租赁和商务服务业企业法人单位和从业人员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3604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171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企业法人单位（个）</w:t>
            </w:r>
          </w:p>
        </w:tc>
        <w:tc>
          <w:tcPr>
            <w:tcW w:w="2725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3604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171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top"/>
              <w:rPr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1487</w:t>
            </w:r>
          </w:p>
        </w:tc>
        <w:tc>
          <w:tcPr>
            <w:tcW w:w="2725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top"/>
              <w:rPr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21975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租赁业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191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3604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商务服务业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1296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20710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在租赁和商务服务业企业法人单位中，内资企业占99.2%，港、澳、台商投资企业占0.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%，外商投资企业占0.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在租赁和商务服务业企业法人单位从业人员中，内资企业占99.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%，港、澳、台商投资企业占0.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%，外商投资企业占0.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6"/>
        <w:gridCol w:w="2011"/>
        <w:gridCol w:w="195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816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4-18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按登记注册类型分组的租赁和商务服务业企业法人单位和从业人员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4196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011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</w:t>
            </w:r>
            <w:r>
              <w:rPr>
                <w:b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个</w:t>
            </w:r>
            <w:r>
              <w:rPr>
                <w:b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1953" w:type="dxa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</w:t>
            </w:r>
            <w:r>
              <w:rPr>
                <w:b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人</w:t>
            </w:r>
            <w:r>
              <w:rPr>
                <w:b/>
                <w:color w:val="000000"/>
                <w:kern w:val="0"/>
                <w:szCs w:val="21"/>
                <w:lang w:bidi="ar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  <w:jc w:val="center"/>
        </w:trPr>
        <w:tc>
          <w:tcPr>
            <w:tcW w:w="4196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011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1487</w:t>
            </w:r>
          </w:p>
        </w:tc>
        <w:tc>
          <w:tcPr>
            <w:tcW w:w="1953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21975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内资企业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1476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21900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国有企业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集体企业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股份合作企业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联营企业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有限责任公司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179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6789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股份有限公司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私营企业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1286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14543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其他企业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港、澳、台商投资企业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  <w:jc w:val="center"/>
        </w:trPr>
        <w:tc>
          <w:tcPr>
            <w:tcW w:w="4196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外商投资企业</w:t>
            </w:r>
          </w:p>
        </w:tc>
        <w:tc>
          <w:tcPr>
            <w:tcW w:w="2011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4</w:t>
            </w:r>
          </w:p>
        </w:tc>
      </w:tr>
    </w:tbl>
    <w:p>
      <w:pPr>
        <w:widowControl/>
        <w:spacing w:line="60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（二）主要经济</w:t>
      </w:r>
      <w:r>
        <w:rPr>
          <w:rFonts w:ascii="楷体_GB2312" w:hAnsi="楷体" w:eastAsia="楷体_GB2312" w:cs="宋体"/>
          <w:kern w:val="0"/>
          <w:sz w:val="32"/>
          <w:szCs w:val="32"/>
        </w:rPr>
        <w:t>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2018年末，租赁和商务服务业企业法人单位资产总计876.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亿元，比20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年末增长125.4%。其中，租赁业企业法人单位资产总计19.75亿元，商务服务业企业法人单位资产总计856.27亿元，分别比2013年末增长171.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%和124.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%。负债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合计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374.49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。全年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实现营业收入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39.87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2"/>
        <w:gridCol w:w="1817"/>
        <w:gridCol w:w="1817"/>
        <w:gridCol w:w="182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8760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表4-19按行业大类分组的租赁和商务服务业企业法人单位主要经济指标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3302" w:type="dxa"/>
            <w:vMerge w:val="restart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17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资产总计</w:t>
            </w:r>
          </w:p>
        </w:tc>
        <w:tc>
          <w:tcPr>
            <w:tcW w:w="1817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负债合计</w:t>
            </w:r>
          </w:p>
        </w:tc>
        <w:tc>
          <w:tcPr>
            <w:tcW w:w="1824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302" w:type="dxa"/>
            <w:vMerge w:val="continue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17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817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824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3302" w:type="dxa"/>
            <w:tcBorders>
              <w:top w:val="single" w:color="auto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817" w:type="dxa"/>
            <w:tcBorders>
              <w:top w:val="single" w:color="auto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876.02 </w:t>
            </w:r>
          </w:p>
        </w:tc>
        <w:tc>
          <w:tcPr>
            <w:tcW w:w="1817" w:type="dxa"/>
            <w:tcBorders>
              <w:top w:val="single" w:color="auto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374.49 </w:t>
            </w:r>
          </w:p>
        </w:tc>
        <w:tc>
          <w:tcPr>
            <w:tcW w:w="1824" w:type="dxa"/>
            <w:tcBorders>
              <w:top w:val="single" w:color="auto" w:sz="12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39.87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30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租赁业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19.75 </w:t>
            </w:r>
          </w:p>
        </w:tc>
        <w:tc>
          <w:tcPr>
            <w:tcW w:w="1817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11.60 </w:t>
            </w:r>
          </w:p>
        </w:tc>
        <w:tc>
          <w:tcPr>
            <w:tcW w:w="1824" w:type="dxa"/>
            <w:tcBorders>
              <w:top w:val="nil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4.14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3302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商务服务业</w:t>
            </w:r>
          </w:p>
        </w:tc>
        <w:tc>
          <w:tcPr>
            <w:tcW w:w="1817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856.27 </w:t>
            </w:r>
          </w:p>
        </w:tc>
        <w:tc>
          <w:tcPr>
            <w:tcW w:w="1817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362.89 </w:t>
            </w:r>
          </w:p>
        </w:tc>
        <w:tc>
          <w:tcPr>
            <w:tcW w:w="1824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35.73 </w:t>
            </w:r>
          </w:p>
        </w:tc>
      </w:tr>
    </w:tbl>
    <w:p>
      <w:pPr>
        <w:widowControl/>
        <w:spacing w:line="600" w:lineRule="exact"/>
        <w:ind w:firstLine="560" w:firstLineChars="200"/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注释：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[1]本公报</w:t>
      </w:r>
      <w:r>
        <w:rPr>
          <w:rFonts w:ascii="仿宋_GB2312" w:hAnsi="宋体" w:eastAsia="仿宋_GB2312" w:cs="宋体"/>
          <w:kern w:val="0"/>
          <w:sz w:val="28"/>
          <w:szCs w:val="28"/>
        </w:rPr>
        <w:t>中的企业法人单位，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包括机构类型为企业的法人单位，以及执行</w:t>
      </w:r>
      <w:r>
        <w:rPr>
          <w:rFonts w:ascii="仿宋_GB2312" w:hAnsi="宋体" w:eastAsia="仿宋_GB2312" w:cs="宋体"/>
          <w:kern w:val="0"/>
          <w:sz w:val="28"/>
          <w:szCs w:val="28"/>
        </w:rPr>
        <w:t>企业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会计</w:t>
      </w:r>
      <w:r>
        <w:rPr>
          <w:rFonts w:ascii="仿宋_GB2312" w:hAnsi="宋体" w:eastAsia="仿宋_GB2312" w:cs="宋体"/>
          <w:kern w:val="0"/>
          <w:sz w:val="28"/>
          <w:szCs w:val="28"/>
        </w:rPr>
        <w:t>制度的事业法人单位、民办非企业法人单位和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基金会，</w:t>
      </w:r>
      <w:r>
        <w:rPr>
          <w:rFonts w:ascii="仿宋_GB2312" w:hAnsi="宋体" w:eastAsia="仿宋_GB2312" w:cs="宋体"/>
          <w:kern w:val="0"/>
          <w:sz w:val="28"/>
          <w:szCs w:val="28"/>
        </w:rPr>
        <w:t>农民专业合作社，农村集体经济组织和</w:t>
      </w:r>
      <w:bookmarkStart w:id="0" w:name="_GoBack"/>
      <w:bookmarkEnd w:id="0"/>
      <w:r>
        <w:rPr>
          <w:rFonts w:ascii="仿宋_GB2312" w:hAnsi="宋体" w:eastAsia="仿宋_GB2312" w:cs="宋体"/>
          <w:kern w:val="0"/>
          <w:sz w:val="28"/>
          <w:szCs w:val="28"/>
        </w:rPr>
        <w:t>除宗教活动场所以外的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机构</w:t>
      </w:r>
      <w:r>
        <w:rPr>
          <w:rFonts w:ascii="仿宋_GB2312" w:hAnsi="宋体" w:eastAsia="仿宋_GB2312" w:cs="宋体"/>
          <w:kern w:val="0"/>
          <w:sz w:val="28"/>
          <w:szCs w:val="28"/>
        </w:rPr>
        <w:t>类型为其他组织机构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</w:t>
      </w:r>
      <w:r>
        <w:rPr>
          <w:rFonts w:ascii="仿宋_GB2312" w:hAnsi="宋体" w:eastAsia="仿宋_GB2312" w:cs="宋体"/>
          <w:kern w:val="0"/>
          <w:sz w:val="28"/>
          <w:szCs w:val="28"/>
        </w:rPr>
        <w:t>法人单位。</w:t>
      </w:r>
    </w:p>
    <w:p>
      <w:pPr>
        <w:rPr>
          <w:rFonts w:hint="eastAsia" w:eastAsia="仿宋_GB2312"/>
          <w:lang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</w:t>
      </w:r>
      <w:r>
        <w:rPr>
          <w:rFonts w:ascii="仿宋_GB2312" w:hAnsi="宋体" w:eastAsia="仿宋_GB2312" w:cs="宋体"/>
          <w:kern w:val="0"/>
          <w:sz w:val="28"/>
          <w:szCs w:val="28"/>
        </w:rPr>
        <w:t>2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]表中</w:t>
      </w:r>
      <w:r>
        <w:rPr>
          <w:rFonts w:ascii="仿宋_GB2312" w:hAnsi="宋体" w:eastAsia="仿宋_GB2312" w:cs="宋体"/>
          <w:kern w:val="0"/>
          <w:sz w:val="28"/>
          <w:szCs w:val="28"/>
        </w:rPr>
        <w:t>的合计数和部分计算数据因小数取舍而产生的误差，均未作机械调整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。</w:t>
      </w: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A5069"/>
    <w:rsid w:val="09124219"/>
    <w:rsid w:val="0DE02ECD"/>
    <w:rsid w:val="2F5A5069"/>
    <w:rsid w:val="50604921"/>
    <w:rsid w:val="6072599E"/>
    <w:rsid w:val="6D586D57"/>
    <w:rsid w:val="79FE1C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tabs>
        <w:tab w:val="left" w:pos="596"/>
      </w:tabs>
      <w:adjustRightInd w:val="0"/>
      <w:spacing w:before="120" w:line="360" w:lineRule="auto"/>
      <w:ind w:left="596" w:hanging="596"/>
      <w:outlineLvl w:val="1"/>
    </w:pPr>
    <w:rPr>
      <w:rFonts w:ascii="Times New Roman" w:hAnsi="Times New Roman" w:eastAsia="楷体" w:cs="Times New Roman"/>
      <w:b/>
      <w:kern w:val="0"/>
      <w:sz w:val="32"/>
      <w:szCs w:val="20"/>
    </w:rPr>
  </w:style>
  <w:style w:type="paragraph" w:styleId="6">
    <w:name w:val="heading 3"/>
    <w:basedOn w:val="1"/>
    <w:next w:val="1"/>
    <w:link w:val="12"/>
    <w:semiHidden/>
    <w:unhideWhenUsed/>
    <w:qFormat/>
    <w:uiPriority w:val="0"/>
    <w:pPr>
      <w:tabs>
        <w:tab w:val="left" w:pos="900"/>
        <w:tab w:val="left" w:pos="1588"/>
      </w:tabs>
      <w:adjustRightInd w:val="0"/>
      <w:spacing w:before="120" w:line="360" w:lineRule="auto"/>
      <w:ind w:left="1588" w:hanging="737"/>
      <w:outlineLvl w:val="2"/>
    </w:pPr>
    <w:rPr>
      <w:rFonts w:ascii="Times New Roman" w:hAnsi="Times New Roman" w:eastAsia="仿宋" w:cs="Times New Roman"/>
      <w:b/>
      <w:kern w:val="0"/>
      <w:sz w:val="32"/>
      <w:szCs w:val="20"/>
    </w:rPr>
  </w:style>
  <w:style w:type="paragraph" w:styleId="7">
    <w:name w:val="heading 4"/>
    <w:basedOn w:val="1"/>
    <w:next w:val="1"/>
    <w:link w:val="13"/>
    <w:semiHidden/>
    <w:unhideWhenUsed/>
    <w:qFormat/>
    <w:uiPriority w:val="0"/>
    <w:pPr>
      <w:keepNext/>
      <w:keepLines/>
      <w:spacing w:line="240" w:lineRule="auto"/>
      <w:ind w:firstLine="723" w:firstLineChars="200"/>
      <w:outlineLvl w:val="3"/>
    </w:pPr>
    <w:rPr>
      <w:rFonts w:eastAsia="仿宋" w:asciiTheme="majorAscii" w:hAnsiTheme="majorAscii" w:cstheme="majorBidi"/>
      <w:bCs/>
      <w:sz w:val="32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iPriority w:val="0"/>
    <w:pPr>
      <w:ind w:firstLine="880" w:firstLineChars="200"/>
    </w:pPr>
  </w:style>
  <w:style w:type="paragraph" w:styleId="3">
    <w:name w:val="Body Text"/>
    <w:basedOn w:val="1"/>
    <w:qFormat/>
    <w:uiPriority w:val="0"/>
    <w:pPr>
      <w:spacing w:after="120" w:afterLines="0"/>
    </w:pPr>
  </w:style>
  <w:style w:type="character" w:customStyle="1" w:styleId="10">
    <w:name w:val="标题 1 Char"/>
    <w:basedOn w:val="9"/>
    <w:link w:val="4"/>
    <w:qFormat/>
    <w:uiPriority w:val="9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11">
    <w:name w:val="标题 2 Char1"/>
    <w:link w:val="5"/>
    <w:qFormat/>
    <w:locked/>
    <w:uiPriority w:val="0"/>
    <w:rPr>
      <w:rFonts w:ascii="Times New Roman" w:hAnsi="Times New Roman" w:eastAsia="楷体" w:cs="Times New Roman"/>
      <w:b/>
      <w:kern w:val="0"/>
      <w:sz w:val="32"/>
      <w:szCs w:val="20"/>
    </w:rPr>
  </w:style>
  <w:style w:type="character" w:customStyle="1" w:styleId="12">
    <w:name w:val="标题 3 Char1"/>
    <w:link w:val="6"/>
    <w:qFormat/>
    <w:locked/>
    <w:uiPriority w:val="0"/>
    <w:rPr>
      <w:rFonts w:ascii="Times New Roman" w:hAnsi="Times New Roman" w:eastAsia="仿宋" w:cs="Times New Roman"/>
      <w:b/>
      <w:kern w:val="0"/>
      <w:sz w:val="32"/>
      <w:szCs w:val="20"/>
    </w:rPr>
  </w:style>
  <w:style w:type="character" w:customStyle="1" w:styleId="13">
    <w:name w:val="标题 4 Char"/>
    <w:basedOn w:val="9"/>
    <w:link w:val="7"/>
    <w:qFormat/>
    <w:uiPriority w:val="9"/>
    <w:rPr>
      <w:rFonts w:eastAsia="仿宋" w:asciiTheme="majorAscii" w:hAnsiTheme="majorAscii" w:cstheme="majorBidi"/>
      <w:bCs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云南省昆明空港经济区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2020-06-09T07:59:00Z</dcterms:created>
  <dc:creator>shiping</dc:creator>
  <cp:lastModifiedBy>shiping</cp:lastModifiedBy>
  <dcterms:modified xsi:type="dcterms:W3CDTF">2020-06-09T08:01:07Z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