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8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昆明市娱乐场所治安管理责任告知书回执</w:t>
      </w:r>
    </w:p>
    <w:p>
      <w:pPr>
        <w:widowControl/>
        <w:spacing w:line="0" w:lineRule="atLeast"/>
        <w:ind w:firstLine="140" w:firstLineChars="5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昆明市娱乐场所治安管理责任告知书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：</w:t>
      </w:r>
    </w:p>
    <w:p>
      <w:pPr>
        <w:spacing w:line="280" w:lineRule="exact"/>
        <w:ind w:firstLine="440" w:firstLineChars="200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为加强我市娱乐场所治安管理，维护社会治安秩序，保障娱乐场所健康发展，落实经营者主体责任，现将娱乐场所治安管理责任告知如下：</w:t>
      </w:r>
    </w:p>
    <w:p>
      <w:pPr>
        <w:widowControl/>
        <w:spacing w:line="28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娱乐场所及其从业人员不得实施下列行为，不得为进入娱乐场所的人员实施下列行为提供条件：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(一)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贩卖、提供毒品，或者组织、强迫、教唆、引诱、欺骗、容留他人吸食、注射毒品；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(二)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组织、强迫、引诱、容留、介绍他人卖淫、嫖娼；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(三)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制作、贩卖、传播淫秽物品；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(四)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提供或者从事以营利为目的的陪侍；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(五)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赌博；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(六)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从事邪教、迷信活动；</w:t>
      </w:r>
      <w:r>
        <w:rPr>
          <w:rFonts w:hint="eastAsia" w:ascii="楷体_GB2312" w:hAnsi="楷体_GB2312" w:eastAsia="楷体_GB2312" w:cs="楷体_GB2312"/>
          <w:color w:val="000000"/>
          <w:sz w:val="22"/>
          <w:szCs w:val="22"/>
          <w:shd w:val="clear" w:color="auto" w:fill="FFFFFF"/>
        </w:rPr>
        <w:t>(七)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其他违法犯罪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行为。</w:t>
      </w:r>
    </w:p>
    <w:p>
      <w:pPr>
        <w:widowControl/>
        <w:spacing w:line="28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歌舞娱乐场所的包厢、包间内不得设置隔断，并应当安装展现室内整体环境的透明门窗。包厢、包间的门不得有内锁装置。营业期间，包厢、包间应设有长明灯，亮度不得低于国家规定的标准。应当在营业场所的大厅、包厢、包间内的显著位置悬挂含有禁毒、禁赌、禁止卖淫嫖娼等内容的警示标志。</w:t>
      </w:r>
    </w:p>
    <w:p>
      <w:pPr>
        <w:widowControl/>
        <w:spacing w:line="28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建立和完善各项治安防范制度和措施，确保相关技防设备正常运行，应当配齐安保人员和安检设备，加强对进入场所的人员进行安检，防止枪支、弹药、管制器具或者爆炸性、易燃性、毒害性、放射性、腐蚀性等危险物品和传染病病原体进入场所。</w:t>
      </w:r>
    </w:p>
    <w:p>
      <w:pPr>
        <w:widowControl/>
        <w:spacing w:line="28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应当建立巡查制度，加强内部楼层、设施设备的巡查，发现安全隐患及时整改；发现有违法犯罪活动的，应当立即向属地公安机关报告，并配合公安机关做好查处工作。</w:t>
      </w:r>
    </w:p>
    <w:p>
      <w:pPr>
        <w:widowControl/>
        <w:spacing w:line="28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加强从业人员法律、法规、规章和社会公德等方面教育培训。</w:t>
      </w:r>
    </w:p>
    <w:p>
      <w:pPr>
        <w:widowControl/>
        <w:spacing w:line="280" w:lineRule="exact"/>
        <w:ind w:firstLine="433" w:firstLineChars="196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娱乐场所违反有关规定不落实治安责任的，公安机关将依据《国务院娱乐场所管理条例》《昆明市特种行业和公共场所治安管理条例》相关规定，对单位、责任人予以处罚，涉嫌犯罪的将依法追究刑事责任；娱乐场所实施“黄赌毒”等禁止行为的，公安机关将责令停业整顿3至6个月，并对直接负责的主管人员和其他直接责任人员处1万元以上2万元以下的罚款。</w:t>
      </w:r>
    </w:p>
    <w:p>
      <w:pPr>
        <w:widowControl/>
        <w:spacing w:line="28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widowControl/>
        <w:spacing w:line="280" w:lineRule="exact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widowControl/>
        <w:spacing w:line="280" w:lineRule="exact"/>
        <w:ind w:right="560" w:firstLine="646"/>
        <w:jc w:val="center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</w:t>
      </w:r>
    </w:p>
    <w:p>
      <w:pPr>
        <w:widowControl/>
        <w:spacing w:line="280" w:lineRule="exact"/>
        <w:ind w:right="560" w:firstLine="646"/>
        <w:jc w:val="center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XXX公安局（分局）</w:t>
      </w:r>
    </w:p>
    <w:p>
      <w:pPr>
        <w:widowControl/>
        <w:spacing w:line="0" w:lineRule="atLeast"/>
        <w:ind w:right="560" w:firstLine="646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AA3"/>
    <w:rsid w:val="00630622"/>
    <w:rsid w:val="00705383"/>
    <w:rsid w:val="00AA1AA3"/>
    <w:rsid w:val="00D1711C"/>
    <w:rsid w:val="0E2347E1"/>
    <w:rsid w:val="35D44554"/>
    <w:rsid w:val="55A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1125</Characters>
  <Lines>9</Lines>
  <Paragraphs>2</Paragraphs>
  <TotalTime>12</TotalTime>
  <ScaleCrop>false</ScaleCrop>
  <LinksUpToDate>false</LinksUpToDate>
  <CharactersWithSpaces>1320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2019-08-06T07:52:00Z</dcterms:created>
  <dc:creator>HXD</dc:creator>
  <cp:lastModifiedBy>Administrator</cp:lastModifiedBy>
  <dcterms:modified xsi:type="dcterms:W3CDTF">2020-05-13T02:33:37Z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