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rPr>
          <w:rFonts w:hint="eastAsia" w:ascii="黑体" w:hAnsi="黑体" w:eastAsia="黑体"/>
          <w:sz w:val="24"/>
          <w:szCs w:val="21"/>
          <w:lang w:eastAsia="zh-CN"/>
        </w:rPr>
      </w:pPr>
      <w:r>
        <w:rPr>
          <w:rFonts w:hint="eastAsia" w:ascii="黑体" w:hAnsi="黑体" w:eastAsia="黑体"/>
          <w:sz w:val="24"/>
          <w:szCs w:val="21"/>
        </w:rPr>
        <w:t>附件2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3</w:t>
      </w:r>
    </w:p>
    <w:p>
      <w:pPr>
        <w:spacing w:after="0" w:line="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昆明市典当业安全管理责任告知书回执</w:t>
      </w:r>
    </w:p>
    <w:p>
      <w:pPr>
        <w:spacing w:after="0" w:line="0" w:lineRule="atLeas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80" w:firstLineChars="100"/>
        <w:textAlignment w:val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签收单位名称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盖章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签收单位地址</w:t>
      </w:r>
      <w:r>
        <w:rPr>
          <w:rFonts w:ascii="仿宋_GB2312" w:eastAsia="仿宋_GB2312"/>
          <w:sz w:val="28"/>
          <w:szCs w:val="28"/>
          <w:u w:val="single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80" w:firstLineChars="100"/>
        <w:textAlignment w:val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负责人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：手机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签收人：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 xml:space="preserve"> 手机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80" w:firstLineChars="100"/>
        <w:textAlignment w:val="auto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签收时间：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3240" w:leftChars="1543" w:right="640" w:firstLine="1400" w:firstLineChars="5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告知人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right="-1" w:firstLine="560" w:firstLineChars="200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告知单位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盖章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  <w:u w:val="single"/>
        </w:rPr>
        <w:t>xxx派出所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······································································································</w:t>
      </w:r>
    </w:p>
    <w:p>
      <w:pPr>
        <w:spacing w:after="0" w:line="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昆明市典当业安全管理责任告知书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为加强我市典当业（包括寄售业）安全管理，维护社会治安秩序，落实经营者主体责任，现将典当业安全管理责任告知如下：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40" w:firstLineChars="200"/>
        <w:jc w:val="left"/>
        <w:textAlignment w:val="auto"/>
        <w:rPr>
          <w:rFonts w:ascii="仿宋_GB2312" w:eastAsia="仿宋_GB2312"/>
          <w:color w:val="auto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一、</w:t>
      </w: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典当业从事经营活动，应当遵守法律、法规和规章，遵循平等、自愿、诚信、互利的原则。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40" w:firstLineChars="200"/>
        <w:jc w:val="left"/>
        <w:textAlignment w:val="auto"/>
        <w:rPr>
          <w:rFonts w:ascii="仿宋_GB2312" w:eastAsia="仿宋_GB2312"/>
          <w:color w:val="auto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二、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</w:rPr>
        <w:t>经营典当业、寄售业的，应当实行查验登记制度；不得经营国家明令禁止的物品；在经营活动中发现可疑人员和物品的，及时向公安机关报告。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40" w:firstLineChars="200"/>
        <w:jc w:val="left"/>
        <w:textAlignment w:val="auto"/>
        <w:rPr>
          <w:rFonts w:ascii="仿宋_GB2312" w:eastAsia="仿宋_GB2312"/>
          <w:color w:val="auto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三、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</w:rPr>
        <w:t>典当业应当如实记录、统计质押当物和当户信息，并按照所在地县级以上人民政府公安机关的要求报送备查。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40" w:firstLineChars="200"/>
        <w:jc w:val="left"/>
        <w:textAlignment w:val="auto"/>
        <w:rPr>
          <w:rFonts w:ascii="仿宋_GB2312" w:eastAsia="仿宋_GB2312"/>
          <w:color w:val="auto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四、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</w:rPr>
        <w:t>加强从业人员法律、法规、规章和社会公德、职业道德等方面教育培训。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40" w:firstLineChars="200"/>
        <w:jc w:val="left"/>
        <w:textAlignment w:val="auto"/>
        <w:rPr>
          <w:rFonts w:ascii="仿宋_GB2312" w:eastAsia="仿宋_GB2312"/>
          <w:color w:val="auto"/>
          <w:sz w:val="22"/>
          <w:szCs w:val="2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五、</w:t>
      </w:r>
      <w:bookmarkEnd w:id="0"/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</w:rPr>
        <w:t>发现可疑人员、可疑物品及公安机关要求协查的物品、走私物品，及时向当地公安机关报告，不得隐瞒包庇。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42" w:firstLineChars="200"/>
        <w:jc w:val="left"/>
        <w:textAlignment w:val="auto"/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b/>
          <w:color w:val="auto"/>
          <w:sz w:val="22"/>
          <w:szCs w:val="22"/>
          <w:shd w:val="clear" w:color="auto" w:fill="FFFFFF"/>
        </w:rPr>
        <w:t>法律责任：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  <w:lang w:eastAsia="zh-CN"/>
        </w:rPr>
        <w:t>典当业、</w:t>
      </w: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寄售业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  <w:lang w:eastAsia="zh-CN"/>
        </w:rPr>
        <w:t>未实行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</w:rPr>
        <w:t>查验登记制度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</w:rPr>
        <w:t>经营国家明令禁止的物品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</w:rPr>
        <w:t>在经营活动中发现可疑人员和物品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  <w:lang w:eastAsia="zh-CN"/>
        </w:rPr>
        <w:t>未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</w:rPr>
        <w:t>及时向公安机关报告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  <w:lang w:eastAsia="zh-CN"/>
        </w:rPr>
        <w:t>的，由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</w:rPr>
        <w:t>公安机关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  <w:lang w:eastAsia="zh-CN"/>
        </w:rPr>
        <w:t>依据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</w:rPr>
        <w:t>《昆明市特种行业和公共场所治安管理条例》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  <w:lang w:eastAsia="zh-CN"/>
        </w:rPr>
        <w:t>第二十四条</w:t>
      </w:r>
      <w:r>
        <w:rPr>
          <w:rFonts w:hint="eastAsia" w:ascii="仿宋_GB2312" w:eastAsia="仿宋_GB2312"/>
          <w:color w:val="auto"/>
          <w:sz w:val="22"/>
          <w:szCs w:val="22"/>
          <w:shd w:val="clear" w:color="auto" w:fill="FFFFFF"/>
        </w:rPr>
        <w:t>对责任人处以1000元罚款，对单位处以5000元罚款；有违法所得的，予以没收；情节严重的，责令停业整顿。</w:t>
      </w: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典当行</w:t>
      </w: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  <w:lang w:eastAsia="zh-CN"/>
        </w:rPr>
        <w:t>违规</w:t>
      </w: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收当依法被查封、扣押或者已经被采取其他保全措施的财产；赃物和来源不明的物品；易燃、易爆、剧毒、放射性物品及其容器；管制刀具，枪支、弹药，军、警用标志、制式服装和器械；国家机关公文、印章及其管理的财物；国家机关核发的除物权证书以外的证照及有效身份证件；当户没有所有权或者未能依法取得处分权的财产；法律、法规及国家有关规定禁止流通的自然资源或者其他财物</w:t>
      </w: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  <w:lang w:eastAsia="zh-CN"/>
        </w:rPr>
        <w:t>的，由公安机关依据《典当管理办法》</w:t>
      </w: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第二十七条规定责令改正，并处5000元以上3万元以下罚款；构成犯罪的，依法追究刑事责任。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31" w:firstLineChars="196"/>
        <w:jc w:val="left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公安机关鼓励社会公众积极举报一切违法犯罪行为，对有功人员将根据有关规定给予奖励。举报电话：110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560" w:firstLine="646"/>
        <w:jc w:val="center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560" w:firstLine="646"/>
        <w:jc w:val="center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560" w:firstLine="646"/>
        <w:jc w:val="center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560" w:firstLine="646"/>
        <w:jc w:val="center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560" w:firstLine="646"/>
        <w:jc w:val="center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 xml:space="preserve">                                  XXX公安局（分局）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560" w:firstLine="646"/>
        <w:jc w:val="center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 xml:space="preserve">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4F6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2020-05-06T07:34:00Z</dcterms:created>
  <dc:creator>HXD</dc:creator>
  <cp:lastModifiedBy>Administrator</cp:lastModifiedBy>
  <cp:lastPrinted>2020-05-07T02:00:00Z</cp:lastPrinted>
  <dcterms:modified xsi:type="dcterms:W3CDTF">2020-05-13T03:23:11Z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