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jc w:val="right"/>
        <w:rPr>
          <w:rFonts w:eastAsia="仿宋_GB2312"/>
          <w:color w:val="000000" w:themeColor="text1"/>
          <w14:textFill>
            <w14:solidFill>
              <w14:schemeClr w14:val="tx1"/>
            </w14:solidFill>
          </w14:textFill>
        </w:rPr>
      </w:pPr>
      <w:bookmarkStart w:id="0" w:name="_Toc6313"/>
    </w:p>
    <w:p>
      <w:pPr>
        <w:pStyle w:val="34"/>
        <w:jc w:val="right"/>
        <w:rPr>
          <w:rFonts w:eastAsia="仿宋_GB2312"/>
          <w:color w:val="000000" w:themeColor="text1"/>
          <w14:textFill>
            <w14:solidFill>
              <w14:schemeClr w14:val="tx1"/>
            </w14:solidFill>
          </w14:textFill>
        </w:rPr>
      </w:pPr>
    </w:p>
    <w:p>
      <w:pPr>
        <w:pStyle w:val="43"/>
        <w:rPr>
          <w:color w:val="000000" w:themeColor="text1"/>
          <w14:textFill>
            <w14:solidFill>
              <w14:schemeClr w14:val="tx1"/>
            </w14:solidFill>
          </w14:textFill>
        </w:rPr>
      </w:pPr>
    </w:p>
    <w:p>
      <w:pPr>
        <w:pStyle w:val="43"/>
        <w:rPr>
          <w:color w:val="000000" w:themeColor="text1"/>
          <w14:textFill>
            <w14:solidFill>
              <w14:schemeClr w14:val="tx1"/>
            </w14:solidFill>
          </w14:textFill>
        </w:rPr>
      </w:pPr>
    </w:p>
    <w:p>
      <w:pPr>
        <w:pStyle w:val="43"/>
        <w:rPr>
          <w:color w:val="000000" w:themeColor="text1"/>
          <w14:textFill>
            <w14:solidFill>
              <w14:schemeClr w14:val="tx1"/>
            </w14:solidFill>
          </w14:textFill>
        </w:rPr>
      </w:pPr>
    </w:p>
    <w:p>
      <w:pPr>
        <w:pStyle w:val="43"/>
        <w:rPr>
          <w:color w:val="000000" w:themeColor="text1"/>
          <w14:textFill>
            <w14:solidFill>
              <w14:schemeClr w14:val="tx1"/>
            </w14:solidFill>
          </w14:textFill>
        </w:rPr>
      </w:pPr>
    </w:p>
    <w:p>
      <w:pPr>
        <w:pStyle w:val="43"/>
        <w:rPr>
          <w:color w:val="000000" w:themeColor="text1"/>
          <w14:textFill>
            <w14:solidFill>
              <w14:schemeClr w14:val="tx1"/>
            </w14:solidFill>
          </w14:textFill>
        </w:rPr>
      </w:pPr>
    </w:p>
    <w:p>
      <w:pPr>
        <w:spacing w:before="120" w:beforeLines="50"/>
        <w:ind w:firstLine="0" w:firstLineChars="0"/>
        <w:jc w:val="center"/>
        <w:rPr>
          <w:rFonts w:eastAsia="方正小标宋简体"/>
          <w:color w:val="000000" w:themeColor="text1"/>
          <w:w w:val="90"/>
          <w:sz w:val="50"/>
          <w:szCs w:val="52"/>
          <w14:textFill>
            <w14:solidFill>
              <w14:schemeClr w14:val="tx1"/>
            </w14:solidFill>
          </w14:textFill>
        </w:rPr>
      </w:pPr>
      <w:r>
        <w:rPr>
          <w:rFonts w:eastAsia="方正小标宋简体"/>
          <w:color w:val="000000" w:themeColor="text1"/>
          <w:w w:val="90"/>
          <w:sz w:val="50"/>
          <w:szCs w:val="52"/>
          <w14:textFill>
            <w14:solidFill>
              <w14:schemeClr w14:val="tx1"/>
            </w14:solidFill>
          </w14:textFill>
        </w:rPr>
        <w:t>中国（云南）自由贸易试验区昆明片区</w:t>
      </w:r>
    </w:p>
    <w:p>
      <w:pPr>
        <w:spacing w:before="120" w:beforeLines="50"/>
        <w:ind w:firstLine="0" w:firstLineChars="0"/>
        <w:jc w:val="center"/>
        <w:rPr>
          <w:rFonts w:eastAsia="方正小标宋简体"/>
          <w:color w:val="000000" w:themeColor="text1"/>
          <w:w w:val="90"/>
          <w:sz w:val="50"/>
          <w:szCs w:val="52"/>
          <w14:textFill>
            <w14:solidFill>
              <w14:schemeClr w14:val="tx1"/>
            </w14:solidFill>
          </w14:textFill>
        </w:rPr>
      </w:pPr>
      <w:r>
        <w:rPr>
          <w:rFonts w:eastAsia="方正小标宋简体"/>
          <w:color w:val="000000" w:themeColor="text1"/>
          <w:w w:val="90"/>
          <w:sz w:val="50"/>
          <w:szCs w:val="52"/>
          <w14:textFill>
            <w14:solidFill>
              <w14:schemeClr w14:val="tx1"/>
            </w14:solidFill>
          </w14:textFill>
        </w:rPr>
        <w:t>（昆明经济技术开发区）国民经济和社会发展</w:t>
      </w:r>
    </w:p>
    <w:p>
      <w:pPr>
        <w:spacing w:before="120" w:beforeLines="50"/>
        <w:ind w:firstLine="0" w:firstLineChars="0"/>
        <w:jc w:val="center"/>
        <w:rPr>
          <w:rFonts w:eastAsia="方正小标宋简体"/>
          <w:color w:val="000000" w:themeColor="text1"/>
          <w:w w:val="90"/>
          <w:sz w:val="50"/>
          <w:szCs w:val="52"/>
          <w14:textFill>
            <w14:solidFill>
              <w14:schemeClr w14:val="tx1"/>
            </w14:solidFill>
          </w14:textFill>
        </w:rPr>
      </w:pPr>
      <w:r>
        <w:rPr>
          <w:rFonts w:eastAsia="方正小标宋简体"/>
          <w:color w:val="000000" w:themeColor="text1"/>
          <w:w w:val="90"/>
          <w:sz w:val="50"/>
          <w:szCs w:val="52"/>
          <w14:textFill>
            <w14:solidFill>
              <w14:schemeClr w14:val="tx1"/>
            </w14:solidFill>
          </w14:textFill>
        </w:rPr>
        <w:t>第十四个五年规</w:t>
      </w:r>
      <w:bookmarkStart w:id="244" w:name="_GoBack"/>
      <w:bookmarkEnd w:id="244"/>
      <w:r>
        <w:rPr>
          <w:rFonts w:eastAsia="方正小标宋简体"/>
          <w:color w:val="000000" w:themeColor="text1"/>
          <w:w w:val="90"/>
          <w:sz w:val="50"/>
          <w:szCs w:val="52"/>
          <w14:textFill>
            <w14:solidFill>
              <w14:schemeClr w14:val="tx1"/>
            </w14:solidFill>
          </w14:textFill>
        </w:rPr>
        <w:t>划和二〇三五年远景目标纲要</w:t>
      </w:r>
    </w:p>
    <w:p>
      <w:pPr>
        <w:pStyle w:val="33"/>
        <w:ind w:firstLine="640"/>
        <w:rPr>
          <w:color w:val="000000" w:themeColor="text1"/>
          <w14:textFill>
            <w14:solidFill>
              <w14:schemeClr w14:val="tx1"/>
            </w14:solidFill>
          </w14:textFill>
        </w:rPr>
      </w:pPr>
    </w:p>
    <w:p>
      <w:pPr>
        <w:pStyle w:val="33"/>
        <w:ind w:firstLine="640"/>
        <w:rPr>
          <w:color w:val="000000" w:themeColor="text1"/>
          <w14:textFill>
            <w14:solidFill>
              <w14:schemeClr w14:val="tx1"/>
            </w14:solidFill>
          </w14:textFill>
        </w:rPr>
      </w:pPr>
    </w:p>
    <w:p>
      <w:pPr>
        <w:pStyle w:val="33"/>
        <w:ind w:firstLine="640"/>
        <w:rPr>
          <w:color w:val="000000" w:themeColor="text1"/>
          <w14:textFill>
            <w14:solidFill>
              <w14:schemeClr w14:val="tx1"/>
            </w14:solidFill>
          </w14:textFill>
        </w:rPr>
      </w:pPr>
    </w:p>
    <w:p>
      <w:pPr>
        <w:pStyle w:val="33"/>
        <w:ind w:firstLine="640"/>
        <w:rPr>
          <w:rFonts w:eastAsia="方正小标宋_GBK"/>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pStyle w:val="6"/>
        <w:ind w:firstLine="0" w:firstLineChars="0"/>
        <w:rPr>
          <w:color w:val="000000" w:themeColor="text1"/>
          <w14:textFill>
            <w14:solidFill>
              <w14:schemeClr w14:val="tx1"/>
            </w14:solidFill>
          </w14:textFill>
        </w:rPr>
      </w:pPr>
    </w:p>
    <w:p>
      <w:pPr>
        <w:ind w:firstLine="640"/>
      </w:pPr>
    </w:p>
    <w:p>
      <w:pPr>
        <w:pStyle w:val="33"/>
        <w:ind w:firstLine="640"/>
        <w:rPr>
          <w:color w:val="000000" w:themeColor="text1"/>
          <w14:textFill>
            <w14:solidFill>
              <w14:schemeClr w14:val="tx1"/>
            </w14:solidFill>
          </w14:textFill>
        </w:rPr>
      </w:pPr>
    </w:p>
    <w:p>
      <w:pPr>
        <w:pStyle w:val="33"/>
        <w:ind w:firstLine="640"/>
        <w:rPr>
          <w:color w:val="000000" w:themeColor="text1"/>
          <w14:textFill>
            <w14:solidFill>
              <w14:schemeClr w14:val="tx1"/>
            </w14:solidFill>
          </w14:textFill>
        </w:rPr>
      </w:pPr>
    </w:p>
    <w:p>
      <w:pPr>
        <w:pStyle w:val="42"/>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中国（云南）自由贸易试验区昆明片区管</w:t>
      </w:r>
      <w:r>
        <w:rPr>
          <w:rFonts w:hint="eastAsia"/>
          <w:color w:val="000000" w:themeColor="text1"/>
          <w14:textFill>
            <w14:solidFill>
              <w14:schemeClr w14:val="tx1"/>
            </w14:solidFill>
          </w14:textFill>
        </w:rPr>
        <w:t>理</w:t>
      </w:r>
      <w:r>
        <w:rPr>
          <w:color w:val="000000" w:themeColor="text1"/>
          <w14:textFill>
            <w14:solidFill>
              <w14:schemeClr w14:val="tx1"/>
            </w14:solidFill>
          </w14:textFill>
        </w:rPr>
        <w:t>委</w:t>
      </w:r>
      <w:r>
        <w:rPr>
          <w:rFonts w:hint="eastAsia"/>
          <w:color w:val="000000" w:themeColor="text1"/>
          <w14:textFill>
            <w14:solidFill>
              <w14:schemeClr w14:val="tx1"/>
            </w14:solidFill>
          </w14:textFill>
        </w:rPr>
        <w:t>员</w:t>
      </w:r>
      <w:r>
        <w:rPr>
          <w:color w:val="000000" w:themeColor="text1"/>
          <w14:textFill>
            <w14:solidFill>
              <w14:schemeClr w14:val="tx1"/>
            </w14:solidFill>
          </w14:textFill>
        </w:rPr>
        <w:t>会</w:t>
      </w:r>
    </w:p>
    <w:p>
      <w:pPr>
        <w:pStyle w:val="42"/>
        <w:ind w:left="96" w:leftChars="30" w:firstLine="0" w:firstLineChars="0"/>
        <w:rPr>
          <w:color w:val="000000" w:themeColor="text1"/>
          <w:spacing w:val="51"/>
          <w14:textFill>
            <w14:solidFill>
              <w14:schemeClr w14:val="tx1"/>
            </w14:solidFill>
          </w14:textFill>
        </w:rPr>
      </w:pPr>
      <w:r>
        <w:rPr>
          <w:color w:val="000000" w:themeColor="text1"/>
          <w:spacing w:val="57"/>
          <w:kern w:val="0"/>
          <w14:textFill>
            <w14:solidFill>
              <w14:schemeClr w14:val="tx1"/>
            </w14:solidFill>
          </w14:textFill>
        </w:rPr>
        <w:t>国家级昆明经济技术开发区管</w:t>
      </w:r>
      <w:r>
        <w:rPr>
          <w:rFonts w:hint="eastAsia"/>
          <w:color w:val="000000" w:themeColor="text1"/>
          <w:spacing w:val="57"/>
          <w:kern w:val="0"/>
          <w14:textFill>
            <w14:solidFill>
              <w14:schemeClr w14:val="tx1"/>
            </w14:solidFill>
          </w14:textFill>
        </w:rPr>
        <w:t>理</w:t>
      </w:r>
      <w:r>
        <w:rPr>
          <w:color w:val="000000" w:themeColor="text1"/>
          <w:spacing w:val="57"/>
          <w:kern w:val="0"/>
          <w14:textFill>
            <w14:solidFill>
              <w14:schemeClr w14:val="tx1"/>
            </w14:solidFill>
          </w14:textFill>
        </w:rPr>
        <w:t>委</w:t>
      </w:r>
      <w:r>
        <w:rPr>
          <w:rFonts w:hint="eastAsia"/>
          <w:color w:val="000000" w:themeColor="text1"/>
          <w:spacing w:val="57"/>
          <w:kern w:val="0"/>
          <w14:textFill>
            <w14:solidFill>
              <w14:schemeClr w14:val="tx1"/>
            </w14:solidFill>
          </w14:textFill>
        </w:rPr>
        <w:t>员</w:t>
      </w:r>
      <w:r>
        <w:rPr>
          <w:color w:val="000000" w:themeColor="text1"/>
          <w:spacing w:val="57"/>
          <w:kern w:val="0"/>
          <w14:textFill>
            <w14:solidFill>
              <w14:schemeClr w14:val="tx1"/>
            </w14:solidFill>
          </w14:textFill>
        </w:rPr>
        <w:t>会</w:t>
      </w:r>
    </w:p>
    <w:p>
      <w:pPr>
        <w:pStyle w:val="42"/>
        <w:ind w:firstLine="0" w:firstLineChars="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2041" w:right="1418" w:bottom="1701" w:left="1418" w:header="851" w:footer="1361" w:gutter="0"/>
          <w:pgNumType w:start="1"/>
          <w:cols w:space="720" w:num="1"/>
          <w:titlePg/>
          <w:docGrid w:linePitch="312" w:charSpace="0"/>
        </w:sectPr>
      </w:pPr>
      <w:r>
        <w:rPr>
          <w:color w:val="000000" w:themeColor="text1"/>
          <w14:textFill>
            <w14:solidFill>
              <w14:schemeClr w14:val="tx1"/>
            </w14:solidFill>
          </w14:textFill>
        </w:rPr>
        <w:t>二〇二一年</w:t>
      </w:r>
      <w:r>
        <w:rPr>
          <w:rFonts w:hint="eastAsia"/>
          <w:color w:val="000000" w:themeColor="text1"/>
          <w:lang w:eastAsia="zh-CN"/>
          <w14:textFill>
            <w14:solidFill>
              <w14:schemeClr w14:val="tx1"/>
            </w14:solidFill>
          </w14:textFill>
        </w:rPr>
        <w:t>六</w:t>
      </w:r>
      <w:r>
        <w:rPr>
          <w:color w:val="000000" w:themeColor="text1"/>
          <w14:textFill>
            <w14:solidFill>
              <w14:schemeClr w14:val="tx1"/>
            </w14:solidFill>
          </w14:textFill>
        </w:rPr>
        <w:t>月</w:t>
      </w:r>
      <w:bookmarkEnd w:id="0"/>
    </w:p>
    <w:p>
      <w:pPr>
        <w:pStyle w:val="42"/>
        <w:ind w:firstLine="0" w:firstLineChars="0"/>
        <w:rPr>
          <w:color w:val="000000" w:themeColor="text1"/>
          <w14:textFill>
            <w14:solidFill>
              <w14:schemeClr w14:val="tx1"/>
            </w14:solidFill>
          </w14:textFill>
        </w:rPr>
        <w:sectPr>
          <w:pgSz w:w="11906" w:h="16838"/>
          <w:pgMar w:top="2041" w:right="1418" w:bottom="1701" w:left="1418" w:header="851" w:footer="1361" w:gutter="0"/>
          <w:pgNumType w:start="1"/>
          <w:cols w:space="720" w:num="1"/>
          <w:titlePg/>
          <w:docGrid w:linePitch="312" w:charSpace="0"/>
        </w:sectPr>
      </w:pPr>
    </w:p>
    <w:p>
      <w:pPr>
        <w:ind w:firstLine="0" w:firstLineChars="0"/>
        <w:jc w:val="center"/>
        <w:rPr>
          <w:rFonts w:eastAsia="方正小标宋_GBK"/>
          <w:color w:val="000000" w:themeColor="text1"/>
          <w:sz w:val="44"/>
          <w:szCs w:val="44"/>
          <w14:textFill>
            <w14:solidFill>
              <w14:schemeClr w14:val="tx1"/>
            </w14:solidFill>
          </w14:textFill>
        </w:rPr>
      </w:pPr>
      <w:bookmarkStart w:id="1" w:name="_Toc24727"/>
      <w:bookmarkStart w:id="2" w:name="_Toc14542_WPSOffice_Level1"/>
      <w:bookmarkStart w:id="3" w:name="_Toc26874"/>
      <w:bookmarkStart w:id="4" w:name="_Toc54533644"/>
      <w:r>
        <w:rPr>
          <w:rFonts w:eastAsia="方正小标宋_GBK"/>
          <w:color w:val="000000" w:themeColor="text1"/>
          <w:sz w:val="44"/>
          <w:szCs w:val="44"/>
          <w14:textFill>
            <w14:solidFill>
              <w14:schemeClr w14:val="tx1"/>
            </w14:solidFill>
          </w14:textFill>
        </w:rPr>
        <w:t>目   录</w:t>
      </w:r>
    </w:p>
    <w:p>
      <w:pPr>
        <w:pStyle w:val="2"/>
        <w:ind w:firstLine="646"/>
        <w:rPr>
          <w:color w:val="000000" w:themeColor="text1"/>
          <w14:textFill>
            <w14:solidFill>
              <w14:schemeClr w14:val="tx1"/>
            </w14:solidFill>
          </w14:textFill>
        </w:rPr>
      </w:pPr>
    </w:p>
    <w:p>
      <w:pPr>
        <w:pStyle w:val="14"/>
        <w:tabs>
          <w:tab w:val="right" w:leader="dot" w:pos="9070"/>
          <w:tab w:val="clear" w:pos="8296"/>
        </w:tabs>
        <w:spacing w:line="640" w:lineRule="exact"/>
        <w:rPr>
          <w:rFonts w:ascii="Times New Roman" w:hAnsi="Times New Roman" w:eastAsia="仿宋_GB2312" w:cs="仿宋_GB2312"/>
          <w:caps w:val="0"/>
          <w:sz w:val="32"/>
          <w:szCs w:val="32"/>
        </w:rPr>
      </w:pPr>
      <w:r>
        <w:rPr>
          <w:rFonts w:ascii="Times New Roman" w:hAnsi="Times New Roman" w:cs="Times New Roman"/>
          <w:color w:val="000000" w:themeColor="text1"/>
          <w:sz w:val="32"/>
          <w:szCs w:val="32"/>
          <w14:textFill>
            <w14:solidFill>
              <w14:schemeClr w14:val="tx1"/>
            </w14:solidFill>
          </w14:textFill>
        </w:rPr>
        <w:fldChar w:fldCharType="begin"/>
      </w:r>
      <w:r>
        <w:rPr>
          <w:rFonts w:ascii="Times New Roman" w:hAnsi="Times New Roman" w:cs="Times New Roman"/>
          <w:color w:val="000000" w:themeColor="text1"/>
          <w:sz w:val="32"/>
          <w:szCs w:val="32"/>
          <w14:textFill>
            <w14:solidFill>
              <w14:schemeClr w14:val="tx1"/>
            </w14:solidFill>
          </w14:textFill>
        </w:rPr>
        <w:instrText xml:space="preserve">TOC \o "1-2" \h \u </w:instrText>
      </w:r>
      <w:r>
        <w:rPr>
          <w:rFonts w:ascii="Times New Roman" w:hAnsi="Times New Roman" w:cs="Times New Roman"/>
          <w:color w:val="000000" w:themeColor="text1"/>
          <w:sz w:val="32"/>
          <w:szCs w:val="32"/>
          <w14:textFill>
            <w14:solidFill>
              <w14:schemeClr w14:val="tx1"/>
            </w14:solidFill>
          </w14:textFill>
        </w:rPr>
        <w:fldChar w:fldCharType="separate"/>
      </w:r>
      <w:r>
        <w:fldChar w:fldCharType="begin"/>
      </w:r>
      <w:r>
        <w:instrText xml:space="preserve"> HYPERLINK \l "_Toc1464" </w:instrText>
      </w:r>
      <w:r>
        <w:fldChar w:fldCharType="separate"/>
      </w:r>
      <w:r>
        <w:rPr>
          <w:rFonts w:hint="eastAsia" w:ascii="Times New Roman" w:hAnsi="Times New Roman" w:eastAsia="仿宋_GB2312" w:cs="仿宋_GB2312"/>
          <w:caps w:val="0"/>
          <w:sz w:val="32"/>
          <w:szCs w:val="32"/>
        </w:rPr>
        <w:t>规划编制依据</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_Toc1464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1</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"_Toc21509" </w:instrText>
      </w:r>
      <w:r>
        <w:fldChar w:fldCharType="separate"/>
      </w:r>
      <w:r>
        <w:rPr>
          <w:rFonts w:hint="eastAsia" w:ascii="Times New Roman" w:hAnsi="Times New Roman" w:eastAsia="仿宋_GB2312" w:cs="仿宋_GB2312"/>
          <w:caps w:val="0"/>
          <w:sz w:val="32"/>
          <w:szCs w:val="32"/>
        </w:rPr>
        <w:t>前    言</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_Toc21509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5</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"_Toc30426" </w:instrText>
      </w:r>
      <w:r>
        <w:fldChar w:fldCharType="separate"/>
      </w:r>
      <w:r>
        <w:rPr>
          <w:rFonts w:hint="eastAsia" w:ascii="Times New Roman" w:hAnsi="Times New Roman" w:eastAsia="仿宋_GB2312" w:cs="仿宋_GB2312"/>
          <w:caps w:val="0"/>
          <w:sz w:val="32"/>
          <w:szCs w:val="32"/>
        </w:rPr>
        <w:t>第一章  发展基础与发展环境</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_Toc30426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7</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"_Toc30475" </w:instrText>
      </w:r>
      <w:r>
        <w:fldChar w:fldCharType="separate"/>
      </w:r>
      <w:r>
        <w:rPr>
          <w:rFonts w:hint="eastAsia" w:ascii="Times New Roman" w:hAnsi="Times New Roman" w:cs="仿宋_GB2312"/>
          <w:smallCaps w:val="0"/>
          <w:sz w:val="32"/>
          <w:szCs w:val="32"/>
        </w:rPr>
        <w:t>第一节　发展基础</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_Toc30475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7</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"_Toc4438" </w:instrText>
      </w:r>
      <w:r>
        <w:fldChar w:fldCharType="separate"/>
      </w:r>
      <w:r>
        <w:rPr>
          <w:rFonts w:hint="eastAsia" w:ascii="Times New Roman" w:hAnsi="Times New Roman" w:cs="仿宋_GB2312"/>
          <w:smallCaps w:val="0"/>
          <w:sz w:val="32"/>
          <w:szCs w:val="32"/>
        </w:rPr>
        <w:t>第二节　发展环境</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_Toc4438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14</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"_Toc13066" </w:instrText>
      </w:r>
      <w:r>
        <w:fldChar w:fldCharType="separate"/>
      </w:r>
      <w:r>
        <w:rPr>
          <w:rFonts w:hint="eastAsia" w:ascii="Times New Roman" w:hAnsi="Times New Roman" w:eastAsia="仿宋_GB2312" w:cs="仿宋_GB2312"/>
          <w:caps w:val="0"/>
          <w:sz w:val="32"/>
          <w:szCs w:val="32"/>
        </w:rPr>
        <w:t>第二章  发展思路与发展目标</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_Toc13066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17</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"_Toc30883" </w:instrText>
      </w:r>
      <w:r>
        <w:fldChar w:fldCharType="separate"/>
      </w:r>
      <w:r>
        <w:rPr>
          <w:rFonts w:hint="eastAsia" w:ascii="Times New Roman" w:hAnsi="Times New Roman" w:cs="仿宋_GB2312"/>
          <w:smallCaps w:val="0"/>
          <w:sz w:val="32"/>
          <w:szCs w:val="32"/>
        </w:rPr>
        <w:t>第一节　发展思路</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_Toc30883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17</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"_Toc29295" </w:instrText>
      </w:r>
      <w:r>
        <w:fldChar w:fldCharType="separate"/>
      </w:r>
      <w:r>
        <w:rPr>
          <w:rFonts w:hint="eastAsia" w:ascii="Times New Roman" w:hAnsi="Times New Roman" w:cs="仿宋_GB2312"/>
          <w:smallCaps w:val="0"/>
          <w:sz w:val="32"/>
          <w:szCs w:val="32"/>
        </w:rPr>
        <w:t>第二节　发展目标</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_Toc29295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21</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"_Toc1332" </w:instrText>
      </w:r>
      <w:r>
        <w:fldChar w:fldCharType="separate"/>
      </w:r>
      <w:r>
        <w:rPr>
          <w:rFonts w:hint="eastAsia" w:ascii="Times New Roman" w:hAnsi="Times New Roman" w:cs="仿宋_GB2312"/>
          <w:smallCaps w:val="0"/>
          <w:sz w:val="32"/>
          <w:szCs w:val="32"/>
        </w:rPr>
        <w:t>第三节　空间规划</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_Toc1332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24</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"_Toc27799" </w:instrText>
      </w:r>
      <w:r>
        <w:fldChar w:fldCharType="separate"/>
      </w:r>
      <w:r>
        <w:rPr>
          <w:rFonts w:hint="eastAsia" w:ascii="Times New Roman" w:hAnsi="Times New Roman" w:eastAsia="仿宋_GB2312" w:cs="仿宋_GB2312"/>
          <w:caps w:val="0"/>
          <w:kern w:val="44"/>
          <w:sz w:val="32"/>
          <w:szCs w:val="32"/>
        </w:rPr>
        <w:t>第三章  扩大改革开放新优势</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_Toc27799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31</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"_Toc14026" </w:instrText>
      </w:r>
      <w:r>
        <w:fldChar w:fldCharType="separate"/>
      </w:r>
      <w:r>
        <w:rPr>
          <w:rFonts w:hint="eastAsia" w:ascii="Times New Roman" w:hAnsi="Times New Roman" w:cs="仿宋_GB2312"/>
          <w:bCs/>
          <w:smallCaps w:val="0"/>
          <w:kern w:val="0"/>
          <w:sz w:val="32"/>
          <w:szCs w:val="32"/>
        </w:rPr>
        <w:t>第一节　提升对外开放水平</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_Toc14026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31</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"_Toc30923" </w:instrText>
      </w:r>
      <w:r>
        <w:fldChar w:fldCharType="separate"/>
      </w:r>
      <w:r>
        <w:rPr>
          <w:rFonts w:hint="eastAsia" w:ascii="Times New Roman" w:hAnsi="Times New Roman" w:cs="仿宋_GB2312"/>
          <w:bCs/>
          <w:smallCaps w:val="0"/>
          <w:kern w:val="0"/>
          <w:sz w:val="32"/>
          <w:szCs w:val="32"/>
        </w:rPr>
        <w:t>第二节　打造一流营商环境</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_Toc30923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38</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"_Toc11242" </w:instrText>
      </w:r>
      <w:r>
        <w:fldChar w:fldCharType="separate"/>
      </w:r>
      <w:r>
        <w:rPr>
          <w:rFonts w:hint="eastAsia" w:ascii="Times New Roman" w:hAnsi="Times New Roman" w:cs="仿宋_GB2312"/>
          <w:bCs/>
          <w:smallCaps w:val="0"/>
          <w:kern w:val="0"/>
          <w:sz w:val="32"/>
          <w:szCs w:val="32"/>
        </w:rPr>
        <w:t>第三节　全面深化改革创新</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_Toc11242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41</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"_Toc22102" </w:instrText>
      </w:r>
      <w:r>
        <w:fldChar w:fldCharType="separate"/>
      </w:r>
      <w:r>
        <w:rPr>
          <w:rFonts w:hint="eastAsia" w:ascii="Times New Roman" w:hAnsi="Times New Roman" w:eastAsia="仿宋_GB2312" w:cs="仿宋_GB2312"/>
          <w:caps w:val="0"/>
          <w:kern w:val="44"/>
          <w:sz w:val="32"/>
          <w:szCs w:val="32"/>
        </w:rPr>
        <w:t>第四章  营造创新创业新环境</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_Toc22102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46</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"_Toc15909" </w:instrText>
      </w:r>
      <w:r>
        <w:fldChar w:fldCharType="separate"/>
      </w:r>
      <w:r>
        <w:rPr>
          <w:rFonts w:hint="eastAsia" w:ascii="Times New Roman" w:hAnsi="Times New Roman" w:cs="仿宋_GB2312"/>
          <w:bCs/>
          <w:smallCaps w:val="0"/>
          <w:kern w:val="0"/>
          <w:sz w:val="32"/>
          <w:szCs w:val="32"/>
        </w:rPr>
        <w:t>第一节　有效提升科技创新能力</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_Toc15909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46</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"_Toc31282" </w:instrText>
      </w:r>
      <w:r>
        <w:fldChar w:fldCharType="separate"/>
      </w:r>
      <w:r>
        <w:rPr>
          <w:rFonts w:hint="eastAsia" w:ascii="Times New Roman" w:hAnsi="Times New Roman" w:cs="仿宋_GB2312"/>
          <w:bCs/>
          <w:smallCaps w:val="0"/>
          <w:sz w:val="32"/>
          <w:szCs w:val="32"/>
        </w:rPr>
        <w:t>第二节　不断优化创新创业生态</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_Toc31282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48</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"_Toc12689" </w:instrText>
      </w:r>
      <w:r>
        <w:fldChar w:fldCharType="separate"/>
      </w:r>
      <w:r>
        <w:rPr>
          <w:rFonts w:hint="eastAsia" w:ascii="Times New Roman" w:hAnsi="Times New Roman" w:cs="仿宋_GB2312"/>
          <w:bCs/>
          <w:smallCaps w:val="0"/>
          <w:kern w:val="0"/>
          <w:sz w:val="32"/>
          <w:szCs w:val="32"/>
        </w:rPr>
        <w:t>第三节　有效激发各类人才创新创业活力</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_Toc12689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52</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"_Toc14097" </w:instrText>
      </w:r>
      <w:r>
        <w:fldChar w:fldCharType="separate"/>
      </w:r>
      <w:r>
        <w:rPr>
          <w:rFonts w:hint="eastAsia" w:ascii="Times New Roman" w:hAnsi="Times New Roman" w:eastAsia="仿宋_GB2312" w:cs="仿宋_GB2312"/>
          <w:caps w:val="0"/>
          <w:kern w:val="44"/>
          <w:sz w:val="32"/>
          <w:szCs w:val="32"/>
        </w:rPr>
        <w:t>第五章  构建现代产业新体系</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_Toc14097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57</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"_Toc6439" </w:instrText>
      </w:r>
      <w:r>
        <w:fldChar w:fldCharType="separate"/>
      </w:r>
      <w:r>
        <w:rPr>
          <w:rFonts w:hint="eastAsia" w:ascii="Times New Roman" w:hAnsi="Times New Roman" w:cs="仿宋_GB2312"/>
          <w:bCs/>
          <w:smallCaps w:val="0"/>
          <w:sz w:val="32"/>
          <w:szCs w:val="32"/>
        </w:rPr>
        <w:t>第一节　做大做强支柱产业</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_Toc6439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57</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"_Toc31448" </w:instrText>
      </w:r>
      <w:r>
        <w:fldChar w:fldCharType="separate"/>
      </w:r>
      <w:r>
        <w:rPr>
          <w:rFonts w:hint="eastAsia" w:ascii="Times New Roman" w:hAnsi="Times New Roman" w:cs="仿宋_GB2312"/>
          <w:bCs/>
          <w:smallCaps w:val="0"/>
          <w:sz w:val="32"/>
          <w:szCs w:val="32"/>
        </w:rPr>
        <w:t>第二节　培育壮大新兴产业</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_Toc31448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65</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"_Toc24282" </w:instrText>
      </w:r>
      <w:r>
        <w:fldChar w:fldCharType="separate"/>
      </w:r>
      <w:r>
        <w:rPr>
          <w:rFonts w:hint="eastAsia" w:ascii="Times New Roman" w:hAnsi="Times New Roman" w:cs="仿宋_GB2312"/>
          <w:bCs/>
          <w:smallCaps w:val="0"/>
          <w:sz w:val="32"/>
          <w:szCs w:val="32"/>
        </w:rPr>
        <w:t>第三节　巩固提升传统产业</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_Toc24282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72</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"_Toc29892" </w:instrText>
      </w:r>
      <w:r>
        <w:fldChar w:fldCharType="separate"/>
      </w:r>
      <w:r>
        <w:rPr>
          <w:rFonts w:hint="eastAsia" w:ascii="Times New Roman" w:hAnsi="Times New Roman" w:eastAsia="仿宋_GB2312" w:cs="仿宋_GB2312"/>
          <w:caps w:val="0"/>
          <w:sz w:val="32"/>
          <w:szCs w:val="32"/>
        </w:rPr>
        <w:t>第六章  推动产城融合新发展</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_Toc29892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77</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"_Toc5543" </w:instrText>
      </w:r>
      <w:r>
        <w:fldChar w:fldCharType="separate"/>
      </w:r>
      <w:r>
        <w:rPr>
          <w:rFonts w:hint="eastAsia" w:ascii="Times New Roman" w:hAnsi="Times New Roman" w:cs="仿宋_GB2312"/>
          <w:smallCaps w:val="0"/>
          <w:sz w:val="32"/>
          <w:szCs w:val="32"/>
        </w:rPr>
        <w:t>第一节　全面提升基础设施</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_Toc5543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77</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"_Toc20938" </w:instrText>
      </w:r>
      <w:r>
        <w:fldChar w:fldCharType="separate"/>
      </w:r>
      <w:r>
        <w:rPr>
          <w:rFonts w:hint="eastAsia" w:ascii="Times New Roman" w:hAnsi="Times New Roman" w:cs="仿宋_GB2312"/>
          <w:smallCaps w:val="0"/>
          <w:sz w:val="32"/>
          <w:szCs w:val="32"/>
        </w:rPr>
        <w:t>第二节　建设现代宜居新城</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_Toc20938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79</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"_Toc11505" </w:instrText>
      </w:r>
      <w:r>
        <w:fldChar w:fldCharType="separate"/>
      </w:r>
      <w:r>
        <w:rPr>
          <w:rFonts w:hint="eastAsia" w:ascii="Times New Roman" w:hAnsi="Times New Roman" w:cs="仿宋_GB2312"/>
          <w:smallCaps w:val="0"/>
          <w:sz w:val="32"/>
          <w:szCs w:val="32"/>
        </w:rPr>
        <w:t>第三节　提高城市管理水平</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_Toc11505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83</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"_Toc26871" </w:instrText>
      </w:r>
      <w:r>
        <w:fldChar w:fldCharType="separate"/>
      </w:r>
      <w:r>
        <w:rPr>
          <w:rFonts w:hint="eastAsia" w:ascii="Times New Roman" w:hAnsi="Times New Roman" w:eastAsia="仿宋_GB2312" w:cs="仿宋_GB2312"/>
          <w:caps w:val="0"/>
          <w:sz w:val="32"/>
          <w:szCs w:val="32"/>
        </w:rPr>
        <w:t>第七章  打造绿色园区新样板</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_Toc26871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86</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"_Toc6114" </w:instrText>
      </w:r>
      <w:r>
        <w:fldChar w:fldCharType="separate"/>
      </w:r>
      <w:r>
        <w:rPr>
          <w:rFonts w:hint="eastAsia" w:ascii="Times New Roman" w:hAnsi="Times New Roman" w:cs="仿宋_GB2312"/>
          <w:smallCaps w:val="0"/>
          <w:sz w:val="32"/>
          <w:szCs w:val="32"/>
        </w:rPr>
        <w:t>第一节　深入实施碧水行动</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_Toc6114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86</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"_Toc16348" </w:instrText>
      </w:r>
      <w:r>
        <w:fldChar w:fldCharType="separate"/>
      </w:r>
      <w:r>
        <w:rPr>
          <w:rFonts w:hint="eastAsia" w:ascii="Times New Roman" w:hAnsi="Times New Roman" w:cs="仿宋_GB2312"/>
          <w:smallCaps w:val="0"/>
          <w:sz w:val="32"/>
          <w:szCs w:val="32"/>
        </w:rPr>
        <w:t>第二节　全力守护“蓝天净土”</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_Toc16348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87</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"_Toc20648" </w:instrText>
      </w:r>
      <w:r>
        <w:fldChar w:fldCharType="separate"/>
      </w:r>
      <w:r>
        <w:rPr>
          <w:rFonts w:hint="eastAsia" w:ascii="Times New Roman" w:hAnsi="Times New Roman" w:cs="仿宋_GB2312"/>
          <w:smallCaps w:val="0"/>
          <w:sz w:val="32"/>
          <w:szCs w:val="32"/>
        </w:rPr>
        <w:t>第三节　推进绿色低碳循环发展</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_Toc20648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90</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"_Toc20298" </w:instrText>
      </w:r>
      <w:r>
        <w:fldChar w:fldCharType="separate"/>
      </w:r>
      <w:r>
        <w:rPr>
          <w:rFonts w:hint="eastAsia" w:ascii="Times New Roman" w:hAnsi="Times New Roman" w:cs="仿宋_GB2312"/>
          <w:smallCaps w:val="0"/>
          <w:sz w:val="32"/>
          <w:szCs w:val="32"/>
        </w:rPr>
        <w:t>第四节　绿化美化生态环境</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_Toc20298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92</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"_Toc7876" </w:instrText>
      </w:r>
      <w:r>
        <w:fldChar w:fldCharType="separate"/>
      </w:r>
      <w:r>
        <w:rPr>
          <w:rFonts w:hint="eastAsia" w:ascii="Times New Roman" w:hAnsi="Times New Roman" w:eastAsia="仿宋_GB2312" w:cs="仿宋_GB2312"/>
          <w:caps w:val="0"/>
          <w:sz w:val="32"/>
          <w:szCs w:val="32"/>
        </w:rPr>
        <w:t>第八章  提升公共服务新水平</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_Toc7876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94</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"_Toc29411" </w:instrText>
      </w:r>
      <w:r>
        <w:fldChar w:fldCharType="separate"/>
      </w:r>
      <w:r>
        <w:rPr>
          <w:rFonts w:hint="eastAsia" w:ascii="Times New Roman" w:hAnsi="Times New Roman" w:cs="仿宋_GB2312"/>
          <w:smallCaps w:val="0"/>
          <w:sz w:val="32"/>
          <w:szCs w:val="32"/>
        </w:rPr>
        <w:t>第一节　着力保障居民健康</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_Toc29411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94</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"_Toc209" </w:instrText>
      </w:r>
      <w:r>
        <w:fldChar w:fldCharType="separate"/>
      </w:r>
      <w:r>
        <w:rPr>
          <w:rFonts w:hint="eastAsia" w:ascii="Times New Roman" w:hAnsi="Times New Roman" w:cs="仿宋_GB2312"/>
          <w:smallCaps w:val="0"/>
          <w:sz w:val="32"/>
          <w:szCs w:val="32"/>
        </w:rPr>
        <w:t>第二节　着力提升教育质量</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_Toc209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97</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"_Toc594" </w:instrText>
      </w:r>
      <w:r>
        <w:fldChar w:fldCharType="separate"/>
      </w:r>
      <w:r>
        <w:rPr>
          <w:rFonts w:hint="eastAsia" w:ascii="Times New Roman" w:hAnsi="Times New Roman" w:cs="仿宋_GB2312"/>
          <w:smallCaps w:val="0"/>
          <w:sz w:val="32"/>
          <w:szCs w:val="32"/>
        </w:rPr>
        <w:t>第三节　着力促进就业稳定</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_Toc594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99</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"_Toc23907" </w:instrText>
      </w:r>
      <w:r>
        <w:fldChar w:fldCharType="separate"/>
      </w:r>
      <w:r>
        <w:rPr>
          <w:rFonts w:hint="eastAsia" w:ascii="Times New Roman" w:hAnsi="Times New Roman" w:cs="仿宋_GB2312"/>
          <w:smallCaps w:val="0"/>
          <w:sz w:val="32"/>
          <w:szCs w:val="32"/>
        </w:rPr>
        <w:t>第四节　着力健全社保体系</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_Toc23907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101</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"_Toc18725" </w:instrText>
      </w:r>
      <w:r>
        <w:fldChar w:fldCharType="separate"/>
      </w:r>
      <w:r>
        <w:rPr>
          <w:rFonts w:hint="eastAsia" w:ascii="Times New Roman" w:hAnsi="Times New Roman" w:cs="仿宋_GB2312"/>
          <w:smallCaps w:val="0"/>
          <w:sz w:val="32"/>
          <w:szCs w:val="32"/>
        </w:rPr>
        <w:t>第五节　着力繁荣文化事业</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_Toc18725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103</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"_Toc31723" </w:instrText>
      </w:r>
      <w:r>
        <w:fldChar w:fldCharType="separate"/>
      </w:r>
      <w:r>
        <w:rPr>
          <w:rFonts w:hint="eastAsia" w:ascii="Times New Roman" w:hAnsi="Times New Roman" w:eastAsia="仿宋_GB2312" w:cs="仿宋_GB2312"/>
          <w:caps w:val="0"/>
          <w:sz w:val="32"/>
          <w:szCs w:val="32"/>
        </w:rPr>
        <w:t>第九章  构建社会治理新格局</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_Toc31723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105</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"_Toc31395" </w:instrText>
      </w:r>
      <w:r>
        <w:fldChar w:fldCharType="separate"/>
      </w:r>
      <w:r>
        <w:rPr>
          <w:rFonts w:hint="eastAsia" w:ascii="Times New Roman" w:hAnsi="Times New Roman" w:cs="仿宋_GB2312"/>
          <w:smallCaps w:val="0"/>
          <w:sz w:val="32"/>
          <w:szCs w:val="32"/>
        </w:rPr>
        <w:t>第一节　建设法治园区</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_Toc31395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105</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"_Toc3533" </w:instrText>
      </w:r>
      <w:r>
        <w:fldChar w:fldCharType="separate"/>
      </w:r>
      <w:r>
        <w:rPr>
          <w:rFonts w:hint="eastAsia" w:ascii="Times New Roman" w:hAnsi="Times New Roman" w:cs="仿宋_GB2312"/>
          <w:smallCaps w:val="0"/>
          <w:sz w:val="32"/>
          <w:szCs w:val="32"/>
        </w:rPr>
        <w:t>第二节　建设平安园区</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_Toc3533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107</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"_Toc26894" </w:instrText>
      </w:r>
      <w:r>
        <w:fldChar w:fldCharType="separate"/>
      </w:r>
      <w:r>
        <w:rPr>
          <w:rFonts w:hint="eastAsia" w:ascii="Times New Roman" w:hAnsi="Times New Roman" w:cs="仿宋_GB2312"/>
          <w:smallCaps w:val="0"/>
          <w:sz w:val="32"/>
          <w:szCs w:val="32"/>
        </w:rPr>
        <w:t>第三节　建设善治园区</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_Toc26894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109</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sz w:val="32"/>
          <w:szCs w:val="32"/>
        </w:rPr>
      </w:pPr>
      <w:r>
        <w:fldChar w:fldCharType="begin"/>
      </w:r>
      <w:r>
        <w:instrText xml:space="preserve"> HYPERLINK \l "_Toc4354" </w:instrText>
      </w:r>
      <w:r>
        <w:fldChar w:fldCharType="separate"/>
      </w:r>
      <w:r>
        <w:rPr>
          <w:rFonts w:hint="eastAsia" w:ascii="Times New Roman" w:hAnsi="Times New Roman" w:eastAsia="仿宋_GB2312" w:cs="仿宋_GB2312"/>
          <w:caps w:val="0"/>
          <w:sz w:val="32"/>
          <w:szCs w:val="32"/>
        </w:rPr>
        <w:t>第十章  规划实施保障</w:t>
      </w:r>
      <w:r>
        <w:rPr>
          <w:rFonts w:hint="eastAsia" w:ascii="Times New Roman" w:hAnsi="Times New Roman" w:eastAsia="仿宋_GB2312" w:cs="仿宋_GB2312"/>
          <w:caps w:val="0"/>
          <w:sz w:val="32"/>
          <w:szCs w:val="32"/>
        </w:rPr>
        <w:tab/>
      </w:r>
      <w:r>
        <w:rPr>
          <w:rFonts w:hint="eastAsia" w:ascii="Times New Roman" w:hAnsi="Times New Roman" w:eastAsia="仿宋_GB2312" w:cs="仿宋_GB2312"/>
          <w:caps w:val="0"/>
          <w:sz w:val="32"/>
          <w:szCs w:val="32"/>
        </w:rPr>
        <w:fldChar w:fldCharType="begin"/>
      </w:r>
      <w:r>
        <w:rPr>
          <w:rFonts w:hint="eastAsia" w:ascii="Times New Roman" w:hAnsi="Times New Roman" w:eastAsia="仿宋_GB2312" w:cs="仿宋_GB2312"/>
          <w:caps w:val="0"/>
          <w:sz w:val="32"/>
          <w:szCs w:val="32"/>
        </w:rPr>
        <w:instrText xml:space="preserve"> PAGEREF _Toc4354 </w:instrText>
      </w:r>
      <w:r>
        <w:rPr>
          <w:rFonts w:hint="eastAsia" w:ascii="Times New Roman" w:hAnsi="Times New Roman" w:eastAsia="仿宋_GB2312" w:cs="仿宋_GB2312"/>
          <w:caps w:val="0"/>
          <w:sz w:val="32"/>
          <w:szCs w:val="32"/>
        </w:rPr>
        <w:fldChar w:fldCharType="separate"/>
      </w:r>
      <w:r>
        <w:rPr>
          <w:rFonts w:ascii="Times New Roman" w:hAnsi="Times New Roman" w:eastAsia="仿宋_GB2312" w:cs="仿宋_GB2312"/>
          <w:caps w:val="0"/>
          <w:sz w:val="32"/>
          <w:szCs w:val="32"/>
        </w:rPr>
        <w:t>112</w:t>
      </w:r>
      <w:r>
        <w:rPr>
          <w:rFonts w:hint="eastAsia" w:ascii="Times New Roman" w:hAnsi="Times New Roman" w:eastAsia="仿宋_GB2312" w:cs="仿宋_GB2312"/>
          <w:caps w:val="0"/>
          <w:sz w:val="32"/>
          <w:szCs w:val="32"/>
        </w:rPr>
        <w:fldChar w:fldCharType="end"/>
      </w:r>
      <w:r>
        <w:rPr>
          <w:rFonts w:hint="eastAsia" w:ascii="Times New Roman" w:hAnsi="Times New Roman" w:eastAsia="仿宋_GB2312" w:cs="仿宋_GB2312"/>
          <w: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"_Toc17454" </w:instrText>
      </w:r>
      <w:r>
        <w:fldChar w:fldCharType="separate"/>
      </w:r>
      <w:r>
        <w:rPr>
          <w:rFonts w:hint="eastAsia" w:ascii="Times New Roman" w:hAnsi="Times New Roman" w:cs="仿宋_GB2312"/>
          <w:smallCaps w:val="0"/>
          <w:sz w:val="32"/>
          <w:szCs w:val="32"/>
        </w:rPr>
        <w:t>第一节　坚持和加强党的全面领导</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_Toc17454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112</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"_Toc24835" </w:instrText>
      </w:r>
      <w:r>
        <w:fldChar w:fldCharType="separate"/>
      </w:r>
      <w:r>
        <w:rPr>
          <w:rFonts w:hint="eastAsia" w:ascii="Times New Roman" w:hAnsi="Times New Roman" w:cs="仿宋_GB2312"/>
          <w:smallCaps w:val="0"/>
          <w:sz w:val="32"/>
          <w:szCs w:val="32"/>
        </w:rPr>
        <w:t>第二节　加强规划衔接</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_Toc24835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112</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"_Toc293" </w:instrText>
      </w:r>
      <w:r>
        <w:fldChar w:fldCharType="separate"/>
      </w:r>
      <w:r>
        <w:rPr>
          <w:rFonts w:hint="eastAsia" w:ascii="Times New Roman" w:hAnsi="Times New Roman" w:cs="仿宋_GB2312"/>
          <w:smallCaps w:val="0"/>
          <w:sz w:val="32"/>
          <w:szCs w:val="32"/>
        </w:rPr>
        <w:t>第三节　加强政策协同</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_Toc293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113</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"_Toc12240" </w:instrText>
      </w:r>
      <w:r>
        <w:fldChar w:fldCharType="separate"/>
      </w:r>
      <w:r>
        <w:rPr>
          <w:rFonts w:hint="eastAsia" w:ascii="Times New Roman" w:hAnsi="Times New Roman" w:cs="仿宋_GB2312"/>
          <w:smallCaps w:val="0"/>
          <w:sz w:val="32"/>
          <w:szCs w:val="32"/>
        </w:rPr>
        <w:t>第四节　加强项目保障</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_Toc12240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113</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"_Toc24014" </w:instrText>
      </w:r>
      <w:r>
        <w:fldChar w:fldCharType="separate"/>
      </w:r>
      <w:r>
        <w:rPr>
          <w:rFonts w:hint="eastAsia" w:ascii="Times New Roman" w:hAnsi="Times New Roman" w:cs="仿宋_GB2312"/>
          <w:smallCaps w:val="0"/>
          <w:sz w:val="32"/>
          <w:szCs w:val="32"/>
        </w:rPr>
        <w:t>第五节　加强评估考核</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_Toc24014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114</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6"/>
        <w:tabs>
          <w:tab w:val="right" w:leader="dot" w:pos="9070"/>
        </w:tabs>
        <w:spacing w:line="640" w:lineRule="exact"/>
        <w:ind w:firstLine="640"/>
        <w:rPr>
          <w:rFonts w:ascii="Times New Roman" w:hAnsi="Times New Roman" w:cs="仿宋_GB2312"/>
          <w:smallCaps w:val="0"/>
          <w:sz w:val="32"/>
          <w:szCs w:val="32"/>
        </w:rPr>
      </w:pPr>
      <w:r>
        <w:fldChar w:fldCharType="begin"/>
      </w:r>
      <w:r>
        <w:instrText xml:space="preserve"> HYPERLINK \l "_Toc12357" </w:instrText>
      </w:r>
      <w:r>
        <w:fldChar w:fldCharType="separate"/>
      </w:r>
      <w:r>
        <w:rPr>
          <w:rFonts w:hint="eastAsia" w:ascii="Times New Roman" w:hAnsi="Times New Roman" w:cs="仿宋_GB2312"/>
          <w:smallCaps w:val="0"/>
          <w:sz w:val="32"/>
          <w:szCs w:val="32"/>
        </w:rPr>
        <w:t>第六节　加强宣传解读</w:t>
      </w:r>
      <w:r>
        <w:rPr>
          <w:rFonts w:hint="eastAsia" w:ascii="Times New Roman" w:hAnsi="Times New Roman" w:cs="仿宋_GB2312"/>
          <w:smallCaps w:val="0"/>
          <w:sz w:val="32"/>
          <w:szCs w:val="32"/>
        </w:rPr>
        <w:tab/>
      </w:r>
      <w:r>
        <w:rPr>
          <w:rFonts w:hint="eastAsia" w:ascii="Times New Roman" w:hAnsi="Times New Roman" w:cs="仿宋_GB2312"/>
          <w:smallCaps w:val="0"/>
          <w:sz w:val="32"/>
          <w:szCs w:val="32"/>
        </w:rPr>
        <w:fldChar w:fldCharType="begin"/>
      </w:r>
      <w:r>
        <w:rPr>
          <w:rFonts w:hint="eastAsia" w:ascii="Times New Roman" w:hAnsi="Times New Roman" w:cs="仿宋_GB2312"/>
          <w:smallCaps w:val="0"/>
          <w:sz w:val="32"/>
          <w:szCs w:val="32"/>
        </w:rPr>
        <w:instrText xml:space="preserve"> PAGEREF _Toc12357 </w:instrText>
      </w:r>
      <w:r>
        <w:rPr>
          <w:rFonts w:hint="eastAsia" w:ascii="Times New Roman" w:hAnsi="Times New Roman" w:cs="仿宋_GB2312"/>
          <w:smallCaps w:val="0"/>
          <w:sz w:val="32"/>
          <w:szCs w:val="32"/>
        </w:rPr>
        <w:fldChar w:fldCharType="separate"/>
      </w:r>
      <w:r>
        <w:rPr>
          <w:rFonts w:ascii="Times New Roman" w:hAnsi="Times New Roman" w:cs="仿宋_GB2312"/>
          <w:smallCaps w:val="0"/>
          <w:sz w:val="32"/>
          <w:szCs w:val="32"/>
        </w:rPr>
        <w:t>114</w:t>
      </w:r>
      <w:r>
        <w:rPr>
          <w:rFonts w:hint="eastAsia" w:ascii="Times New Roman" w:hAnsi="Times New Roman" w:cs="仿宋_GB2312"/>
          <w:smallCaps w:val="0"/>
          <w:sz w:val="32"/>
          <w:szCs w:val="32"/>
        </w:rPr>
        <w:fldChar w:fldCharType="end"/>
      </w:r>
      <w:r>
        <w:rPr>
          <w:rFonts w:hint="eastAsia" w:ascii="Times New Roman" w:hAnsi="Times New Roman" w:cs="仿宋_GB2312"/>
          <w:smallCaps w:val="0"/>
          <w:sz w:val="32"/>
          <w:szCs w:val="32"/>
        </w:rPr>
        <w:fldChar w:fldCharType="end"/>
      </w:r>
    </w:p>
    <w:p>
      <w:pPr>
        <w:pStyle w:val="14"/>
        <w:tabs>
          <w:tab w:val="right" w:leader="dot" w:pos="9070"/>
          <w:tab w:val="clear" w:pos="8296"/>
        </w:tabs>
        <w:spacing w:line="640" w:lineRule="exact"/>
        <w:rPr>
          <w:rFonts w:ascii="Times New Roman" w:hAnsi="Times New Roman" w:eastAsia="仿宋_GB2312" w:cs="仿宋_GB2312"/>
          <w:caps w:val="0"/>
          <w:color w:val="000000" w:themeColor="text1"/>
          <w:sz w:val="32"/>
          <w:szCs w:val="32"/>
          <w14:textFill>
            <w14:solidFill>
              <w14:schemeClr w14:val="tx1"/>
            </w14:solidFill>
          </w14:textFill>
        </w:rPr>
      </w:pPr>
    </w:p>
    <w:p>
      <w:pPr>
        <w:pStyle w:val="14"/>
        <w:tabs>
          <w:tab w:val="right" w:leader="dot" w:pos="9070"/>
          <w:tab w:val="clear" w:pos="8296"/>
        </w:tabs>
        <w:spacing w:line="640" w:lineRule="exact"/>
        <w:ind w:left="1864" w:leftChars="300" w:hanging="904" w:hangingChars="300"/>
        <w:rPr>
          <w:rFonts w:ascii="Times New Roman" w:hAnsi="Times New Roman" w:eastAsia="仿宋_GB2312" w:cs="仿宋_GB2312"/>
          <w:b w:val="0"/>
          <w:bCs w:val="0"/>
          <w:caps w:val="0"/>
          <w:sz w:val="32"/>
          <w:szCs w:val="32"/>
        </w:rPr>
      </w:pPr>
      <w:r>
        <w:fldChar w:fldCharType="begin"/>
      </w:r>
      <w:r>
        <w:instrText xml:space="preserve"> HYPERLINK \l "_Toc17470" </w:instrText>
      </w:r>
      <w:r>
        <w:fldChar w:fldCharType="separate"/>
      </w:r>
      <w:r>
        <w:rPr>
          <w:rFonts w:hint="eastAsia" w:ascii="Times New Roman" w:hAnsi="Times New Roman" w:eastAsia="仿宋_GB2312" w:cs="仿宋_GB2312"/>
          <w:b w:val="0"/>
          <w:bCs w:val="0"/>
          <w:caps w:val="0"/>
          <w:sz w:val="32"/>
          <w:szCs w:val="32"/>
        </w:rPr>
        <w:t>附件1</w:t>
      </w:r>
      <w:r>
        <w:rPr>
          <w:rFonts w:hint="eastAsia" w:ascii="Times New Roman" w:hAnsi="Times New Roman" w:eastAsia="仿宋_GB2312" w:cs="仿宋_GB2312"/>
          <w:b w:val="0"/>
          <w:bCs w:val="0"/>
          <w:caps w:val="0"/>
          <w:sz w:val="32"/>
          <w:szCs w:val="32"/>
        </w:rPr>
        <w:fldChar w:fldCharType="end"/>
      </w:r>
      <w:r>
        <w:rPr>
          <w:rFonts w:hint="eastAsia" w:ascii="Times New Roman" w:hAnsi="Times New Roman" w:eastAsia="仿宋_GB2312" w:cs="仿宋_GB2312"/>
          <w:b w:val="0"/>
          <w:bCs w:val="0"/>
          <w:caps w:val="0"/>
          <w:color w:val="000000" w:themeColor="text1"/>
          <w:sz w:val="32"/>
          <w:szCs w:val="32"/>
          <w14:textFill>
            <w14:solidFill>
              <w14:schemeClr w14:val="tx1"/>
            </w14:solidFill>
          </w14:textFill>
        </w:rPr>
        <w:t>:</w:t>
      </w:r>
      <w:r>
        <w:fldChar w:fldCharType="begin"/>
      </w:r>
      <w:r>
        <w:instrText xml:space="preserve"> HYPERLINK \l "_Toc17448" </w:instrText>
      </w:r>
      <w:r>
        <w:fldChar w:fldCharType="separate"/>
      </w:r>
      <w:r>
        <w:rPr>
          <w:rFonts w:hint="eastAsia" w:ascii="Times New Roman" w:hAnsi="Times New Roman" w:eastAsia="仿宋_GB2312" w:cs="仿宋_GB2312"/>
          <w:b w:val="0"/>
          <w:bCs w:val="0"/>
          <w:caps w:val="0"/>
          <w:sz w:val="32"/>
          <w:szCs w:val="32"/>
        </w:rPr>
        <w:t>名词解释</w:t>
      </w:r>
      <w:r>
        <w:rPr>
          <w:rFonts w:hint="eastAsia" w:ascii="Times New Roman" w:hAnsi="Times New Roman" w:eastAsia="仿宋_GB2312" w:cs="仿宋_GB2312"/>
          <w:b w:val="0"/>
          <w:bCs w:val="0"/>
          <w:caps w:val="0"/>
          <w:sz w:val="32"/>
          <w:szCs w:val="32"/>
        </w:rPr>
        <w:tab/>
      </w:r>
      <w:r>
        <w:rPr>
          <w:rFonts w:hint="eastAsia" w:ascii="Times New Roman" w:hAnsi="Times New Roman" w:eastAsia="仿宋_GB2312" w:cs="仿宋_GB2312"/>
          <w:b w:val="0"/>
          <w:bCs w:val="0"/>
          <w:caps w:val="0"/>
          <w:sz w:val="32"/>
          <w:szCs w:val="32"/>
        </w:rPr>
        <w:fldChar w:fldCharType="begin"/>
      </w:r>
      <w:r>
        <w:rPr>
          <w:rFonts w:hint="eastAsia" w:ascii="Times New Roman" w:hAnsi="Times New Roman" w:eastAsia="仿宋_GB2312" w:cs="仿宋_GB2312"/>
          <w:b w:val="0"/>
          <w:bCs w:val="0"/>
          <w:caps w:val="0"/>
          <w:sz w:val="32"/>
          <w:szCs w:val="32"/>
        </w:rPr>
        <w:instrText xml:space="preserve"> PAGEREF _Toc17448 </w:instrText>
      </w:r>
      <w:r>
        <w:rPr>
          <w:rFonts w:hint="eastAsia" w:ascii="Times New Roman" w:hAnsi="Times New Roman" w:eastAsia="仿宋_GB2312" w:cs="仿宋_GB2312"/>
          <w:b w:val="0"/>
          <w:bCs w:val="0"/>
          <w:caps w:val="0"/>
          <w:sz w:val="32"/>
          <w:szCs w:val="32"/>
        </w:rPr>
        <w:fldChar w:fldCharType="separate"/>
      </w:r>
      <w:r>
        <w:rPr>
          <w:rFonts w:ascii="Times New Roman" w:hAnsi="Times New Roman" w:eastAsia="仿宋_GB2312" w:cs="仿宋_GB2312"/>
          <w:b w:val="0"/>
          <w:bCs w:val="0"/>
          <w:caps w:val="0"/>
          <w:sz w:val="32"/>
          <w:szCs w:val="32"/>
        </w:rPr>
        <w:t>115</w:t>
      </w:r>
      <w:r>
        <w:rPr>
          <w:rFonts w:hint="eastAsia" w:ascii="Times New Roman" w:hAnsi="Times New Roman" w:eastAsia="仿宋_GB2312" w:cs="仿宋_GB2312"/>
          <w:b w:val="0"/>
          <w:bCs w:val="0"/>
          <w:caps w:val="0"/>
          <w:sz w:val="32"/>
          <w:szCs w:val="32"/>
        </w:rPr>
        <w:fldChar w:fldCharType="end"/>
      </w:r>
      <w:r>
        <w:rPr>
          <w:rFonts w:hint="eastAsia" w:ascii="Times New Roman" w:hAnsi="Times New Roman" w:eastAsia="仿宋_GB2312" w:cs="仿宋_GB2312"/>
          <w:b w:val="0"/>
          <w:bCs w:val="0"/>
          <w:caps w:val="0"/>
          <w:sz w:val="32"/>
          <w:szCs w:val="32"/>
        </w:rPr>
        <w:fldChar w:fldCharType="end"/>
      </w:r>
    </w:p>
    <w:p>
      <w:pPr>
        <w:pStyle w:val="14"/>
        <w:tabs>
          <w:tab w:val="right" w:leader="dot" w:pos="9070"/>
          <w:tab w:val="clear" w:pos="8296"/>
        </w:tabs>
        <w:spacing w:line="640" w:lineRule="exact"/>
        <w:ind w:left="1864" w:leftChars="300" w:hanging="904" w:hangingChars="300"/>
        <w:rPr>
          <w:rFonts w:ascii="Times New Roman" w:hAnsi="Times New Roman" w:eastAsia="仿宋_GB2312" w:cs="仿宋_GB2312"/>
          <w:b w:val="0"/>
          <w:bCs w:val="0"/>
          <w:caps w:val="0"/>
          <w:sz w:val="32"/>
          <w:szCs w:val="32"/>
        </w:rPr>
      </w:pPr>
      <w:r>
        <w:fldChar w:fldCharType="begin"/>
      </w:r>
      <w:r>
        <w:instrText xml:space="preserve"> HYPERLINK \l "_Toc14109" </w:instrText>
      </w:r>
      <w:r>
        <w:fldChar w:fldCharType="separate"/>
      </w:r>
      <w:r>
        <w:rPr>
          <w:rFonts w:hint="eastAsia" w:ascii="Times New Roman" w:hAnsi="Times New Roman" w:eastAsia="仿宋_GB2312" w:cs="仿宋_GB2312"/>
          <w:b w:val="0"/>
          <w:bCs w:val="0"/>
          <w:caps w:val="0"/>
          <w:sz w:val="32"/>
          <w:szCs w:val="32"/>
        </w:rPr>
        <w:t>附件2:</w:t>
      </w:r>
      <w:r>
        <w:rPr>
          <w:rFonts w:hint="eastAsia" w:ascii="Times New Roman" w:hAnsi="Times New Roman" w:eastAsia="仿宋_GB2312" w:cs="仿宋_GB2312"/>
          <w:b w:val="0"/>
          <w:bCs w:val="0"/>
          <w:caps w:val="0"/>
          <w:sz w:val="32"/>
          <w:szCs w:val="32"/>
        </w:rPr>
        <w:fldChar w:fldCharType="end"/>
      </w:r>
      <w:r>
        <w:fldChar w:fldCharType="begin"/>
      </w:r>
      <w:r>
        <w:instrText xml:space="preserve"> HYPERLINK \l "_Toc21392" </w:instrText>
      </w:r>
      <w:r>
        <w:fldChar w:fldCharType="separate"/>
      </w:r>
      <w:r>
        <w:rPr>
          <w:rFonts w:hint="eastAsia" w:ascii="Times New Roman" w:hAnsi="Times New Roman" w:eastAsia="仿宋_GB2312" w:cs="仿宋_GB2312"/>
          <w:b w:val="0"/>
          <w:bCs w:val="0"/>
          <w:caps w:val="0"/>
          <w:sz w:val="32"/>
          <w:szCs w:val="32"/>
        </w:rPr>
        <w:t>区位示意图</w:t>
      </w:r>
      <w:r>
        <w:rPr>
          <w:rFonts w:hint="eastAsia" w:ascii="Times New Roman" w:hAnsi="Times New Roman" w:eastAsia="仿宋_GB2312" w:cs="仿宋_GB2312"/>
          <w:b w:val="0"/>
          <w:bCs w:val="0"/>
          <w:caps w:val="0"/>
          <w:sz w:val="32"/>
          <w:szCs w:val="32"/>
        </w:rPr>
        <w:tab/>
      </w:r>
      <w:r>
        <w:rPr>
          <w:rFonts w:hint="eastAsia" w:ascii="Times New Roman" w:hAnsi="Times New Roman" w:eastAsia="仿宋_GB2312" w:cs="仿宋_GB2312"/>
          <w:b w:val="0"/>
          <w:bCs w:val="0"/>
          <w:caps w:val="0"/>
          <w:sz w:val="32"/>
          <w:szCs w:val="32"/>
        </w:rPr>
        <w:fldChar w:fldCharType="begin"/>
      </w:r>
      <w:r>
        <w:rPr>
          <w:rFonts w:hint="eastAsia" w:ascii="Times New Roman" w:hAnsi="Times New Roman" w:eastAsia="仿宋_GB2312" w:cs="仿宋_GB2312"/>
          <w:b w:val="0"/>
          <w:bCs w:val="0"/>
          <w:caps w:val="0"/>
          <w:sz w:val="32"/>
          <w:szCs w:val="32"/>
        </w:rPr>
        <w:instrText xml:space="preserve"> PAGEREF _Toc21392 </w:instrText>
      </w:r>
      <w:r>
        <w:rPr>
          <w:rFonts w:hint="eastAsia" w:ascii="Times New Roman" w:hAnsi="Times New Roman" w:eastAsia="仿宋_GB2312" w:cs="仿宋_GB2312"/>
          <w:b w:val="0"/>
          <w:bCs w:val="0"/>
          <w:caps w:val="0"/>
          <w:sz w:val="32"/>
          <w:szCs w:val="32"/>
        </w:rPr>
        <w:fldChar w:fldCharType="separate"/>
      </w:r>
      <w:r>
        <w:rPr>
          <w:rFonts w:ascii="Times New Roman" w:hAnsi="Times New Roman" w:eastAsia="仿宋_GB2312" w:cs="仿宋_GB2312"/>
          <w:b w:val="0"/>
          <w:bCs w:val="0"/>
          <w:caps w:val="0"/>
          <w:sz w:val="32"/>
          <w:szCs w:val="32"/>
        </w:rPr>
        <w:t>122</w:t>
      </w:r>
      <w:r>
        <w:rPr>
          <w:rFonts w:hint="eastAsia" w:ascii="Times New Roman" w:hAnsi="Times New Roman" w:eastAsia="仿宋_GB2312" w:cs="仿宋_GB2312"/>
          <w:b w:val="0"/>
          <w:bCs w:val="0"/>
          <w:caps w:val="0"/>
          <w:sz w:val="32"/>
          <w:szCs w:val="32"/>
        </w:rPr>
        <w:fldChar w:fldCharType="end"/>
      </w:r>
      <w:r>
        <w:rPr>
          <w:rFonts w:hint="eastAsia" w:ascii="Times New Roman" w:hAnsi="Times New Roman" w:eastAsia="仿宋_GB2312" w:cs="仿宋_GB2312"/>
          <w:b w:val="0"/>
          <w:bCs w:val="0"/>
          <w:caps w:val="0"/>
          <w:sz w:val="32"/>
          <w:szCs w:val="32"/>
        </w:rPr>
        <w:fldChar w:fldCharType="end"/>
      </w:r>
    </w:p>
    <w:p>
      <w:pPr>
        <w:pStyle w:val="14"/>
        <w:tabs>
          <w:tab w:val="right" w:leader="dot" w:pos="9070"/>
          <w:tab w:val="clear" w:pos="8296"/>
        </w:tabs>
        <w:spacing w:line="640" w:lineRule="exact"/>
        <w:ind w:left="1864" w:leftChars="300" w:hanging="904" w:hangingChars="300"/>
        <w:rPr>
          <w:rFonts w:ascii="Times New Roman" w:hAnsi="Times New Roman" w:eastAsia="仿宋_GB2312" w:cs="仿宋_GB2312"/>
          <w:b w:val="0"/>
          <w:bCs w:val="0"/>
          <w:caps w:val="0"/>
          <w:sz w:val="32"/>
          <w:szCs w:val="32"/>
        </w:rPr>
      </w:pPr>
      <w:r>
        <w:fldChar w:fldCharType="begin"/>
      </w:r>
      <w:r>
        <w:instrText xml:space="preserve"> HYPERLINK \l "_Toc30192" </w:instrText>
      </w:r>
      <w:r>
        <w:fldChar w:fldCharType="separate"/>
      </w:r>
      <w:r>
        <w:rPr>
          <w:rFonts w:hint="eastAsia" w:ascii="Times New Roman" w:hAnsi="Times New Roman" w:eastAsia="仿宋_GB2312" w:cs="仿宋_GB2312"/>
          <w:b w:val="0"/>
          <w:bCs w:val="0"/>
          <w:caps w:val="0"/>
          <w:sz w:val="32"/>
          <w:szCs w:val="32"/>
        </w:rPr>
        <w:t>附件3:</w:t>
      </w:r>
      <w:r>
        <w:rPr>
          <w:rFonts w:hint="eastAsia" w:ascii="Times New Roman" w:hAnsi="Times New Roman" w:eastAsia="仿宋_GB2312" w:cs="仿宋_GB2312"/>
          <w:b w:val="0"/>
          <w:bCs w:val="0"/>
          <w:caps w:val="0"/>
          <w:sz w:val="32"/>
          <w:szCs w:val="32"/>
        </w:rPr>
        <w:fldChar w:fldCharType="end"/>
      </w:r>
      <w:r>
        <w:fldChar w:fldCharType="begin"/>
      </w:r>
      <w:r>
        <w:instrText xml:space="preserve"> HYPERLINK \l "_Toc24725" </w:instrText>
      </w:r>
      <w:r>
        <w:fldChar w:fldCharType="separate"/>
      </w:r>
      <w:r>
        <w:rPr>
          <w:rFonts w:hint="eastAsia" w:ascii="Times New Roman" w:hAnsi="Times New Roman" w:eastAsia="仿宋_GB2312" w:cs="仿宋_GB2312"/>
          <w:b w:val="0"/>
          <w:bCs w:val="0"/>
          <w:caps w:val="0"/>
          <w:sz w:val="32"/>
          <w:szCs w:val="32"/>
        </w:rPr>
        <w:t>三区联动发展示意图</w:t>
      </w:r>
      <w:r>
        <w:rPr>
          <w:rFonts w:hint="eastAsia" w:ascii="Times New Roman" w:hAnsi="Times New Roman" w:eastAsia="仿宋_GB2312" w:cs="仿宋_GB2312"/>
          <w:b w:val="0"/>
          <w:bCs w:val="0"/>
          <w:caps w:val="0"/>
          <w:sz w:val="32"/>
          <w:szCs w:val="32"/>
        </w:rPr>
        <w:tab/>
      </w:r>
      <w:r>
        <w:rPr>
          <w:rFonts w:hint="eastAsia" w:ascii="Times New Roman" w:hAnsi="Times New Roman" w:eastAsia="仿宋_GB2312" w:cs="仿宋_GB2312"/>
          <w:b w:val="0"/>
          <w:bCs w:val="0"/>
          <w:caps w:val="0"/>
          <w:sz w:val="32"/>
          <w:szCs w:val="32"/>
        </w:rPr>
        <w:fldChar w:fldCharType="begin"/>
      </w:r>
      <w:r>
        <w:rPr>
          <w:rFonts w:hint="eastAsia" w:ascii="Times New Roman" w:hAnsi="Times New Roman" w:eastAsia="仿宋_GB2312" w:cs="仿宋_GB2312"/>
          <w:b w:val="0"/>
          <w:bCs w:val="0"/>
          <w:caps w:val="0"/>
          <w:sz w:val="32"/>
          <w:szCs w:val="32"/>
        </w:rPr>
        <w:instrText xml:space="preserve"> PAGEREF _Toc24725 </w:instrText>
      </w:r>
      <w:r>
        <w:rPr>
          <w:rFonts w:hint="eastAsia" w:ascii="Times New Roman" w:hAnsi="Times New Roman" w:eastAsia="仿宋_GB2312" w:cs="仿宋_GB2312"/>
          <w:b w:val="0"/>
          <w:bCs w:val="0"/>
          <w:caps w:val="0"/>
          <w:sz w:val="32"/>
          <w:szCs w:val="32"/>
        </w:rPr>
        <w:fldChar w:fldCharType="separate"/>
      </w:r>
      <w:r>
        <w:rPr>
          <w:rFonts w:ascii="Times New Roman" w:hAnsi="Times New Roman" w:eastAsia="仿宋_GB2312" w:cs="仿宋_GB2312"/>
          <w:b w:val="0"/>
          <w:bCs w:val="0"/>
          <w:caps w:val="0"/>
          <w:sz w:val="32"/>
          <w:szCs w:val="32"/>
        </w:rPr>
        <w:t>123</w:t>
      </w:r>
      <w:r>
        <w:rPr>
          <w:rFonts w:hint="eastAsia" w:ascii="Times New Roman" w:hAnsi="Times New Roman" w:eastAsia="仿宋_GB2312" w:cs="仿宋_GB2312"/>
          <w:b w:val="0"/>
          <w:bCs w:val="0"/>
          <w:caps w:val="0"/>
          <w:sz w:val="32"/>
          <w:szCs w:val="32"/>
        </w:rPr>
        <w:fldChar w:fldCharType="end"/>
      </w:r>
      <w:r>
        <w:rPr>
          <w:rFonts w:hint="eastAsia" w:ascii="Times New Roman" w:hAnsi="Times New Roman" w:eastAsia="仿宋_GB2312" w:cs="仿宋_GB2312"/>
          <w:b w:val="0"/>
          <w:bCs w:val="0"/>
          <w:caps w:val="0"/>
          <w:sz w:val="32"/>
          <w:szCs w:val="32"/>
        </w:rPr>
        <w:fldChar w:fldCharType="end"/>
      </w:r>
    </w:p>
    <w:p>
      <w:pPr>
        <w:pStyle w:val="14"/>
        <w:tabs>
          <w:tab w:val="right" w:leader="dot" w:pos="9070"/>
          <w:tab w:val="clear" w:pos="8296"/>
        </w:tabs>
        <w:spacing w:line="640" w:lineRule="exact"/>
        <w:ind w:left="1864" w:leftChars="300" w:hanging="904" w:hangingChars="300"/>
        <w:rPr>
          <w:rFonts w:ascii="Times New Roman" w:hAnsi="Times New Roman" w:eastAsia="仿宋_GB2312" w:cs="仿宋_GB2312"/>
          <w:b w:val="0"/>
          <w:bCs w:val="0"/>
          <w:caps w:val="0"/>
          <w:sz w:val="32"/>
          <w:szCs w:val="32"/>
        </w:rPr>
      </w:pPr>
      <w:r>
        <w:fldChar w:fldCharType="begin"/>
      </w:r>
      <w:r>
        <w:instrText xml:space="preserve"> HYPERLINK \l "_Toc16524" </w:instrText>
      </w:r>
      <w:r>
        <w:fldChar w:fldCharType="separate"/>
      </w:r>
      <w:r>
        <w:rPr>
          <w:rFonts w:hint="eastAsia" w:ascii="Times New Roman" w:hAnsi="Times New Roman" w:eastAsia="仿宋_GB2312" w:cs="仿宋_GB2312"/>
          <w:b w:val="0"/>
          <w:bCs w:val="0"/>
          <w:caps w:val="0"/>
          <w:sz w:val="32"/>
          <w:szCs w:val="32"/>
        </w:rPr>
        <w:t>附件4:</w:t>
      </w:r>
      <w:r>
        <w:rPr>
          <w:rFonts w:hint="eastAsia" w:ascii="Times New Roman" w:hAnsi="Times New Roman" w:eastAsia="仿宋_GB2312" w:cs="仿宋_GB2312"/>
          <w:b w:val="0"/>
          <w:bCs w:val="0"/>
          <w:caps w:val="0"/>
          <w:sz w:val="32"/>
          <w:szCs w:val="32"/>
        </w:rPr>
        <w:fldChar w:fldCharType="end"/>
      </w:r>
      <w:r>
        <w:fldChar w:fldCharType="begin"/>
      </w:r>
      <w:r>
        <w:instrText xml:space="preserve"> HYPERLINK \l "_Toc16742" </w:instrText>
      </w:r>
      <w:r>
        <w:fldChar w:fldCharType="separate"/>
      </w:r>
      <w:r>
        <w:rPr>
          <w:rFonts w:hint="eastAsia" w:ascii="Times New Roman" w:hAnsi="Times New Roman" w:eastAsia="仿宋_GB2312" w:cs="仿宋_GB2312"/>
          <w:b w:val="0"/>
          <w:bCs w:val="0"/>
          <w:caps w:val="0"/>
          <w:sz w:val="32"/>
          <w:szCs w:val="32"/>
        </w:rPr>
        <w:t>“一轴两带双核五中心七片区”示意图</w:t>
      </w:r>
      <w:r>
        <w:rPr>
          <w:rFonts w:hint="eastAsia" w:ascii="Times New Roman" w:hAnsi="Times New Roman" w:eastAsia="仿宋_GB2312" w:cs="仿宋_GB2312"/>
          <w:b w:val="0"/>
          <w:bCs w:val="0"/>
          <w:caps w:val="0"/>
          <w:sz w:val="32"/>
          <w:szCs w:val="32"/>
        </w:rPr>
        <w:tab/>
      </w:r>
      <w:r>
        <w:rPr>
          <w:rFonts w:hint="eastAsia" w:ascii="Times New Roman" w:hAnsi="Times New Roman" w:eastAsia="仿宋_GB2312" w:cs="仿宋_GB2312"/>
          <w:b w:val="0"/>
          <w:bCs w:val="0"/>
          <w:caps w:val="0"/>
          <w:sz w:val="32"/>
          <w:szCs w:val="32"/>
        </w:rPr>
        <w:fldChar w:fldCharType="begin"/>
      </w:r>
      <w:r>
        <w:rPr>
          <w:rFonts w:hint="eastAsia" w:ascii="Times New Roman" w:hAnsi="Times New Roman" w:eastAsia="仿宋_GB2312" w:cs="仿宋_GB2312"/>
          <w:b w:val="0"/>
          <w:bCs w:val="0"/>
          <w:caps w:val="0"/>
          <w:sz w:val="32"/>
          <w:szCs w:val="32"/>
        </w:rPr>
        <w:instrText xml:space="preserve"> PAGEREF _Toc16742 </w:instrText>
      </w:r>
      <w:r>
        <w:rPr>
          <w:rFonts w:hint="eastAsia" w:ascii="Times New Roman" w:hAnsi="Times New Roman" w:eastAsia="仿宋_GB2312" w:cs="仿宋_GB2312"/>
          <w:b w:val="0"/>
          <w:bCs w:val="0"/>
          <w:caps w:val="0"/>
          <w:sz w:val="32"/>
          <w:szCs w:val="32"/>
        </w:rPr>
        <w:fldChar w:fldCharType="separate"/>
      </w:r>
      <w:r>
        <w:rPr>
          <w:rFonts w:ascii="Times New Roman" w:hAnsi="Times New Roman" w:eastAsia="仿宋_GB2312" w:cs="仿宋_GB2312"/>
          <w:b w:val="0"/>
          <w:bCs w:val="0"/>
          <w:caps w:val="0"/>
          <w:sz w:val="32"/>
          <w:szCs w:val="32"/>
        </w:rPr>
        <w:t>124</w:t>
      </w:r>
      <w:r>
        <w:rPr>
          <w:rFonts w:hint="eastAsia" w:ascii="Times New Roman" w:hAnsi="Times New Roman" w:eastAsia="仿宋_GB2312" w:cs="仿宋_GB2312"/>
          <w:b w:val="0"/>
          <w:bCs w:val="0"/>
          <w:caps w:val="0"/>
          <w:sz w:val="32"/>
          <w:szCs w:val="32"/>
        </w:rPr>
        <w:fldChar w:fldCharType="end"/>
      </w:r>
      <w:r>
        <w:rPr>
          <w:rFonts w:hint="eastAsia" w:ascii="Times New Roman" w:hAnsi="Times New Roman" w:eastAsia="仿宋_GB2312" w:cs="仿宋_GB2312"/>
          <w:b w:val="0"/>
          <w:bCs w:val="0"/>
          <w:caps w:val="0"/>
          <w:sz w:val="32"/>
          <w:szCs w:val="32"/>
        </w:rPr>
        <w:fldChar w:fldCharType="end"/>
      </w:r>
    </w:p>
    <w:p>
      <w:pPr>
        <w:pStyle w:val="14"/>
        <w:tabs>
          <w:tab w:val="right" w:leader="dot" w:pos="9070"/>
          <w:tab w:val="clear" w:pos="8296"/>
        </w:tabs>
        <w:spacing w:line="640" w:lineRule="exact"/>
        <w:ind w:left="1864" w:leftChars="300" w:hanging="904" w:hangingChars="300"/>
        <w:rPr>
          <w:rFonts w:ascii="Times New Roman" w:hAnsi="Times New Roman" w:eastAsia="仿宋_GB2312" w:cs="仿宋_GB2312"/>
          <w:b w:val="0"/>
          <w:bCs w:val="0"/>
          <w:caps w:val="0"/>
          <w:sz w:val="32"/>
          <w:szCs w:val="32"/>
        </w:rPr>
      </w:pPr>
      <w:r>
        <w:fldChar w:fldCharType="begin"/>
      </w:r>
      <w:r>
        <w:instrText xml:space="preserve"> HYPERLINK \l "_Toc6985" </w:instrText>
      </w:r>
      <w:r>
        <w:fldChar w:fldCharType="separate"/>
      </w:r>
      <w:r>
        <w:rPr>
          <w:rFonts w:hint="eastAsia" w:ascii="Times New Roman" w:hAnsi="Times New Roman" w:eastAsia="仿宋_GB2312" w:cs="仿宋_GB2312"/>
          <w:b w:val="0"/>
          <w:bCs w:val="0"/>
          <w:caps w:val="0"/>
          <w:sz w:val="32"/>
          <w:szCs w:val="32"/>
        </w:rPr>
        <w:t>附件5:</w:t>
      </w:r>
      <w:r>
        <w:rPr>
          <w:rFonts w:hint="eastAsia" w:ascii="Times New Roman" w:hAnsi="Times New Roman" w:eastAsia="仿宋_GB2312" w:cs="仿宋_GB2312"/>
          <w:b w:val="0"/>
          <w:bCs w:val="0"/>
          <w:caps w:val="0"/>
          <w:sz w:val="32"/>
          <w:szCs w:val="32"/>
        </w:rPr>
        <w:fldChar w:fldCharType="end"/>
      </w:r>
      <w:r>
        <w:fldChar w:fldCharType="begin"/>
      </w:r>
      <w:r>
        <w:instrText xml:space="preserve"> HYPERLINK \l "_Toc31806" </w:instrText>
      </w:r>
      <w:r>
        <w:fldChar w:fldCharType="separate"/>
      </w:r>
      <w:r>
        <w:rPr>
          <w:rFonts w:hint="eastAsia" w:ascii="Times New Roman" w:hAnsi="Times New Roman" w:eastAsia="仿宋_GB2312" w:cs="仿宋_GB2312"/>
          <w:b w:val="0"/>
          <w:bCs w:val="0"/>
          <w:caps w:val="0"/>
          <w:sz w:val="32"/>
          <w:szCs w:val="32"/>
        </w:rPr>
        <w:t>“一区八片”示意图</w:t>
      </w:r>
      <w:r>
        <w:rPr>
          <w:rFonts w:hint="eastAsia" w:ascii="Times New Roman" w:hAnsi="Times New Roman" w:eastAsia="仿宋_GB2312" w:cs="仿宋_GB2312"/>
          <w:b w:val="0"/>
          <w:bCs w:val="0"/>
          <w:caps w:val="0"/>
          <w:sz w:val="32"/>
          <w:szCs w:val="32"/>
        </w:rPr>
        <w:tab/>
      </w:r>
      <w:r>
        <w:rPr>
          <w:rFonts w:hint="eastAsia" w:ascii="Times New Roman" w:hAnsi="Times New Roman" w:eastAsia="仿宋_GB2312" w:cs="仿宋_GB2312"/>
          <w:b w:val="0"/>
          <w:bCs w:val="0"/>
          <w:caps w:val="0"/>
          <w:sz w:val="32"/>
          <w:szCs w:val="32"/>
        </w:rPr>
        <w:fldChar w:fldCharType="begin"/>
      </w:r>
      <w:r>
        <w:rPr>
          <w:rFonts w:hint="eastAsia" w:ascii="Times New Roman" w:hAnsi="Times New Roman" w:eastAsia="仿宋_GB2312" w:cs="仿宋_GB2312"/>
          <w:b w:val="0"/>
          <w:bCs w:val="0"/>
          <w:caps w:val="0"/>
          <w:sz w:val="32"/>
          <w:szCs w:val="32"/>
        </w:rPr>
        <w:instrText xml:space="preserve"> PAGEREF _Toc31806 </w:instrText>
      </w:r>
      <w:r>
        <w:rPr>
          <w:rFonts w:hint="eastAsia" w:ascii="Times New Roman" w:hAnsi="Times New Roman" w:eastAsia="仿宋_GB2312" w:cs="仿宋_GB2312"/>
          <w:b w:val="0"/>
          <w:bCs w:val="0"/>
          <w:caps w:val="0"/>
          <w:sz w:val="32"/>
          <w:szCs w:val="32"/>
        </w:rPr>
        <w:fldChar w:fldCharType="separate"/>
      </w:r>
      <w:r>
        <w:rPr>
          <w:rFonts w:ascii="Times New Roman" w:hAnsi="Times New Roman" w:eastAsia="仿宋_GB2312" w:cs="仿宋_GB2312"/>
          <w:b w:val="0"/>
          <w:bCs w:val="0"/>
          <w:caps w:val="0"/>
          <w:sz w:val="32"/>
          <w:szCs w:val="32"/>
        </w:rPr>
        <w:t>125</w:t>
      </w:r>
      <w:r>
        <w:rPr>
          <w:rFonts w:hint="eastAsia" w:ascii="Times New Roman" w:hAnsi="Times New Roman" w:eastAsia="仿宋_GB2312" w:cs="仿宋_GB2312"/>
          <w:b w:val="0"/>
          <w:bCs w:val="0"/>
          <w:caps w:val="0"/>
          <w:sz w:val="32"/>
          <w:szCs w:val="32"/>
        </w:rPr>
        <w:fldChar w:fldCharType="end"/>
      </w:r>
      <w:r>
        <w:rPr>
          <w:rFonts w:hint="eastAsia" w:ascii="Times New Roman" w:hAnsi="Times New Roman" w:eastAsia="仿宋_GB2312" w:cs="仿宋_GB2312"/>
          <w:b w:val="0"/>
          <w:bCs w:val="0"/>
          <w:caps w:val="0"/>
          <w:sz w:val="32"/>
          <w:szCs w:val="32"/>
        </w:rPr>
        <w:fldChar w:fldCharType="end"/>
      </w:r>
    </w:p>
    <w:p>
      <w:pPr>
        <w:pStyle w:val="14"/>
        <w:tabs>
          <w:tab w:val="right" w:leader="dot" w:pos="9070"/>
          <w:tab w:val="clear" w:pos="8296"/>
        </w:tabs>
        <w:spacing w:line="640" w:lineRule="exact"/>
        <w:ind w:left="1864" w:leftChars="300" w:hanging="904" w:hangingChars="300"/>
        <w:rPr>
          <w:rFonts w:ascii="Times New Roman" w:hAnsi="Times New Roman" w:eastAsia="仿宋_GB2312" w:cs="仿宋_GB2312"/>
          <w:b w:val="0"/>
          <w:bCs w:val="0"/>
          <w:caps w:val="0"/>
          <w:sz w:val="32"/>
          <w:szCs w:val="32"/>
        </w:rPr>
      </w:pPr>
      <w:r>
        <w:fldChar w:fldCharType="begin"/>
      </w:r>
      <w:r>
        <w:instrText xml:space="preserve"> HYPERLINK \l "_Toc16819" </w:instrText>
      </w:r>
      <w:r>
        <w:fldChar w:fldCharType="separate"/>
      </w:r>
      <w:r>
        <w:rPr>
          <w:rFonts w:hint="eastAsia" w:ascii="Times New Roman" w:hAnsi="Times New Roman" w:eastAsia="仿宋_GB2312" w:cs="仿宋_GB2312"/>
          <w:b w:val="0"/>
          <w:bCs w:val="0"/>
          <w:caps w:val="0"/>
          <w:sz w:val="32"/>
          <w:szCs w:val="32"/>
        </w:rPr>
        <w:t>附件6:</w:t>
      </w:r>
      <w:r>
        <w:rPr>
          <w:rFonts w:hint="eastAsia" w:ascii="Times New Roman" w:hAnsi="Times New Roman" w:eastAsia="仿宋_GB2312" w:cs="仿宋_GB2312"/>
          <w:b w:val="0"/>
          <w:bCs w:val="0"/>
          <w:caps w:val="0"/>
          <w:sz w:val="32"/>
          <w:szCs w:val="32"/>
        </w:rPr>
        <w:fldChar w:fldCharType="end"/>
      </w:r>
      <w:r>
        <w:fldChar w:fldCharType="begin"/>
      </w:r>
      <w:r>
        <w:instrText xml:space="preserve"> HYPERLINK \l "_Toc23501" </w:instrText>
      </w:r>
      <w:r>
        <w:fldChar w:fldCharType="separate"/>
      </w:r>
      <w:r>
        <w:rPr>
          <w:rFonts w:hint="eastAsia" w:ascii="Times New Roman" w:hAnsi="Times New Roman" w:eastAsia="仿宋_GB2312" w:cs="仿宋_GB2312"/>
          <w:b w:val="0"/>
          <w:bCs w:val="0"/>
          <w:caps w:val="0"/>
          <w:sz w:val="32"/>
          <w:szCs w:val="32"/>
        </w:rPr>
        <w:t>综合交通规划示意图</w:t>
      </w:r>
      <w:r>
        <w:rPr>
          <w:rFonts w:hint="eastAsia" w:ascii="Times New Roman" w:hAnsi="Times New Roman" w:eastAsia="仿宋_GB2312" w:cs="仿宋_GB2312"/>
          <w:b w:val="0"/>
          <w:bCs w:val="0"/>
          <w:caps w:val="0"/>
          <w:sz w:val="32"/>
          <w:szCs w:val="32"/>
        </w:rPr>
        <w:tab/>
      </w:r>
      <w:r>
        <w:rPr>
          <w:rFonts w:hint="eastAsia" w:ascii="Times New Roman" w:hAnsi="Times New Roman" w:eastAsia="仿宋_GB2312" w:cs="仿宋_GB2312"/>
          <w:b w:val="0"/>
          <w:bCs w:val="0"/>
          <w:caps w:val="0"/>
          <w:sz w:val="32"/>
          <w:szCs w:val="32"/>
        </w:rPr>
        <w:fldChar w:fldCharType="begin"/>
      </w:r>
      <w:r>
        <w:rPr>
          <w:rFonts w:hint="eastAsia" w:ascii="Times New Roman" w:hAnsi="Times New Roman" w:eastAsia="仿宋_GB2312" w:cs="仿宋_GB2312"/>
          <w:b w:val="0"/>
          <w:bCs w:val="0"/>
          <w:caps w:val="0"/>
          <w:sz w:val="32"/>
          <w:szCs w:val="32"/>
        </w:rPr>
        <w:instrText xml:space="preserve"> PAGEREF _Toc23501 </w:instrText>
      </w:r>
      <w:r>
        <w:rPr>
          <w:rFonts w:hint="eastAsia" w:ascii="Times New Roman" w:hAnsi="Times New Roman" w:eastAsia="仿宋_GB2312" w:cs="仿宋_GB2312"/>
          <w:b w:val="0"/>
          <w:bCs w:val="0"/>
          <w:caps w:val="0"/>
          <w:sz w:val="32"/>
          <w:szCs w:val="32"/>
        </w:rPr>
        <w:fldChar w:fldCharType="separate"/>
      </w:r>
      <w:r>
        <w:rPr>
          <w:rFonts w:ascii="Times New Roman" w:hAnsi="Times New Roman" w:eastAsia="仿宋_GB2312" w:cs="仿宋_GB2312"/>
          <w:b w:val="0"/>
          <w:bCs w:val="0"/>
          <w:caps w:val="0"/>
          <w:sz w:val="32"/>
          <w:szCs w:val="32"/>
        </w:rPr>
        <w:t>126</w:t>
      </w:r>
      <w:r>
        <w:rPr>
          <w:rFonts w:hint="eastAsia" w:ascii="Times New Roman" w:hAnsi="Times New Roman" w:eastAsia="仿宋_GB2312" w:cs="仿宋_GB2312"/>
          <w:b w:val="0"/>
          <w:bCs w:val="0"/>
          <w:caps w:val="0"/>
          <w:sz w:val="32"/>
          <w:szCs w:val="32"/>
        </w:rPr>
        <w:fldChar w:fldCharType="end"/>
      </w:r>
      <w:r>
        <w:rPr>
          <w:rFonts w:hint="eastAsia" w:ascii="Times New Roman" w:hAnsi="Times New Roman" w:eastAsia="仿宋_GB2312" w:cs="仿宋_GB2312"/>
          <w:b w:val="0"/>
          <w:bCs w:val="0"/>
          <w:caps w:val="0"/>
          <w:sz w:val="32"/>
          <w:szCs w:val="32"/>
        </w:rPr>
        <w:fldChar w:fldCharType="end"/>
      </w:r>
    </w:p>
    <w:p>
      <w:pPr>
        <w:pStyle w:val="14"/>
        <w:tabs>
          <w:tab w:val="right" w:leader="dot" w:pos="9070"/>
          <w:tab w:val="clear" w:pos="8296"/>
        </w:tabs>
        <w:spacing w:line="640" w:lineRule="exact"/>
        <w:ind w:left="1864" w:leftChars="300" w:hanging="904" w:hangingChars="300"/>
        <w:rPr>
          <w:b w:val="0"/>
          <w:bCs w:val="0"/>
          <w:sz w:val="32"/>
          <w:szCs w:val="32"/>
        </w:rPr>
      </w:pPr>
      <w:r>
        <w:fldChar w:fldCharType="begin"/>
      </w:r>
      <w:r>
        <w:instrText xml:space="preserve"> HYPERLINK \l "_Toc9153" </w:instrText>
      </w:r>
      <w:r>
        <w:fldChar w:fldCharType="separate"/>
      </w:r>
      <w:r>
        <w:rPr>
          <w:rFonts w:hint="eastAsia" w:ascii="Times New Roman" w:hAnsi="Times New Roman" w:eastAsia="仿宋_GB2312" w:cs="仿宋_GB2312"/>
          <w:b w:val="0"/>
          <w:bCs w:val="0"/>
          <w:caps w:val="0"/>
          <w:sz w:val="32"/>
          <w:szCs w:val="32"/>
        </w:rPr>
        <w:t>附件7:</w:t>
      </w:r>
      <w:r>
        <w:rPr>
          <w:rFonts w:hint="eastAsia" w:ascii="Times New Roman" w:hAnsi="Times New Roman" w:eastAsia="仿宋_GB2312" w:cs="仿宋_GB2312"/>
          <w:b w:val="0"/>
          <w:bCs w:val="0"/>
          <w:caps w:val="0"/>
          <w:sz w:val="32"/>
          <w:szCs w:val="32"/>
        </w:rPr>
        <w:fldChar w:fldCharType="end"/>
      </w:r>
      <w:r>
        <w:fldChar w:fldCharType="begin"/>
      </w:r>
      <w:r>
        <w:instrText xml:space="preserve"> HYPERLINK \l "_Toc18444" </w:instrText>
      </w:r>
      <w:r>
        <w:fldChar w:fldCharType="separate"/>
      </w:r>
      <w:r>
        <w:rPr>
          <w:rFonts w:hint="eastAsia" w:ascii="Times New Roman" w:hAnsi="Times New Roman" w:eastAsia="仿宋_GB2312" w:cs="仿宋_GB2312"/>
          <w:b w:val="0"/>
          <w:bCs w:val="0"/>
          <w:caps w:val="0"/>
          <w:sz w:val="32"/>
          <w:szCs w:val="32"/>
        </w:rPr>
        <w:t>“十四五”规划重点项目表</w:t>
      </w:r>
      <w:r>
        <w:rPr>
          <w:rFonts w:hint="eastAsia" w:ascii="Times New Roman" w:hAnsi="Times New Roman" w:eastAsia="仿宋_GB2312" w:cs="仿宋_GB2312"/>
          <w:b w:val="0"/>
          <w:bCs w:val="0"/>
          <w:caps w:val="0"/>
          <w:sz w:val="32"/>
          <w:szCs w:val="32"/>
        </w:rPr>
        <w:tab/>
      </w:r>
      <w:r>
        <w:rPr>
          <w:rFonts w:hint="eastAsia" w:ascii="Times New Roman" w:hAnsi="Times New Roman" w:eastAsia="仿宋_GB2312" w:cs="仿宋_GB2312"/>
          <w:b w:val="0"/>
          <w:bCs w:val="0"/>
          <w:caps w:val="0"/>
          <w:sz w:val="32"/>
          <w:szCs w:val="32"/>
        </w:rPr>
        <w:fldChar w:fldCharType="begin"/>
      </w:r>
      <w:r>
        <w:rPr>
          <w:rFonts w:hint="eastAsia" w:ascii="Times New Roman" w:hAnsi="Times New Roman" w:eastAsia="仿宋_GB2312" w:cs="仿宋_GB2312"/>
          <w:b w:val="0"/>
          <w:bCs w:val="0"/>
          <w:caps w:val="0"/>
          <w:sz w:val="32"/>
          <w:szCs w:val="32"/>
        </w:rPr>
        <w:instrText xml:space="preserve"> PAGEREF _Toc18444 </w:instrText>
      </w:r>
      <w:r>
        <w:rPr>
          <w:rFonts w:hint="eastAsia" w:ascii="Times New Roman" w:hAnsi="Times New Roman" w:eastAsia="仿宋_GB2312" w:cs="仿宋_GB2312"/>
          <w:b w:val="0"/>
          <w:bCs w:val="0"/>
          <w:caps w:val="0"/>
          <w:sz w:val="32"/>
          <w:szCs w:val="32"/>
        </w:rPr>
        <w:fldChar w:fldCharType="separate"/>
      </w:r>
      <w:r>
        <w:rPr>
          <w:rFonts w:ascii="Times New Roman" w:hAnsi="Times New Roman" w:eastAsia="仿宋_GB2312" w:cs="仿宋_GB2312"/>
          <w:b w:val="0"/>
          <w:bCs w:val="0"/>
          <w:caps w:val="0"/>
          <w:sz w:val="32"/>
          <w:szCs w:val="32"/>
        </w:rPr>
        <w:t>127</w:t>
      </w:r>
      <w:r>
        <w:rPr>
          <w:rFonts w:hint="eastAsia" w:ascii="Times New Roman" w:hAnsi="Times New Roman" w:eastAsia="仿宋_GB2312" w:cs="仿宋_GB2312"/>
          <w:b w:val="0"/>
          <w:bCs w:val="0"/>
          <w:caps w:val="0"/>
          <w:sz w:val="32"/>
          <w:szCs w:val="32"/>
        </w:rPr>
        <w:fldChar w:fldCharType="end"/>
      </w:r>
      <w:r>
        <w:rPr>
          <w:rFonts w:hint="eastAsia" w:ascii="Times New Roman" w:hAnsi="Times New Roman" w:eastAsia="仿宋_GB2312" w:cs="仿宋_GB2312"/>
          <w:b w:val="0"/>
          <w:bCs w:val="0"/>
          <w:caps w:val="0"/>
          <w:sz w:val="32"/>
          <w:szCs w:val="32"/>
        </w:rPr>
        <w:fldChar w:fldCharType="end"/>
      </w:r>
    </w:p>
    <w:p>
      <w:pPr>
        <w:adjustRightInd w:val="0"/>
        <w:snapToGrid w:val="0"/>
        <w:spacing w:line="640" w:lineRule="exac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fldChar w:fldCharType="end"/>
      </w:r>
    </w:p>
    <w:p>
      <w:pPr>
        <w:adjustRightInd w:val="0"/>
        <w:snapToGrid w:val="0"/>
        <w:spacing w:line="630" w:lineRule="exact"/>
        <w:ind w:firstLine="0" w:firstLineChars="0"/>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TOC \o "1-2" \p " " \h \z \u </w:instrText>
      </w:r>
      <w:r>
        <w:rPr>
          <w:color w:val="000000" w:themeColor="text1"/>
          <w:sz w:val="30"/>
          <w:szCs w:val="30"/>
          <w14:textFill>
            <w14:solidFill>
              <w14:schemeClr w14:val="tx1"/>
            </w14:solidFill>
          </w14:textFill>
        </w:rPr>
        <w:fldChar w:fldCharType="separate"/>
      </w:r>
    </w:p>
    <w:p>
      <w:pPr>
        <w:pStyle w:val="14"/>
        <w:adjustRightInd w:val="0"/>
        <w:snapToGrid w:val="0"/>
        <w:spacing w:line="630" w:lineRule="exact"/>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fldChar w:fldCharType="end"/>
      </w:r>
    </w:p>
    <w:p>
      <w:pPr>
        <w:pStyle w:val="14"/>
        <w:adjustRightInd w:val="0"/>
        <w:snapToGrid w:val="0"/>
        <w:spacing w:line="630" w:lineRule="exact"/>
        <w:rPr>
          <w:rFonts w:ascii="Times New Roman" w:hAnsi="Times New Roman" w:cs="Times New Roman"/>
          <w:b w:val="0"/>
          <w:bCs w:val="0"/>
          <w:caps w:val="0"/>
          <w:color w:val="000000" w:themeColor="text1"/>
          <w:sz w:val="21"/>
          <w:szCs w:val="24"/>
          <w14:textFill>
            <w14:solidFill>
              <w14:schemeClr w14:val="tx1"/>
            </w14:solidFill>
          </w14:textFill>
        </w:rPr>
      </w:pPr>
      <w:r>
        <w:rPr>
          <w:rFonts w:ascii="Times New Roman" w:hAnsi="Times New Roman" w:cs="Times New Roman"/>
          <w:caps w:val="0"/>
          <w:color w:val="000000" w:themeColor="text1"/>
          <w:sz w:val="32"/>
          <w:szCs w:val="32"/>
          <w14:textFill>
            <w14:solidFill>
              <w14:schemeClr w14:val="tx1"/>
            </w14:solidFill>
          </w14:textFill>
        </w:rPr>
        <w:fldChar w:fldCharType="begin"/>
      </w:r>
      <w:r>
        <w:rPr>
          <w:rFonts w:ascii="Times New Roman" w:hAnsi="Times New Roman" w:cs="Times New Roman"/>
          <w:caps w:val="0"/>
          <w:color w:val="000000" w:themeColor="text1"/>
          <w:sz w:val="32"/>
          <w:szCs w:val="32"/>
          <w14:textFill>
            <w14:solidFill>
              <w14:schemeClr w14:val="tx1"/>
            </w14:solidFill>
          </w14:textFill>
        </w:rPr>
        <w:instrText xml:space="preserve"> TOC \p " " \h \z \t "非目录标题,1" </w:instrText>
      </w:r>
      <w:r>
        <w:rPr>
          <w:rFonts w:ascii="Times New Roman" w:hAnsi="Times New Roman" w:cs="Times New Roman"/>
          <w:caps w:val="0"/>
          <w:color w:val="000000" w:themeColor="text1"/>
          <w:sz w:val="32"/>
          <w:szCs w:val="32"/>
          <w14:textFill>
            <w14:solidFill>
              <w14:schemeClr w14:val="tx1"/>
            </w14:solidFill>
          </w14:textFill>
        </w:rPr>
        <w:fldChar w:fldCharType="separate"/>
      </w:r>
    </w:p>
    <w:p>
      <w:pPr>
        <w:pStyle w:val="14"/>
        <w:spacing w:line="560" w:lineRule="atLeast"/>
        <w:ind w:firstLine="643" w:firstLineChars="200"/>
        <w:jc w:val="both"/>
        <w:rPr>
          <w:rFonts w:ascii="Times New Roman" w:hAnsi="Times New Roman" w:cs="Times New Roman"/>
          <w:caps w:val="0"/>
          <w:color w:val="000000" w:themeColor="text1"/>
          <w:sz w:val="32"/>
          <w:szCs w:val="32"/>
          <w14:textFill>
            <w14:solidFill>
              <w14:schemeClr w14:val="tx1"/>
            </w14:solidFill>
          </w14:textFill>
        </w:rPr>
        <w:sectPr>
          <w:pgSz w:w="11906" w:h="16838"/>
          <w:pgMar w:top="2041" w:right="1418" w:bottom="1701" w:left="1418" w:header="851" w:footer="1361" w:gutter="0"/>
          <w:pgNumType w:start="1"/>
          <w:cols w:space="720" w:num="1"/>
          <w:titlePg/>
          <w:docGrid w:linePitch="312" w:charSpace="0"/>
        </w:sectPr>
      </w:pPr>
      <w:r>
        <w:rPr>
          <w:rFonts w:ascii="Times New Roman" w:hAnsi="Times New Roman" w:cs="Times New Roman"/>
          <w:caps w:val="0"/>
          <w:color w:val="000000" w:themeColor="text1"/>
          <w:sz w:val="32"/>
          <w:szCs w:val="32"/>
          <w14:textFill>
            <w14:solidFill>
              <w14:schemeClr w14:val="tx1"/>
            </w14:solidFill>
          </w14:textFill>
        </w:rPr>
        <w:fldChar w:fldCharType="end"/>
      </w:r>
    </w:p>
    <w:bookmarkEnd w:id="1"/>
    <w:bookmarkEnd w:id="2"/>
    <w:bookmarkEnd w:id="3"/>
    <w:bookmarkEnd w:id="4"/>
    <w:p>
      <w:pPr>
        <w:pStyle w:val="26"/>
        <w:ind w:firstLine="0" w:firstLineChars="0"/>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5" w:name="_Toc65081039"/>
      <w:bookmarkStart w:id="6" w:name="_Toc326"/>
      <w:bookmarkStart w:id="7" w:name="_Toc65069760"/>
      <w:bookmarkStart w:id="8" w:name="_Toc61645537"/>
      <w:bookmarkStart w:id="9" w:name="_Toc11541"/>
      <w:bookmarkStart w:id="10" w:name="_Toc18226"/>
      <w:bookmarkStart w:id="11" w:name="_Toc29818"/>
      <w:bookmarkStart w:id="12" w:name="_Toc8625"/>
      <w:bookmarkStart w:id="13" w:name="_Toc1464"/>
      <w:bookmarkStart w:id="14" w:name="_Toc5278"/>
      <w:r>
        <w:rPr>
          <w:color w:val="000000" w:themeColor="text1"/>
          <w14:textFill>
            <w14:solidFill>
              <w14:schemeClr w14:val="tx1"/>
            </w14:solidFill>
          </w14:textFill>
        </w:rPr>
        <w:t>规划编制依据</w:t>
      </w:r>
      <w:bookmarkEnd w:id="5"/>
      <w:bookmarkEnd w:id="6"/>
      <w:bookmarkEnd w:id="7"/>
      <w:bookmarkEnd w:id="8"/>
      <w:bookmarkEnd w:id="9"/>
      <w:bookmarkEnd w:id="10"/>
      <w:bookmarkEnd w:id="11"/>
      <w:bookmarkEnd w:id="12"/>
      <w:bookmarkEnd w:id="13"/>
      <w:bookmarkEnd w:id="14"/>
    </w:p>
    <w:p>
      <w:pPr>
        <w:pStyle w:val="26"/>
        <w:ind w:firstLine="0" w:firstLineChars="0"/>
        <w:rPr>
          <w:color w:val="000000" w:themeColor="text1"/>
          <w14:textFill>
            <w14:solidFill>
              <w14:schemeClr w14:val="tx1"/>
            </w14:solidFill>
          </w14:textFill>
        </w:rPr>
      </w:pPr>
    </w:p>
    <w:p>
      <w:pPr>
        <w:pStyle w:val="4"/>
        <w:ind w:firstLine="643" w:firstLineChars="200"/>
        <w:jc w:val="left"/>
        <w:rPr>
          <w:color w:val="000000" w:themeColor="text1"/>
          <w14:textFill>
            <w14:solidFill>
              <w14:schemeClr w14:val="tx1"/>
            </w14:solidFill>
          </w14:textFill>
        </w:rPr>
      </w:pPr>
      <w:bookmarkStart w:id="15" w:name="_Toc26986"/>
      <w:bookmarkStart w:id="16" w:name="_Toc14333_WPSOffice_Level1"/>
      <w:bookmarkStart w:id="17" w:name="_Toc18556"/>
      <w:bookmarkStart w:id="18" w:name="_Toc6984"/>
      <w:bookmarkStart w:id="19" w:name="_Toc17291"/>
      <w:bookmarkStart w:id="20" w:name="_Toc10045"/>
      <w:bookmarkStart w:id="21" w:name="_Toc27871"/>
      <w:bookmarkStart w:id="22" w:name="_Toc31694"/>
      <w:bookmarkStart w:id="23" w:name="_Toc30308"/>
      <w:bookmarkStart w:id="24" w:name="_Toc28731"/>
      <w:bookmarkStart w:id="25" w:name="_Toc27137"/>
      <w:bookmarkStart w:id="26" w:name="_Toc3334_WPSOffice_Level1"/>
      <w:bookmarkStart w:id="27" w:name="_Toc26280"/>
      <w:r>
        <w:rPr>
          <w:color w:val="000000" w:themeColor="text1"/>
          <w14:textFill>
            <w14:solidFill>
              <w14:schemeClr w14:val="tx1"/>
            </w14:solidFill>
          </w14:textFill>
        </w:rPr>
        <w:t>一、规划范围与规划期</w:t>
      </w:r>
      <w:bookmarkEnd w:id="15"/>
      <w:bookmarkEnd w:id="16"/>
      <w:bookmarkEnd w:id="17"/>
      <w:bookmarkEnd w:id="18"/>
      <w:bookmarkEnd w:id="19"/>
      <w:bookmarkEnd w:id="20"/>
      <w:bookmarkEnd w:id="21"/>
      <w:bookmarkEnd w:id="22"/>
      <w:bookmarkEnd w:id="23"/>
      <w:bookmarkEnd w:id="24"/>
      <w:bookmarkEnd w:id="25"/>
      <w:bookmarkEnd w:id="26"/>
      <w:bookmarkEnd w:id="27"/>
    </w:p>
    <w:p>
      <w:pPr>
        <w:pStyle w:val="5"/>
        <w:spacing w:line="560" w:lineRule="exact"/>
        <w:rPr>
          <w:color w:val="000000" w:themeColor="text1"/>
          <w14:textFill>
            <w14:solidFill>
              <w14:schemeClr w14:val="tx1"/>
            </w14:solidFill>
          </w14:textFill>
        </w:rPr>
      </w:pPr>
      <w:bookmarkStart w:id="28" w:name="_Toc26127"/>
      <w:bookmarkStart w:id="29" w:name="_Toc32237"/>
      <w:bookmarkStart w:id="30" w:name="_Toc3095"/>
      <w:bookmarkStart w:id="31" w:name="_Toc14333_WPSOffice_Level2"/>
      <w:bookmarkStart w:id="32" w:name="_Toc26551"/>
      <w:bookmarkStart w:id="33" w:name="_Toc3334_WPSOffice_Level2"/>
      <w:bookmarkStart w:id="34" w:name="_Toc6657"/>
      <w:r>
        <w:rPr>
          <w:color w:val="000000" w:themeColor="text1"/>
          <w14:textFill>
            <w14:solidFill>
              <w14:schemeClr w14:val="tx1"/>
            </w14:solidFill>
          </w14:textFill>
        </w:rPr>
        <w:t>（一）规划范围</w:t>
      </w:r>
      <w:bookmarkEnd w:id="28"/>
      <w:bookmarkEnd w:id="29"/>
      <w:bookmarkEnd w:id="30"/>
      <w:bookmarkEnd w:id="31"/>
      <w:bookmarkEnd w:id="32"/>
      <w:bookmarkEnd w:id="33"/>
      <w:bookmarkEnd w:id="34"/>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综合考虑《国务院关于加强国民经济和社会发展规划编制工作的若干意见》（国发〔2005〕33号）对于总体规划的编制要求以及中国（云南）自由贸易试验区（以下简称“中国（云南）自贸区”）昆明片区和国家级昆明经济技术开发区（以下简称“昆明经开区”）在实施（管理）范围、功能定位、主体任务等方面的特点，《中国（云南）自由贸易试验区昆明片区（昆明经济技术开发区）国民经济和社会发展第十四个五年规划和二〇三五年远景目标纲要》（以下简称《规划纲要》）中与改革开放、制度创新、产业发展等经济活动相关内容的规划范围为昆明经开区法定管辖范围和中国（云南）自贸区昆明片区实施范围；其余内容的规划范围为昆明经开区法定管辖范围。在此基础上，中国（云南）自贸区昆明片区（昆明经开区）在自贸试验区建设任务方面与官渡区（非中国（云南）自贸区昆明片区部分）、空港经济区及综合保税区联动发展。</w:t>
      </w:r>
    </w:p>
    <w:p>
      <w:pPr>
        <w:pStyle w:val="5"/>
        <w:spacing w:line="560" w:lineRule="exact"/>
        <w:rPr>
          <w:color w:val="000000" w:themeColor="text1"/>
          <w14:textFill>
            <w14:solidFill>
              <w14:schemeClr w14:val="tx1"/>
            </w14:solidFill>
          </w14:textFill>
        </w:rPr>
      </w:pPr>
      <w:bookmarkStart w:id="35" w:name="_Toc3300"/>
      <w:bookmarkStart w:id="36" w:name="_Toc13677_WPSOffice_Level2"/>
      <w:bookmarkStart w:id="37" w:name="_Toc24472"/>
      <w:bookmarkStart w:id="38" w:name="_Toc17963_WPSOffice_Level2"/>
      <w:bookmarkStart w:id="39" w:name="_Toc2448"/>
      <w:bookmarkStart w:id="40" w:name="_Toc1729"/>
      <w:bookmarkStart w:id="41" w:name="_Toc479"/>
      <w:r>
        <w:rPr>
          <w:color w:val="000000" w:themeColor="text1"/>
          <w14:textFill>
            <w14:solidFill>
              <w14:schemeClr w14:val="tx1"/>
            </w14:solidFill>
          </w14:textFill>
        </w:rPr>
        <w:t>（二）规划期</w:t>
      </w:r>
      <w:bookmarkEnd w:id="35"/>
      <w:bookmarkEnd w:id="36"/>
      <w:bookmarkEnd w:id="37"/>
      <w:bookmarkEnd w:id="38"/>
      <w:bookmarkEnd w:id="39"/>
      <w:bookmarkEnd w:id="40"/>
      <w:bookmarkEnd w:id="41"/>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规划期为2021至2025年，重点发展目标展望到2035年。</w:t>
      </w:r>
    </w:p>
    <w:p>
      <w:pPr>
        <w:pStyle w:val="4"/>
        <w:ind w:firstLine="643" w:firstLineChars="200"/>
        <w:jc w:val="left"/>
        <w:rPr>
          <w:color w:val="000000" w:themeColor="text1"/>
          <w14:textFill>
            <w14:solidFill>
              <w14:schemeClr w14:val="tx1"/>
            </w14:solidFill>
          </w14:textFill>
        </w:rPr>
      </w:pPr>
      <w:bookmarkStart w:id="42" w:name="_Toc19171"/>
      <w:bookmarkStart w:id="43" w:name="_Toc29120"/>
      <w:bookmarkStart w:id="44" w:name="_Toc24315"/>
      <w:bookmarkStart w:id="45" w:name="_Toc5589"/>
      <w:bookmarkStart w:id="46" w:name="_Toc26527"/>
      <w:bookmarkStart w:id="47" w:name="_Toc16850"/>
      <w:bookmarkStart w:id="48" w:name="_Toc27247"/>
      <w:bookmarkStart w:id="49" w:name="_Toc17963_WPSOffice_Level1"/>
      <w:bookmarkStart w:id="50" w:name="_Toc17920"/>
      <w:bookmarkStart w:id="51" w:name="_Toc13677_WPSOffice_Level1"/>
      <w:bookmarkStart w:id="52" w:name="_Toc15877"/>
      <w:bookmarkStart w:id="53" w:name="_Toc8240"/>
      <w:bookmarkStart w:id="54" w:name="_Toc12126"/>
      <w:r>
        <w:rPr>
          <w:color w:val="000000" w:themeColor="text1"/>
          <w14:textFill>
            <w14:solidFill>
              <w14:schemeClr w14:val="tx1"/>
            </w14:solidFill>
          </w14:textFill>
        </w:rPr>
        <w:t>二、编制依据</w:t>
      </w:r>
      <w:bookmarkEnd w:id="42"/>
      <w:bookmarkEnd w:id="43"/>
      <w:bookmarkEnd w:id="44"/>
      <w:bookmarkEnd w:id="45"/>
      <w:bookmarkEnd w:id="46"/>
      <w:bookmarkEnd w:id="47"/>
      <w:bookmarkEnd w:id="48"/>
      <w:bookmarkEnd w:id="49"/>
      <w:bookmarkEnd w:id="50"/>
      <w:bookmarkEnd w:id="51"/>
      <w:bookmarkEnd w:id="52"/>
      <w:bookmarkEnd w:id="53"/>
      <w:bookmarkEnd w:id="54"/>
    </w:p>
    <w:p>
      <w:pPr>
        <w:pStyle w:val="5"/>
        <w:spacing w:line="560" w:lineRule="exact"/>
        <w:rPr>
          <w:color w:val="000000" w:themeColor="text1"/>
          <w14:textFill>
            <w14:solidFill>
              <w14:schemeClr w14:val="tx1"/>
            </w14:solidFill>
          </w14:textFill>
        </w:rPr>
      </w:pPr>
      <w:bookmarkStart w:id="55" w:name="_Toc11195"/>
      <w:bookmarkStart w:id="56" w:name="_Toc22032"/>
      <w:bookmarkStart w:id="57" w:name="_Toc31586"/>
      <w:bookmarkStart w:id="58" w:name="_Toc14206"/>
      <w:bookmarkStart w:id="59" w:name="_Toc13093"/>
      <w:bookmarkStart w:id="60" w:name="_Toc14543_WPSOffice_Level2"/>
      <w:bookmarkStart w:id="61" w:name="_Toc17446_WPSOffice_Level2"/>
      <w:r>
        <w:rPr>
          <w:color w:val="000000" w:themeColor="text1"/>
          <w14:textFill>
            <w14:solidFill>
              <w14:schemeClr w14:val="tx1"/>
            </w14:solidFill>
          </w14:textFill>
        </w:rPr>
        <w:t>（一）法律法规依据</w:t>
      </w:r>
      <w:bookmarkEnd w:id="55"/>
      <w:bookmarkEnd w:id="56"/>
      <w:bookmarkEnd w:id="57"/>
      <w:bookmarkEnd w:id="58"/>
      <w:bookmarkEnd w:id="59"/>
      <w:bookmarkEnd w:id="60"/>
      <w:bookmarkEnd w:id="61"/>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1.《昆明经济技术开发区条例》（2014年8月29日昆明市第十三届人民代表大会常务委员会第二十五次会议通过；2014年9月26日云南省第十二届人民代表大会常务委员会第十二次会议批准）</w:t>
      </w:r>
    </w:p>
    <w:p>
      <w:pPr>
        <w:pStyle w:val="6"/>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2.《中国（云南）自由贸易试验区管理办法》（经2020年2月4日第十三届省人民政府第58次常务会议通过于2020年3月5日施行）</w:t>
      </w:r>
    </w:p>
    <w:p>
      <w:pPr>
        <w:pStyle w:val="5"/>
        <w:spacing w:line="560" w:lineRule="exact"/>
        <w:rPr>
          <w:color w:val="000000" w:themeColor="text1"/>
          <w14:textFill>
            <w14:solidFill>
              <w14:schemeClr w14:val="tx1"/>
            </w14:solidFill>
          </w14:textFill>
        </w:rPr>
      </w:pPr>
      <w:bookmarkStart w:id="62" w:name="_Toc20217"/>
      <w:bookmarkStart w:id="63" w:name="_Toc25016"/>
      <w:bookmarkStart w:id="64" w:name="_Toc25000"/>
      <w:bookmarkStart w:id="65" w:name="_Toc22732_WPSOffice_Level2"/>
      <w:bookmarkStart w:id="66" w:name="_Toc30299"/>
      <w:bookmarkStart w:id="67" w:name="_Toc747"/>
      <w:bookmarkStart w:id="68" w:name="_Toc32475_WPSOffice_Level2"/>
      <w:r>
        <w:rPr>
          <w:color w:val="000000" w:themeColor="text1"/>
          <w14:textFill>
            <w14:solidFill>
              <w14:schemeClr w14:val="tx1"/>
            </w14:solidFill>
          </w14:textFill>
        </w:rPr>
        <w:t>（二）政策依据</w:t>
      </w:r>
      <w:bookmarkEnd w:id="62"/>
      <w:bookmarkEnd w:id="63"/>
      <w:bookmarkEnd w:id="64"/>
      <w:bookmarkEnd w:id="65"/>
      <w:bookmarkEnd w:id="66"/>
      <w:bookmarkEnd w:id="67"/>
      <w:bookmarkEnd w:id="68"/>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1.《中共中央关于制定国民经济和社会发展第十四个五年规划和二〇三五年远景目标的建议》（2020年10月29日中国共产党第十九届中央委员会第五次全体会议通过）</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2.《国务院关于印发6个新设自由贸易试验区总体方案的通知》（国发〔2019〕16号）</w:t>
      </w:r>
    </w:p>
    <w:p>
      <w:pPr>
        <w:pStyle w:val="6"/>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3.《国务院关于支持自由贸易试验区深化改革创新若干措施的通知》（国发〔2018〕38号）</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4.《国务院关于推进国家级经济技术开发区创新提升打造改革开放新高地的意见》（国发〔2019〕11号）</w:t>
      </w:r>
    </w:p>
    <w:p>
      <w:pPr>
        <w:pStyle w:val="6"/>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5.《国务院办公厅关于建设第二批大众创业万众创新示范基地的实施意见》（国办发〔2017〕54号）</w:t>
      </w:r>
    </w:p>
    <w:p>
      <w:pPr>
        <w:pStyle w:val="6"/>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6.《国务院办公厅关于提升大众创业万众创新示范基地带动作用进一步促改革稳就业强动能的实施意见》（国办发〔2020〕26号）</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7.《中共云南省委关于制定云南省国民经济和社会发展第十四个五年规划和二〇三五年远景目标的建议》（2020年12月10日中国共产党云南省第十届委员会第十一次全体会议通过）</w:t>
      </w:r>
    </w:p>
    <w:p>
      <w:pPr>
        <w:pStyle w:val="6"/>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8.《中共云南省委 云南省人民政府关于加快构建现代化产业体系的决定》</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9.《云南省人民政府办公厅关于促进开发区改革和创新发展的实施意见》（云政办发〔2018〕18号）</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10.《云南省人民政府关于支持中国（云南）自由贸易试验区高质量发展的若干意见》（云政发〔2020〕15号）</w:t>
      </w:r>
    </w:p>
    <w:p>
      <w:pPr>
        <w:pStyle w:val="6"/>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11.《云南省人民政府关于印发产业发展“双百”工程实施方案的通知》（云政发〔2020〕18号）</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12.《中国（云南）自由贸易试验区建设实施方案》</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13.《中共昆明市委关于制定昆明市国民经济和社会发展第十四个五年规划和二〇三五年远景目标的建议》(2020年12月15日中国共产党昆明市第十一届委员会第十一次全体会议通过）</w:t>
      </w:r>
    </w:p>
    <w:p>
      <w:pPr>
        <w:pStyle w:val="6"/>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14.《中共昆明市委 昆明市人民政府关于印发《昆明市建设区域性国际中心城市实施纲要（2017-2030）》的通知》（昆发〔2017〕22号）</w:t>
      </w:r>
    </w:p>
    <w:p>
      <w:pPr>
        <w:pStyle w:val="6"/>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15.《昆明市人民政府关于印发昆明市促进中国（云南）自由贸易试验区昆明片区高质量发展若干政策的通知》（昆政发〔2020〕24号）</w:t>
      </w:r>
    </w:p>
    <w:p>
      <w:pPr>
        <w:pStyle w:val="6"/>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16.《中国（云南）自由贸易试验区昆明片区实施方案》</w:t>
      </w:r>
    </w:p>
    <w:p>
      <w:pPr>
        <w:pStyle w:val="6"/>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17.《昆明经济技术开发区（含官渡区阿拉街道、呈贡区洛羊街道）分区规划（2016-2030年）》</w:t>
      </w:r>
    </w:p>
    <w:p>
      <w:pPr>
        <w:ind w:firstLine="640"/>
        <w:rPr>
          <w:color w:val="000000" w:themeColor="text1"/>
          <w14:textFill>
            <w14:solidFill>
              <w14:schemeClr w14:val="tx1"/>
            </w14:solidFill>
          </w14:textFill>
        </w:rPr>
      </w:pPr>
      <w:r>
        <w:rPr>
          <w:color w:val="000000" w:themeColor="text1"/>
          <w14:textFill>
            <w14:solidFill>
              <w14:schemeClr w14:val="tx1"/>
            </w14:solidFill>
          </w14:textFill>
        </w:rPr>
        <w:br w:type="page"/>
      </w:r>
    </w:p>
    <w:p>
      <w:pPr>
        <w:ind w:firstLine="640"/>
        <w:rPr>
          <w:color w:val="000000" w:themeColor="text1"/>
          <w14:textFill>
            <w14:solidFill>
              <w14:schemeClr w14:val="tx1"/>
            </w14:solidFill>
          </w14:textFill>
        </w:rPr>
      </w:pPr>
      <w:bookmarkStart w:id="69" w:name="_Toc56452551"/>
      <w:bookmarkStart w:id="70" w:name="_Toc10012"/>
      <w:bookmarkStart w:id="71" w:name="_Toc14543_WPSOffice_Level1"/>
      <w:bookmarkStart w:id="72" w:name="_Toc56452812"/>
      <w:bookmarkStart w:id="73" w:name="_Toc701"/>
      <w:bookmarkStart w:id="74" w:name="_Toc65069761"/>
      <w:bookmarkStart w:id="75" w:name="_Toc20893"/>
      <w:bookmarkStart w:id="76" w:name="_Toc440"/>
    </w:p>
    <w:p>
      <w:pPr>
        <w:pStyle w:val="3"/>
        <w:rPr>
          <w:color w:val="000000" w:themeColor="text1"/>
          <w14:textFill>
            <w14:solidFill>
              <w14:schemeClr w14:val="tx1"/>
            </w14:solidFill>
          </w14:textFill>
        </w:rPr>
      </w:pPr>
      <w:bookmarkStart w:id="77" w:name="_Toc21509"/>
      <w:r>
        <w:rPr>
          <w:color w:val="000000" w:themeColor="text1"/>
          <w14:textFill>
            <w14:solidFill>
              <w14:schemeClr w14:val="tx1"/>
            </w14:solidFill>
          </w14:textFill>
        </w:rPr>
        <w:t>前    言</w:t>
      </w:r>
      <w:bookmarkEnd w:id="77"/>
    </w:p>
    <w:p>
      <w:pPr>
        <w:ind w:firstLine="640"/>
        <w:rPr>
          <w:color w:val="000000" w:themeColor="text1"/>
          <w14:textFill>
            <w14:solidFill>
              <w14:schemeClr w14:val="tx1"/>
            </w14:solidFill>
          </w14:textFill>
        </w:rPr>
      </w:pPr>
    </w:p>
    <w:p>
      <w:pPr>
        <w:spacing w:line="560" w:lineRule="exac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十四五”时期（2021-2025年）是我国全面建成小康社会、实现第一个百年奋斗目标之后，乘势而上开启全面建设社会主义现代化国家新征程、向第二个百年奋斗目标进军的第一个五年，自由贸易试验区、国家级经济技术开发区作为我国改革开放的主阵地，将处于承前启后继往开来的重要历史时期。</w:t>
      </w:r>
    </w:p>
    <w:p>
      <w:pPr>
        <w:spacing w:line="560" w:lineRule="exac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中国（云南）自贸区昆明片区（昆明经开区）是云南省唯一集国家级经济技术开发区、国家级综合保税区、国家科技兴贸创新基地、国家新型工业化产业示范基地、国家大众创业万众创新示范基地、长江经济带国家级转型升级示范开发区、国家绿色园区</w:t>
      </w:r>
      <w:r>
        <w:rPr>
          <w:rFonts w:hint="eastAsia"/>
          <w:color w:val="000000" w:themeColor="text1"/>
          <w:szCs w:val="32"/>
          <w14:textFill>
            <w14:solidFill>
              <w14:schemeClr w14:val="tx1"/>
            </w14:solidFill>
          </w14:textFill>
        </w:rPr>
        <w:t>、国家生态工业示范园区</w:t>
      </w:r>
      <w:r>
        <w:rPr>
          <w:color w:val="000000" w:themeColor="text1"/>
          <w:szCs w:val="32"/>
          <w14:textFill>
            <w14:solidFill>
              <w14:schemeClr w14:val="tx1"/>
            </w14:solidFill>
          </w14:textFill>
        </w:rPr>
        <w:t>于一体的多功能、综合性产业园区，一直以来在制度创新、产业升级、产城融合、生态环保等方面居全省乃至西部地区前列，同时也与我国其他自由贸易试验区和国家级经济技术开发区一样，面临着全球产业发展新趋势和我国经济社会发展阶段性变化所带来的深刻影响。</w:t>
      </w:r>
    </w:p>
    <w:p>
      <w:pPr>
        <w:pStyle w:val="2"/>
        <w:spacing w:line="560" w:lineRule="exact"/>
        <w:ind w:firstLine="646"/>
        <w:rPr>
          <w:color w:val="000000" w:themeColor="text1"/>
          <w14:textFill>
            <w14:solidFill>
              <w14:schemeClr w14:val="tx1"/>
            </w14:solidFill>
          </w14:textFill>
        </w:rPr>
      </w:pPr>
      <w:r>
        <w:rPr>
          <w:color w:val="000000" w:themeColor="text1"/>
          <w:szCs w:val="32"/>
          <w14:textFill>
            <w14:solidFill>
              <w14:schemeClr w14:val="tx1"/>
            </w14:solidFill>
          </w14:textFill>
        </w:rPr>
        <w:t>为确保中国（云南）自贸区昆明片区（昆明经开区）在“十四五”时期深入贯彻落实习近平总书记考察云南期间重要讲话精神，充分把握内外部发展战略机遇和有利条件，打造具有较强竞争力的现代产业体系，持续不断深化重点领域和关键环节改革，有效构建高水平对外开放新格局，推动形成新时期产城深度融合新模式，从而有效提升园区的经济实力、发展活力、内生动力，成为云南省实现高质量跨越发展的“排头兵”，在与国家、云南省、昆明市“十四五”经济社会发展总体规划以及相关专项规划进行充分衔接的基础上，我们遵循“高位统筹、组织保障，顶层设计、民主集中，对外开放、上下结合”的原则编制了</w:t>
      </w:r>
      <w:r>
        <w:rPr>
          <w:rFonts w:hint="eastAsia"/>
          <w:color w:val="000000" w:themeColor="text1"/>
          <w:szCs w:val="32"/>
          <w14:textFill>
            <w14:solidFill>
              <w14:schemeClr w14:val="tx1"/>
            </w14:solidFill>
          </w14:textFill>
        </w:rPr>
        <w:t>《规划纲要》</w:t>
      </w:r>
      <w:r>
        <w:rPr>
          <w:color w:val="000000" w:themeColor="text1"/>
          <w:szCs w:val="32"/>
          <w14:textFill>
            <w14:solidFill>
              <w14:schemeClr w14:val="tx1"/>
            </w14:solidFill>
          </w14:textFill>
        </w:rPr>
        <w:t>。《规划纲要》主要阐明中国（云南）自贸区昆明片区（昆明经开区）党工委和管委会的战略意图，明确“十四五”以及更长时期园区发展的目标任务，是各部门、各街道依法履行职责、编制年度计划和制定各项政策措施的重要依据，是区内各单位和广大人民群众共同奋斗的行动纲领。</w:t>
      </w:r>
    </w:p>
    <w:bookmarkEnd w:id="69"/>
    <w:bookmarkEnd w:id="70"/>
    <w:bookmarkEnd w:id="71"/>
    <w:bookmarkEnd w:id="72"/>
    <w:bookmarkEnd w:id="73"/>
    <w:bookmarkEnd w:id="74"/>
    <w:bookmarkEnd w:id="75"/>
    <w:bookmarkEnd w:id="76"/>
    <w:p>
      <w:pPr>
        <w:spacing w:line="560" w:lineRule="atLeast"/>
        <w:ind w:firstLine="640"/>
        <w:rPr>
          <w:color w:val="000000" w:themeColor="text1"/>
          <w:szCs w:val="32"/>
          <w14:textFill>
            <w14:solidFill>
              <w14:schemeClr w14:val="tx1"/>
            </w14:solidFill>
          </w14:textFill>
        </w:rPr>
      </w:pPr>
    </w:p>
    <w:p>
      <w:pPr>
        <w:spacing w:line="560" w:lineRule="atLeast"/>
        <w:ind w:firstLine="640"/>
        <w:rPr>
          <w:color w:val="000000" w:themeColor="text1"/>
          <w:szCs w:val="32"/>
          <w14:textFill>
            <w14:solidFill>
              <w14:schemeClr w14:val="tx1"/>
            </w14:solidFill>
          </w14:textFill>
        </w:rPr>
        <w:sectPr>
          <w:pgSz w:w="11906" w:h="16838"/>
          <w:pgMar w:top="2041" w:right="1418" w:bottom="1701" w:left="1418" w:header="851" w:footer="1361" w:gutter="0"/>
          <w:pgNumType w:start="1"/>
          <w:cols w:space="720" w:num="1"/>
          <w:docGrid w:linePitch="312" w:charSpace="0"/>
        </w:sectPr>
      </w:pPr>
    </w:p>
    <w:p>
      <w:pPr>
        <w:ind w:firstLine="640"/>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78" w:name="_Toc30426"/>
      <w:r>
        <w:rPr>
          <w:color w:val="000000" w:themeColor="text1"/>
          <w14:textFill>
            <w14:solidFill>
              <w14:schemeClr w14:val="tx1"/>
            </w14:solidFill>
          </w14:textFill>
        </w:rPr>
        <w:t>第一章  发展基础与发展环境</w:t>
      </w:r>
      <w:bookmarkEnd w:id="78"/>
    </w:p>
    <w:p>
      <w:pPr>
        <w:ind w:firstLine="640"/>
        <w:rPr>
          <w:color w:val="000000" w:themeColor="text1"/>
          <w14:textFill>
            <w14:solidFill>
              <w14:schemeClr w14:val="tx1"/>
            </w14:solidFill>
          </w14:textFill>
        </w:rPr>
      </w:pPr>
    </w:p>
    <w:p>
      <w:pPr>
        <w:pStyle w:val="4"/>
        <w:rPr>
          <w:color w:val="000000" w:themeColor="text1"/>
          <w14:textFill>
            <w14:solidFill>
              <w14:schemeClr w14:val="tx1"/>
            </w14:solidFill>
          </w14:textFill>
        </w:rPr>
      </w:pPr>
      <w:bookmarkStart w:id="79" w:name="_Toc30475"/>
      <w:r>
        <w:rPr>
          <w:color w:val="000000" w:themeColor="text1"/>
          <w14:textFill>
            <w14:solidFill>
              <w14:schemeClr w14:val="tx1"/>
            </w14:solidFill>
          </w14:textFill>
        </w:rPr>
        <w:t>第一节　发展基础</w:t>
      </w:r>
      <w:bookmarkEnd w:id="79"/>
    </w:p>
    <w:p>
      <w:pPr>
        <w:spacing w:line="560" w:lineRule="exac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过去的五年，是全区经济发展较快、综合实力显著提升、产城融合步伐加快、民生福祉明显改善的五年，我区知名度和影响力在全省、全市不断提升，特别是自贸区获批后，我区由“经开时代”迈向了“自贸时代”，经济社会发展进入了新的历史阶段。</w:t>
      </w:r>
    </w:p>
    <w:p>
      <w:pPr>
        <w:spacing w:line="560" w:lineRule="exac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综合实力明显增强</w:t>
      </w:r>
      <w:r>
        <w:rPr>
          <w:color w:val="000000" w:themeColor="text1"/>
          <w:szCs w:val="32"/>
          <w14:textFill>
            <w14:solidFill>
              <w14:schemeClr w14:val="tx1"/>
            </w14:solidFill>
          </w14:textFill>
        </w:rPr>
        <w:t>。有效克服我国经济增速换挡、中美贸易摩擦、新冠肺炎疫情等内外部冲击，经济发展继续保持良好态势。“十三五”期间，全区地区生产总值由2015年的304.4亿元增加到2020年的520.4亿元，年均增长10.2%；主营业务收入由2015年的1320亿元增加到2020年的2218亿元，年均增长10.9%；地方一般公共预算收入由2015年的29.8亿元增加到2020年的42.3亿元，年均增长6%；规模以上工业增加值年均增长9.7%；规模以上固定资产投资累计完成680.7亿元。经过五年的快速发展，全区经济总量自党的十八大以来实现了翻番，成为昆明市乃至云南省重要的工业聚集区和经济增长极，在全国217个国家级经开区综合排名中位于上游水平。</w:t>
      </w:r>
    </w:p>
    <w:p>
      <w:pPr>
        <w:spacing w:line="560" w:lineRule="exac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制度创新取得突破。</w:t>
      </w:r>
      <w:r>
        <w:rPr>
          <w:color w:val="000000" w:themeColor="text1"/>
          <w:szCs w:val="32"/>
          <w14:textFill>
            <w14:solidFill>
              <w14:schemeClr w14:val="tx1"/>
            </w14:solidFill>
          </w14:textFill>
        </w:rPr>
        <w:t>中国（云南）自贸区昆明片区自挂牌以来，紧紧围绕94项国改和47项省改试验任务，特别是101项主试任务、10项首创任务，逐项建档立卡、挂图限时作战，第一年76项试验任务实施率100%，并引入第三方评估，做到“试成一项、推广一项”。梳理报送26项可复制推广实践案例，其中“国际法律服务综合体”和“港港联动国际运贸一体化新模式”以“最佳实践案例”上报商务部，在国际商事法律服务、跨国联运等领域提供了“经验模板”。联合官渡区、综保区和空港经济区，联动红河片区、德宏片区和中老磨憨-磨丁经合区、临沧边合区，建立协同创新发展机制，共同组成对外开放“立体网络”；与云南大学、云南民族大学等高校合作，共建自贸研究院、澜湄职业教育基地。</w:t>
      </w:r>
    </w:p>
    <w:p>
      <w:pPr>
        <w:pStyle w:val="9"/>
        <w:spacing w:line="560" w:lineRule="exact"/>
        <w:ind w:firstLine="643"/>
        <w:rPr>
          <w:rFonts w:ascii="Times New Roman" w:hAnsi="Times New Roman"/>
          <w:color w:val="000000" w:themeColor="text1"/>
          <w14:textFill>
            <w14:solidFill>
              <w14:schemeClr w14:val="tx1"/>
            </w14:solidFill>
          </w14:textFill>
        </w:rPr>
      </w:pPr>
      <w:r>
        <w:rPr>
          <w:rFonts w:ascii="Times New Roman" w:hAnsi="Times New Roman"/>
          <w:b/>
          <w:color w:val="000000" w:themeColor="text1"/>
          <w:lang w:val="en-US"/>
          <w14:textFill>
            <w14:solidFill>
              <w14:schemeClr w14:val="tx1"/>
            </w14:solidFill>
          </w14:textFill>
        </w:rPr>
        <w:t>产业结构逐步优化。</w:t>
      </w:r>
      <w:r>
        <w:rPr>
          <w:rFonts w:ascii="Times New Roman" w:hAnsi="Times New Roman"/>
          <w:color w:val="000000" w:themeColor="text1"/>
          <w:lang w:val="en-US"/>
          <w14:textFill>
            <w14:solidFill>
              <w14:schemeClr w14:val="tx1"/>
            </w14:solidFill>
          </w14:textFill>
        </w:rPr>
        <w:t>支柱产业向中高端迈进步伐不断加快，现代服务业总量大幅提升，建筑业成为千亿级产业，</w:t>
      </w:r>
      <w:r>
        <w:rPr>
          <w:rFonts w:ascii="Times New Roman" w:hAnsi="Times New Roman"/>
          <w:color w:val="000000" w:themeColor="text1"/>
          <w:lang w:val="zh-TW"/>
          <w14:textFill>
            <w14:solidFill>
              <w14:schemeClr w14:val="tx1"/>
            </w14:solidFill>
          </w14:textFill>
        </w:rPr>
        <w:t>基本形成了</w:t>
      </w:r>
      <w:r>
        <w:rPr>
          <w:rFonts w:ascii="Times New Roman" w:hAnsi="Times New Roman"/>
          <w:color w:val="000000" w:themeColor="text1"/>
          <w:lang w:val="en-US"/>
          <w14:textFill>
            <w14:solidFill>
              <w14:schemeClr w14:val="tx1"/>
            </w14:solidFill>
          </w14:textFill>
        </w:rPr>
        <w:t>二产主导、三产协同发展的产业结构，二产、三产占比为66:34</w:t>
      </w:r>
      <w:r>
        <w:rPr>
          <w:rFonts w:ascii="Times New Roman" w:hAnsi="Times New Roman"/>
          <w:color w:val="000000" w:themeColor="text1"/>
          <w14:textFill>
            <w14:solidFill>
              <w14:schemeClr w14:val="tx1"/>
            </w14:solidFill>
          </w14:textFill>
        </w:rPr>
        <w:t>。“十三五”期间，</w:t>
      </w:r>
      <w:r>
        <w:rPr>
          <w:rFonts w:ascii="Times New Roman" w:hAnsi="Times New Roman"/>
          <w:color w:val="000000" w:themeColor="text1"/>
          <w:lang w:val="en-US"/>
          <w14:textFill>
            <w14:solidFill>
              <w14:schemeClr w14:val="tx1"/>
            </w14:solidFill>
          </w14:textFill>
        </w:rPr>
        <w:t>装备制造业产值年均增长12.4%，其中云内动力产值是“十二五”末的2.1倍；生物医药及健康产品产业产值年均增长11.3%，其中云南白药健康产品产值是“十二五”末的1.6倍；烟草及配套产业产值年均增长11.1%。获评云南省“新型工业化产业示范基地”</w:t>
      </w:r>
      <w:r>
        <w:rPr>
          <w:rFonts w:ascii="Times New Roman" w:hAnsi="Times New Roman"/>
          <w:color w:val="000000" w:themeColor="text1"/>
          <w14:textFill>
            <w14:solidFill>
              <w14:schemeClr w14:val="tx1"/>
            </w14:solidFill>
          </w14:textFill>
        </w:rPr>
        <w:t>。</w:t>
      </w:r>
      <w:r>
        <w:rPr>
          <w:rFonts w:ascii="Times New Roman" w:hAnsi="Times New Roman"/>
          <w:color w:val="000000" w:themeColor="text1"/>
          <w:lang w:val="en-US"/>
          <w14:textFill>
            <w14:solidFill>
              <w14:schemeClr w14:val="tx1"/>
            </w14:solidFill>
          </w14:textFill>
        </w:rPr>
        <w:t>出台“1+3+N”高质量发展系列政策，形成重点产业发展“一产一策”，五年来累计扶持企业25亿元。实施企业内培工程，1户企业主营业务收入突破500亿元，5户企业突破100亿元，10户企业突破50亿元，36户企业突破10亿元。云内动力获评国家智能制造试点示范项目，统一食品、雪兰牛奶获省绿色食品10强企业称号，庆沣祥</w:t>
      </w:r>
      <w:r>
        <w:rPr>
          <w:rFonts w:ascii="Times New Roman" w:hAnsi="Times New Roman"/>
          <w:color w:val="000000" w:themeColor="text1"/>
          <w14:textFill>
            <w14:solidFill>
              <w14:schemeClr w14:val="tx1"/>
            </w14:solidFill>
          </w14:textFill>
        </w:rPr>
        <w:t>茶业获省绿色食品20佳创新企业称号。</w:t>
      </w:r>
    </w:p>
    <w:p>
      <w:pPr>
        <w:spacing w:line="560" w:lineRule="exac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招商引资成果丰硕。</w:t>
      </w:r>
      <w:r>
        <w:rPr>
          <w:color w:val="000000" w:themeColor="text1"/>
          <w:szCs w:val="32"/>
          <w14:textFill>
            <w14:solidFill>
              <w14:schemeClr w14:val="tx1"/>
            </w14:solidFill>
          </w14:textFill>
        </w:rPr>
        <w:t>创新招商引资体制机制，推行领导招商、专家招商、中介招商、以商招商、精准招商、线上招商等多元化招商方式。成立昆明经开区招商服务有限公司，设置省外3个招商联络点，签约6家招商中介，聘请12名招商大使，设立15家招商平台。“十三五”期间，园区实际引进内资698亿元，实际利用外资6.2亿美元。引进了宝能汽车制造项目、普洛斯环普产业园、华为智慧园区、阿里巴巴淘宝大学、华润三九等一批重大项目和重点企业，40家银行机构入驻，温德姆、喜来登、德尔塔3个国际五星级酒店建成开业。累计引进注册资本超10亿元企业37户，注册资本超1亿元企业243户，世界500强及分支机构增加到58</w:t>
      </w:r>
      <w:r>
        <w:rPr>
          <w:rStyle w:val="56"/>
          <w:color w:val="000000" w:themeColor="text1"/>
          <w14:textFill>
            <w14:solidFill>
              <w14:schemeClr w14:val="tx1"/>
            </w14:solidFill>
          </w14:textFill>
        </w:rPr>
        <w:t>家，园区招商引资实绩综合考评连续10年位居全市开发区板块第</w:t>
      </w:r>
      <w:r>
        <w:rPr>
          <w:color w:val="000000" w:themeColor="text1"/>
          <w:szCs w:val="32"/>
          <w14:textFill>
            <w14:solidFill>
              <w14:schemeClr w14:val="tx1"/>
            </w14:solidFill>
          </w14:textFill>
        </w:rPr>
        <w:t>一。</w:t>
      </w:r>
    </w:p>
    <w:p>
      <w:pPr>
        <w:spacing w:line="560" w:lineRule="exac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对外开放步伐加快。</w:t>
      </w:r>
      <w:r>
        <w:rPr>
          <w:color w:val="000000" w:themeColor="text1"/>
          <w:szCs w:val="32"/>
          <w14:textFill>
            <w14:solidFill>
              <w14:schemeClr w14:val="tx1"/>
            </w14:solidFill>
          </w14:textFill>
        </w:rPr>
        <w:t>完善支持外贸发展政策，积极组织企业参加中国国际进口博览会，建设运营O2O跨境零售中心，促进云品出滇、出国，2020年</w:t>
      </w:r>
      <w:r>
        <w:rPr>
          <w:rFonts w:hint="eastAsia" w:cs="仿宋_GB2312"/>
          <w:color w:val="000000" w:themeColor="text1"/>
          <w:szCs w:val="32"/>
          <w14:textFill>
            <w14:solidFill>
              <w14:schemeClr w14:val="tx1"/>
            </w14:solidFill>
          </w14:textFill>
        </w:rPr>
        <w:t>完成外贸</w:t>
      </w:r>
      <w:r>
        <w:rPr>
          <w:color w:val="000000" w:themeColor="text1"/>
          <w:szCs w:val="32"/>
          <w14:textFill>
            <w14:solidFill>
              <w14:schemeClr w14:val="tx1"/>
            </w14:solidFill>
          </w14:textFill>
        </w:rPr>
        <w:t>进出口总额269亿元。以跨境电商为突破口，开通运行</w:t>
      </w:r>
      <w:r>
        <w:rPr>
          <w:rFonts w:hint="eastAsia" w:cs="仿宋_GB2312"/>
          <w:color w:val="000000" w:themeColor="text1"/>
          <w:szCs w:val="32"/>
          <w14:textFill>
            <w14:solidFill>
              <w14:schemeClr w14:val="tx1"/>
            </w14:solidFill>
          </w14:textFill>
        </w:rPr>
        <w:t>海关</w:t>
      </w:r>
      <w:r>
        <w:rPr>
          <w:color w:val="000000" w:themeColor="text1"/>
          <w:szCs w:val="32"/>
          <w14:textFill>
            <w14:solidFill>
              <w14:schemeClr w14:val="tx1"/>
            </w14:solidFill>
          </w14:textFill>
        </w:rPr>
        <w:t>“1210”“9610”查验线。主动与红河片区、德宏片区、中国老挝磨憨-磨丁</w:t>
      </w:r>
      <w:r>
        <w:rPr>
          <w:rFonts w:hint="eastAsia"/>
          <w:color w:val="000000" w:themeColor="text1"/>
          <w:szCs w:val="32"/>
          <w14:textFill>
            <w14:solidFill>
              <w14:schemeClr w14:val="tx1"/>
            </w14:solidFill>
          </w14:textFill>
        </w:rPr>
        <w:t>经济</w:t>
      </w:r>
      <w:r>
        <w:rPr>
          <w:color w:val="000000" w:themeColor="text1"/>
          <w:szCs w:val="32"/>
          <w14:textFill>
            <w14:solidFill>
              <w14:schemeClr w14:val="tx1"/>
            </w14:solidFill>
          </w14:textFill>
        </w:rPr>
        <w:t>合作区、临沧边境经济合作区签订合作协议，推进中越、中缅、中老经济走廊建设，推动区域联合联动、优势互补、协同发展，共同组成对外开放“立体网络”。</w:t>
      </w:r>
      <w:r>
        <w:rPr>
          <w:color w:val="000000" w:themeColor="text1"/>
          <w:szCs w:val="32"/>
          <w:lang w:val="zh-TW"/>
          <w14:textFill>
            <w14:solidFill>
              <w14:schemeClr w14:val="tx1"/>
            </w14:solidFill>
          </w14:textFill>
        </w:rPr>
        <w:t>在滇池国际会展中心设立面向南亚东南亚国家形象馆和特色商品交易馆，构建线下展示交易中心、跨境电商平台、跨境物流平台、保税仓储平台的“一中心三平台”，打造“永不落幕的南博会”。支持南亚东南亚等国家金融机构设立分支机构，中国农业银行、中国银行、中信银行等银行在区内开展跨境金融业务。</w:t>
      </w:r>
      <w:r>
        <w:rPr>
          <w:color w:val="000000" w:themeColor="text1"/>
          <w:szCs w:val="32"/>
          <w14:textFill>
            <w14:solidFill>
              <w14:schemeClr w14:val="tx1"/>
            </w14:solidFill>
          </w14:textFill>
        </w:rPr>
        <w:t>鼓励云南建投海外投资公司投建老挝赛色塔综合开发区，实施老中高速、老挝石油炼化等重大项目。在全省创新设立国际商事仲裁服务中心，组建昆明法院自贸试验区诉讼服务中心和分调裁审、多元解纷中心，成立市检察院派驻自贸区检察室，与10余个南亚东南亚国家法律机构建立争议解决合作关系，设立8个国际商事争议服务联络点，为10余起国际商事争议案件提供法律服务。</w:t>
      </w:r>
    </w:p>
    <w:p>
      <w:pPr>
        <w:spacing w:line="560" w:lineRule="exac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“双创”生态持续改进。</w:t>
      </w:r>
      <w:r>
        <w:rPr>
          <w:color w:val="000000" w:themeColor="text1"/>
          <w:szCs w:val="32"/>
          <w14:textFill>
            <w14:solidFill>
              <w14:schemeClr w14:val="tx1"/>
            </w14:solidFill>
          </w14:textFill>
        </w:rPr>
        <w:t>强化创新主体培育，园区共有国家级高新技术企业180家、院士工作站24家、国家级高新技术产业化基地5个，云内动力、昆船智能、华润圣火、赛诺制药、云南建投、航天工程检测等一批企业技术水平居全国领先水平。获批云南省首</w:t>
      </w:r>
      <w:r>
        <w:rPr>
          <w:rFonts w:hint="eastAsia"/>
          <w:color w:val="000000" w:themeColor="text1"/>
          <w:szCs w:val="32"/>
          <w14:textFill>
            <w14:solidFill>
              <w14:schemeClr w14:val="tx1"/>
            </w14:solidFill>
          </w14:textFill>
        </w:rPr>
        <w:t>个国家大众创业万众创新</w:t>
      </w:r>
      <w:r>
        <w:rPr>
          <w:color w:val="000000" w:themeColor="text1"/>
          <w:szCs w:val="32"/>
          <w14:textFill>
            <w14:solidFill>
              <w14:schemeClr w14:val="tx1"/>
            </w14:solidFill>
          </w14:textFill>
        </w:rPr>
        <w:t>示范基地，全区17家国家级、省级孵化器和众创空间以及156家各类研发机构与技术中心共同构成了完备的创新创业服务载体。构建“1+1+N”人才政策体系，投资1.6亿元建成396套人才公寓，引进和培养各类高层次高技能人才1054人，全区人才总量达到3.7万人，人才密度达24.8%。依托示范基地建设，组织或参与全国大众创业万众创新活动周、“创响中国”巡回接力活动等一系列国家级双创品牌活动。“十三五”时期，R&amp;D经费累计投入68.4亿元，2020年</w:t>
      </w:r>
      <w:r>
        <w:rPr>
          <w:rFonts w:hint="eastAsia"/>
          <w:color w:val="000000" w:themeColor="text1"/>
          <w:szCs w:val="32"/>
          <w14:textFill>
            <w14:solidFill>
              <w14:schemeClr w14:val="tx1"/>
            </w14:solidFill>
          </w14:textFill>
        </w:rPr>
        <w:t>研发</w:t>
      </w:r>
      <w:r>
        <w:rPr>
          <w:color w:val="000000" w:themeColor="text1"/>
          <w:szCs w:val="32"/>
          <w14:textFill>
            <w14:solidFill>
              <w14:schemeClr w14:val="tx1"/>
            </w14:solidFill>
          </w14:textFill>
        </w:rPr>
        <w:t>投入强度</w:t>
      </w:r>
      <w:r>
        <w:rPr>
          <w:rFonts w:hint="eastAsia"/>
          <w:color w:val="000000" w:themeColor="text1"/>
          <w:szCs w:val="32"/>
          <w14:textFill>
            <w14:solidFill>
              <w14:schemeClr w14:val="tx1"/>
            </w14:solidFill>
          </w14:textFill>
        </w:rPr>
        <w:t>达</w:t>
      </w:r>
      <w:r>
        <w:rPr>
          <w:color w:val="000000" w:themeColor="text1"/>
          <w:szCs w:val="32"/>
          <w14:textFill>
            <w14:solidFill>
              <w14:schemeClr w14:val="tx1"/>
            </w14:solidFill>
          </w14:textFill>
        </w:rPr>
        <w:t>3.5%，高于全市1.7个百分点。</w:t>
      </w:r>
    </w:p>
    <w:p>
      <w:pPr>
        <w:spacing w:line="560" w:lineRule="exac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营商环境明显提升。</w:t>
      </w:r>
      <w:r>
        <w:rPr>
          <w:color w:val="000000" w:themeColor="text1"/>
          <w:szCs w:val="32"/>
          <w14:textFill>
            <w14:solidFill>
              <w14:schemeClr w14:val="tx1"/>
            </w14:solidFill>
          </w14:textFill>
        </w:rPr>
        <w:t>牢固树立“企业至上、服务是天职”的理念，健全完善“班子成员对口联系+部门分行业+街道分辖区”常态化、全覆盖服务企业机制。全面推行“互联网+政务服务”模式，打造综合服务中心“2.0服务品牌”，建成“24小时不打烊”自助服务区。推进“智慧政务”平台建设，在全省首家以“旗舰店”形式在省政</w:t>
      </w:r>
      <w:r>
        <w:rPr>
          <w:rFonts w:hint="eastAsia" w:cs="仿宋_GB2312"/>
          <w:color w:val="000000" w:themeColor="text1"/>
          <w:szCs w:val="32"/>
          <w14:textFill>
            <w14:solidFill>
              <w14:schemeClr w14:val="tx1"/>
            </w14:solidFill>
          </w14:textFill>
        </w:rPr>
        <w:t>务</w:t>
      </w:r>
      <w:r>
        <w:rPr>
          <w:color w:val="000000" w:themeColor="text1"/>
          <w:szCs w:val="32"/>
          <w14:textFill>
            <w14:solidFill>
              <w14:schemeClr w14:val="tx1"/>
            </w14:solidFill>
          </w14:textFill>
        </w:rPr>
        <w:t>服务网首页设置专区，首家在云南“一部手机办事通”APP挂载昆明片区智慧政务APP小程序。实行工程项目“先建后验”，推进环境影响等区域性评价，项目审批时限控制在50个工作日以内。全面推行“证照分离”改革，启动“全类型市场主体刻章政府买单”服务，市场主体1.5小时即可拿照及免费取得全套印章。提供纳税申报“套餐式”和社会保险“五险合一”服务。深化投资贸易领域服务改革，成立“云南省外经贸投资贸易服务中心”，设立知识产权运营服务中心。在昆明市营商环境第三方评价“红黑榜”中位列红榜榜首。</w:t>
      </w:r>
    </w:p>
    <w:p>
      <w:pPr>
        <w:spacing w:line="560" w:lineRule="exac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基础设施更加完善。</w:t>
      </w:r>
      <w:r>
        <w:rPr>
          <w:color w:val="000000" w:themeColor="text1"/>
          <w:szCs w:val="32"/>
          <w14:textFill>
            <w14:solidFill>
              <w14:schemeClr w14:val="tx1"/>
            </w14:solidFill>
          </w14:textFill>
        </w:rPr>
        <w:t>积极实施“北上、东拓、南连、西接”战略，完成土地利用总体规划修编、分片分区规划和东部重点项目控制性详细规划编制。推进区域骨架路网建设，</w:t>
      </w:r>
      <w:r>
        <w:rPr>
          <w:rFonts w:hint="eastAsia"/>
          <w:color w:val="000000" w:themeColor="text1"/>
          <w:szCs w:val="32"/>
          <w14:textFill>
            <w14:solidFill>
              <w14:schemeClr w14:val="tx1"/>
            </w14:solidFill>
          </w14:textFill>
        </w:rPr>
        <w:t>投入61.5亿元建成</w:t>
      </w:r>
      <w:r>
        <w:rPr>
          <w:color w:val="000000" w:themeColor="text1"/>
          <w:szCs w:val="32"/>
          <w14:textFill>
            <w14:solidFill>
              <w14:schemeClr w14:val="tx1"/>
            </w14:solidFill>
          </w14:textFill>
        </w:rPr>
        <w:t>48条总长度50.73公里市政道路建设，320国道、石龙路、东风东路延长线、春漫大道东段等一批重点道路完工通车，安石路市政化改造、呈黄路（北段）西辅线等项目开工建设。全力支持省、市重点建设项目，轨道交通4号线经开段建成通车，滇中引水工程、福宜高速、三清高速经开段全面开工，一批自来水、电力、燃气等保障性项目相继启动或投入使用。出台城市更新改造五年行动计划，完成小麻苴村一期、小麻苴村二期、小新村、大冲村一期等城市更新改造项目，小麻苴村三期、西邑村项目开工建设。</w:t>
      </w:r>
    </w:p>
    <w:p>
      <w:pPr>
        <w:spacing w:line="560" w:lineRule="exac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生态环境明显改善。</w:t>
      </w:r>
      <w:r>
        <w:rPr>
          <w:color w:val="000000" w:themeColor="text1"/>
          <w:szCs w:val="32"/>
          <w14:textFill>
            <w14:solidFill>
              <w14:schemeClr w14:val="tx1"/>
            </w14:solidFill>
          </w14:textFill>
        </w:rPr>
        <w:t>坚持生态优先，“十三五”期间累计投入28亿元用于生态环境建设，成功创建国家生态工业示范园区和国家级绿色园区。全面落实滇池保护治理“三年攻坚”行动，建立“三级河长四级管理”体制，三条主要入滇河道年度水质均优于或达到水质目标。启动倪家营、普照水质净化厂二期项目，城镇生活污水集中处理率达95.5%，化学需氧量、氨氮、总氮、总磷累计削减量分别为2.86万吨、2977吨、3475吨、603吨。进一步做好工业企业污染减排、高污染禁燃及城市扬尘整治等大气污染防治工作，空气质量优良率保持在98%以上。严格执行城市生活垃圾分类处理，生活垃圾无害化处理率和工业固体废弃物处置利用率均达到100%。推动资源节约集约生产和高效利用，单位工业增加值综合能耗和新鲜水耗分别小于0.08吨标煤/万元和3.12立方米/万元。完成大冲广场、春漫公园建设，园区绿化覆盖率达41.8%。</w:t>
      </w:r>
    </w:p>
    <w:p>
      <w:pPr>
        <w:spacing w:line="560" w:lineRule="exac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民生福祉稳步提升。</w:t>
      </w:r>
      <w:r>
        <w:rPr>
          <w:color w:val="000000" w:themeColor="text1"/>
          <w:szCs w:val="32"/>
          <w14:textFill>
            <w14:solidFill>
              <w14:schemeClr w14:val="tx1"/>
            </w14:solidFill>
          </w14:textFill>
        </w:rPr>
        <w:t>始终坚持发展与惠民、富民相结合的原则，“十三五”期间，全区一般公共预算支出用于民生领域达118亿元，有效确保发展成果惠及全区居民。实施教育“三名工程”，昆三中经开分校、昆一中经开校</w:t>
      </w:r>
      <w:r>
        <w:rPr>
          <w:rFonts w:hint="eastAsia"/>
          <w:color w:val="000000" w:themeColor="text1"/>
          <w:szCs w:val="32"/>
          <w14:textFill>
            <w14:solidFill>
              <w14:schemeClr w14:val="tx1"/>
            </w14:solidFill>
          </w14:textFill>
        </w:rPr>
        <w:t>区</w:t>
      </w:r>
      <w:r>
        <w:rPr>
          <w:color w:val="000000" w:themeColor="text1"/>
          <w:szCs w:val="32"/>
          <w14:textFill>
            <w14:solidFill>
              <w14:schemeClr w14:val="tx1"/>
            </w14:solidFill>
          </w14:textFill>
        </w:rPr>
        <w:t>、中华小学自贸区分校、</w:t>
      </w:r>
      <w:r>
        <w:rPr>
          <w:rFonts w:hint="eastAsia"/>
          <w:color w:val="000000" w:themeColor="text1"/>
          <w:szCs w:val="32"/>
          <w14:textFill>
            <w14:solidFill>
              <w14:schemeClr w14:val="tx1"/>
            </w14:solidFill>
          </w14:textFill>
        </w:rPr>
        <w:t>北京</w:t>
      </w:r>
      <w:r>
        <w:rPr>
          <w:color w:val="000000" w:themeColor="text1"/>
          <w:szCs w:val="32"/>
          <w14:textFill>
            <w14:solidFill>
              <w14:schemeClr w14:val="tx1"/>
            </w14:solidFill>
          </w14:textFill>
        </w:rPr>
        <w:t>青苗国际幼儿园等学校建成招生，引入名校8所，新增各学段学校、幼儿园21所（含分校点）；柔性引入名校长6人、名师13人，现有名师工作室6个，市级以上教坛新秀、学科带头人和骨干教师64人。“十三五”末，小学毛入学率达101.5%，初中毛入学率达109.4%，义务教育阶段巩固率保持在98%以上。全力做好新冠肺炎疫情防控，深化分级诊疗和双向转诊等医疗体制改革，加强重大疾病防控和妇幼健康工作，孕产妇死亡率、婴儿死亡率均低于全市水平。经开人民医院新院项目一期完成主体工程，国家区域性肿瘤治疗中心项目加速推进。坚持就业优先，建成市级以上创业园区18个、充分就业社区13个，实现城镇累计新增就业1.9万人，农村劳动力转移就业1.7万人，城镇登记失业率保持在2.39%左右。不断推进社会保障提标扩面，参保率达97%以上。深入实施文化惠民工程，依托阿拉撒梅文化节打造一批精品文化产品。扎实开展对口扶贫工作，累计投入帮扶资金1.24亿元，对口帮扶点实现脱贫摘帽。</w:t>
      </w:r>
    </w:p>
    <w:p>
      <w:pPr>
        <w:spacing w:line="560" w:lineRule="exac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社会治理成效突出。</w:t>
      </w:r>
      <w:r>
        <w:rPr>
          <w:color w:val="000000" w:themeColor="text1"/>
          <w:szCs w:val="32"/>
          <w14:textFill>
            <w14:solidFill>
              <w14:schemeClr w14:val="tx1"/>
            </w14:solidFill>
          </w14:textFill>
        </w:rPr>
        <w:t>始终坚持党对法治建设工作的领导，依法治区、依法行政共同推进，法治政府、法治社会一体建设，形成党工委、管委会统筹总揽、部门单位各司其责、社会各界共同参与的法治建设工作格局。推进行政决策科学化、民主化、法治化，行政执法进一步规范，全面落实行政执法公示制度、执法全过程记录制度、重大执法决定法制审核制度。扎实开展法治示范点建设，创建“全国民主法治示范社区”1个、“云南省民主法治示范社区”1个、“昆明市民主法治示范社区”12个。全力以赴抓实创文，持续开展城乡环境卫生、农贸市场、老旧小区、交通秩序等系列整治提升，对农贸市场等重难点点位实行动态包保、集中攻坚。深入开展“平安经开”建设，依托“党建引领、街道吹哨、部门报到”切实加强社会管理综合治理，社会安全指数达100%，亿元工业增加值生产安全事故死亡率下降到0.018人，未发生一次性死亡3人以上安全事故。</w:t>
      </w:r>
    </w:p>
    <w:p>
      <w:pPr>
        <w:pStyle w:val="33"/>
        <w:spacing w:line="560" w:lineRule="exac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总体上看，《昆明</w:t>
      </w:r>
      <w:r>
        <w:rPr>
          <w:rFonts w:hint="eastAsia"/>
          <w:color w:val="000000" w:themeColor="text1"/>
          <w:szCs w:val="32"/>
          <w14:textFill>
            <w14:solidFill>
              <w14:schemeClr w14:val="tx1"/>
            </w14:solidFill>
          </w14:textFill>
        </w:rPr>
        <w:t>经济技术开发区</w:t>
      </w:r>
      <w:r>
        <w:rPr>
          <w:color w:val="000000" w:themeColor="text1"/>
          <w:szCs w:val="32"/>
          <w14:textFill>
            <w14:solidFill>
              <w14:schemeClr w14:val="tx1"/>
            </w14:solidFill>
          </w14:textFill>
        </w:rPr>
        <w:t>国民经济和社会发展第十三个五年规划纲要》58项指标中大部分超额或基本达到预期进度要求，总体完成较好，但服务业主营业务收入、工业固定资产投资、</w:t>
      </w:r>
      <w:r>
        <w:rPr>
          <w:rFonts w:hint="eastAsia"/>
          <w:color w:val="000000" w:themeColor="text1"/>
          <w:szCs w:val="32"/>
          <w14:textFill>
            <w14:solidFill>
              <w14:schemeClr w14:val="tx1"/>
            </w14:solidFill>
          </w14:textFill>
        </w:rPr>
        <w:t>外贸</w:t>
      </w:r>
      <w:r>
        <w:rPr>
          <w:color w:val="000000" w:themeColor="text1"/>
          <w:szCs w:val="32"/>
          <w14:textFill>
            <w14:solidFill>
              <w14:schemeClr w14:val="tx1"/>
            </w14:solidFill>
          </w14:textFill>
        </w:rPr>
        <w:t>进出口总额、地方财政一般公共预算收入等指标与规划目标仍有差距。我们必须清醒看到，经济社会发展还面临不少困难和问题：</w:t>
      </w:r>
      <w:r>
        <w:rPr>
          <w:b/>
          <w:bCs/>
          <w:color w:val="000000" w:themeColor="text1"/>
          <w:szCs w:val="32"/>
          <w14:textFill>
            <w14:solidFill>
              <w14:schemeClr w14:val="tx1"/>
            </w14:solidFill>
          </w14:textFill>
        </w:rPr>
        <w:t>经济体量较小</w:t>
      </w:r>
      <w:r>
        <w:rPr>
          <w:color w:val="000000" w:themeColor="text1"/>
          <w:szCs w:val="32"/>
          <w14:textFill>
            <w14:solidFill>
              <w14:schemeClr w14:val="tx1"/>
            </w14:solidFill>
          </w14:textFill>
        </w:rPr>
        <w:t>。我区经济总量虽然在省内园区中保持领先，但与国内先进自贸片区、经开区相比，体量小、规模小的情况还较为突出，2020年我区经济总量仅</w:t>
      </w:r>
      <w:r>
        <w:rPr>
          <w:rFonts w:hint="eastAsia"/>
          <w:color w:val="000000" w:themeColor="text1"/>
          <w:szCs w:val="32"/>
          <w14:textFill>
            <w14:solidFill>
              <w14:schemeClr w14:val="tx1"/>
            </w14:solidFill>
          </w14:textFill>
        </w:rPr>
        <w:t>相当于</w:t>
      </w:r>
      <w:r>
        <w:rPr>
          <w:color w:val="000000" w:themeColor="text1"/>
          <w:szCs w:val="32"/>
          <w14:textFill>
            <w14:solidFill>
              <w14:schemeClr w14:val="tx1"/>
            </w14:solidFill>
          </w14:textFill>
        </w:rPr>
        <w:t>广州经开区的16%、成都经开区的37%，接近全国217个开发区平均水平。</w:t>
      </w:r>
      <w:r>
        <w:rPr>
          <w:b/>
          <w:bCs/>
          <w:color w:val="000000" w:themeColor="text1"/>
          <w:szCs w:val="32"/>
          <w14:textFill>
            <w14:solidFill>
              <w14:schemeClr w14:val="tx1"/>
            </w14:solidFill>
          </w14:textFill>
        </w:rPr>
        <w:t>产业结构不优。</w:t>
      </w:r>
      <w:r>
        <w:rPr>
          <w:color w:val="000000" w:themeColor="text1"/>
          <w:szCs w:val="32"/>
          <w14:textFill>
            <w14:solidFill>
              <w14:schemeClr w14:val="tx1"/>
            </w14:solidFill>
          </w14:textFill>
        </w:rPr>
        <w:t>工业占比下降，主导产业不突出；传统服务业占比过高，现代服务业支撑不足；产业投资增量不够，“新升规”企业体量小，新的经济业态尚不具备规模。</w:t>
      </w:r>
      <w:r>
        <w:rPr>
          <w:b/>
          <w:bCs/>
          <w:color w:val="000000" w:themeColor="text1"/>
          <w:szCs w:val="32"/>
          <w14:textFill>
            <w14:solidFill>
              <w14:schemeClr w14:val="tx1"/>
            </w14:solidFill>
          </w14:textFill>
        </w:rPr>
        <w:t>创新动能不足。</w:t>
      </w:r>
      <w:r>
        <w:rPr>
          <w:color w:val="000000" w:themeColor="text1"/>
          <w:szCs w:val="32"/>
          <w14:textFill>
            <w14:solidFill>
              <w14:schemeClr w14:val="tx1"/>
            </w14:solidFill>
          </w14:textFill>
        </w:rPr>
        <w:t>产业投入产出效率低，高新技术企业占比低，全要素生产率水平仍然不高，与现代产业体系相匹配的人才、资本等要素不足。</w:t>
      </w:r>
      <w:r>
        <w:rPr>
          <w:b/>
          <w:bCs/>
          <w:color w:val="000000" w:themeColor="text1"/>
          <w:szCs w:val="32"/>
          <w14:textFill>
            <w14:solidFill>
              <w14:schemeClr w14:val="tx1"/>
            </w14:solidFill>
          </w14:textFill>
        </w:rPr>
        <w:t>开放程度不高。</w:t>
      </w:r>
      <w:r>
        <w:rPr>
          <w:color w:val="000000" w:themeColor="text1"/>
          <w:szCs w:val="32"/>
          <w14:textFill>
            <w14:solidFill>
              <w14:schemeClr w14:val="tx1"/>
            </w14:solidFill>
          </w14:textFill>
        </w:rPr>
        <w:t>经济外向度低，虽然自贸区获批后，</w:t>
      </w:r>
      <w:r>
        <w:rPr>
          <w:rFonts w:hint="eastAsia"/>
          <w:color w:val="000000" w:themeColor="text1"/>
          <w:szCs w:val="32"/>
          <w14:textFill>
            <w14:solidFill>
              <w14:schemeClr w14:val="tx1"/>
            </w14:solidFill>
          </w14:textFill>
        </w:rPr>
        <w:t>外贸</w:t>
      </w:r>
      <w:r>
        <w:rPr>
          <w:color w:val="000000" w:themeColor="text1"/>
          <w:szCs w:val="32"/>
          <w14:textFill>
            <w14:solidFill>
              <w14:schemeClr w14:val="tx1"/>
            </w14:solidFill>
          </w14:textFill>
        </w:rPr>
        <w:t>进出口总额、实际利用外资大幅增长，但与其他自贸区相比仍然不高。</w:t>
      </w:r>
      <w:r>
        <w:rPr>
          <w:b/>
          <w:bCs/>
          <w:color w:val="000000" w:themeColor="text1"/>
          <w:szCs w:val="32"/>
          <w14:textFill>
            <w14:solidFill>
              <w14:schemeClr w14:val="tx1"/>
            </w14:solidFill>
          </w14:textFill>
        </w:rPr>
        <w:t>产城融合不佳。</w:t>
      </w:r>
      <w:r>
        <w:rPr>
          <w:color w:val="000000" w:themeColor="text1"/>
          <w:szCs w:val="32"/>
          <w14:textFill>
            <w14:solidFill>
              <w14:schemeClr w14:val="tx1"/>
            </w14:solidFill>
          </w14:textFill>
        </w:rPr>
        <w:t>公共资源总量不足与分布不均并存，城市功能存在明显短板，教育、医疗水平与主城区还有差距。</w:t>
      </w:r>
      <w:r>
        <w:rPr>
          <w:b/>
          <w:bCs/>
          <w:color w:val="000000" w:themeColor="text1"/>
          <w:szCs w:val="32"/>
          <w14:textFill>
            <w14:solidFill>
              <w14:schemeClr w14:val="tx1"/>
            </w14:solidFill>
          </w14:textFill>
        </w:rPr>
        <w:t>发展后劲不足。</w:t>
      </w:r>
      <w:r>
        <w:rPr>
          <w:color w:val="000000" w:themeColor="text1"/>
          <w:szCs w:val="32"/>
          <w14:textFill>
            <w14:solidFill>
              <w14:schemeClr w14:val="tx1"/>
            </w14:solidFill>
          </w14:textFill>
        </w:rPr>
        <w:t>投资项目少，产业投资占比下降，产业用地项目利用率低，内部土地、环境等方面约束明显，与周边地区实现错位发展难度不断增大。</w:t>
      </w:r>
    </w:p>
    <w:p>
      <w:pPr>
        <w:pStyle w:val="4"/>
        <w:spacing w:line="560" w:lineRule="exact"/>
        <w:rPr>
          <w:color w:val="000000" w:themeColor="text1"/>
          <w14:textFill>
            <w14:solidFill>
              <w14:schemeClr w14:val="tx1"/>
            </w14:solidFill>
          </w14:textFill>
        </w:rPr>
      </w:pPr>
      <w:bookmarkStart w:id="80" w:name="_Toc4438"/>
      <w:r>
        <w:rPr>
          <w:color w:val="000000" w:themeColor="text1"/>
          <w14:textFill>
            <w14:solidFill>
              <w14:schemeClr w14:val="tx1"/>
            </w14:solidFill>
          </w14:textFill>
        </w:rPr>
        <w:t>第二节　发展环境</w:t>
      </w:r>
      <w:bookmarkEnd w:id="80"/>
    </w:p>
    <w:p>
      <w:pPr>
        <w:pStyle w:val="33"/>
        <w:spacing w:line="560" w:lineRule="exac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十四五”时期，世界百年未有之大变局将加速演进，国际环境日趋复杂，不稳定性不确定性明显增加，但和平与发展仍然是时代主题，我国经济长期向好的基本面没有改变，以国内大循环为主体、国内国际双循环相互促进的新发展格局正在构建，云南省面向南亚东南亚辐射中心建设和昆明区域性国际中心城市建设将进入加速期。国内外环境的变化，给中国（云南）自贸区昆明片区（昆明经开区）带来了新的机遇和挑战。</w:t>
      </w:r>
    </w:p>
    <w:p>
      <w:pPr>
        <w:pStyle w:val="2"/>
        <w:spacing w:line="560" w:lineRule="exact"/>
        <w:ind w:firstLine="649"/>
        <w:rPr>
          <w:color w:val="000000" w:themeColor="text1"/>
          <w14:textFill>
            <w14:solidFill>
              <w14:schemeClr w14:val="tx1"/>
            </w14:solidFill>
          </w14:textFill>
        </w:rPr>
      </w:pPr>
      <w:r>
        <w:rPr>
          <w:b/>
          <w:bCs/>
          <w:color w:val="000000" w:themeColor="text1"/>
          <w:szCs w:val="32"/>
          <w14:textFill>
            <w14:solidFill>
              <w14:schemeClr w14:val="tx1"/>
            </w14:solidFill>
          </w14:textFill>
        </w:rPr>
        <w:t>从机遇看，</w:t>
      </w:r>
      <w:r>
        <w:rPr>
          <w:color w:val="000000" w:themeColor="text1"/>
          <w:szCs w:val="32"/>
          <w14:textFill>
            <w14:solidFill>
              <w14:schemeClr w14:val="tx1"/>
            </w14:solidFill>
          </w14:textFill>
        </w:rPr>
        <w:t>我区须把握五个方面的“红利”。</w:t>
      </w:r>
      <w:r>
        <w:rPr>
          <w:b/>
          <w:bCs/>
          <w:color w:val="000000" w:themeColor="text1"/>
          <w:szCs w:val="32"/>
          <w14:textFill>
            <w14:solidFill>
              <w14:schemeClr w14:val="tx1"/>
            </w14:solidFill>
          </w14:textFill>
        </w:rPr>
        <w:t>区位优势红利。</w:t>
      </w:r>
      <w:r>
        <w:rPr>
          <w:color w:val="000000" w:themeColor="text1"/>
          <w:szCs w:val="32"/>
          <w14:textFill>
            <w14:solidFill>
              <w14:schemeClr w14:val="tx1"/>
            </w14:solidFill>
          </w14:textFill>
        </w:rPr>
        <w:t>随着《区域全面经济伙伴关系协定（RCEP）》推进实施和泛亚铁路大通道建设，昆明的枢纽经济能级和开放通道优势将持续提升，正在成为内地城市向南亚东南亚拓展市场的理想起点</w:t>
      </w:r>
      <w:r>
        <w:rPr>
          <w:rFonts w:hint="eastAsia"/>
          <w:color w:val="000000" w:themeColor="text1"/>
          <w:szCs w:val="32"/>
          <w14:textFill>
            <w14:solidFill>
              <w14:schemeClr w14:val="tx1"/>
            </w14:solidFill>
          </w14:textFill>
        </w:rPr>
        <w:t>和</w:t>
      </w:r>
      <w:r>
        <w:rPr>
          <w:color w:val="000000" w:themeColor="text1"/>
          <w:szCs w:val="32"/>
          <w14:textFill>
            <w14:solidFill>
              <w14:schemeClr w14:val="tx1"/>
            </w14:solidFill>
          </w14:textFill>
        </w:rPr>
        <w:t>中国面向南亚东南亚开放的市场中心。我区地处全市经济建设的中心地带，具有良好的产业基础和对外开放平台，有利于我们抢抓新的市场机遇。</w:t>
      </w:r>
      <w:r>
        <w:rPr>
          <w:b/>
          <w:bCs/>
          <w:color w:val="000000" w:themeColor="text1"/>
          <w:szCs w:val="32"/>
          <w14:textFill>
            <w14:solidFill>
              <w14:schemeClr w14:val="tx1"/>
            </w14:solidFill>
          </w14:textFill>
        </w:rPr>
        <w:t>要素集聚红利。</w:t>
      </w:r>
      <w:r>
        <w:rPr>
          <w:color w:val="000000" w:themeColor="text1"/>
          <w:szCs w:val="32"/>
          <w14:textFill>
            <w14:solidFill>
              <w14:schemeClr w14:val="tx1"/>
            </w14:solidFill>
          </w14:textFill>
        </w:rPr>
        <w:t>省委省政府强调，云南发展靠滇中，滇中发展靠昆明。全省将更加注重城市群和中心城市发展。我区作为全市乃至滇中的重要产业发展平台，必将承担起更加重要的发展要素高效集聚作用。</w:t>
      </w:r>
      <w:r>
        <w:rPr>
          <w:b/>
          <w:bCs/>
          <w:color w:val="000000" w:themeColor="text1"/>
          <w:szCs w:val="32"/>
          <w14:textFill>
            <w14:solidFill>
              <w14:schemeClr w14:val="tx1"/>
            </w14:solidFill>
          </w14:textFill>
        </w:rPr>
        <w:t>政策叠加红利。</w:t>
      </w:r>
      <w:r>
        <w:rPr>
          <w:color w:val="000000" w:themeColor="text1"/>
          <w:szCs w:val="32"/>
          <w14:textFill>
            <w14:solidFill>
              <w14:schemeClr w14:val="tx1"/>
            </w14:solidFill>
          </w14:textFill>
        </w:rPr>
        <w:t>作为全省唯一集自贸试验区、国家级经济技术开发区等国家级职能于一身的园区，必将得到国家、省、市的进一步政策供给，为我区打造开放创新高地、制度创新高地和产业创新高地提供持续、完备、系统的政策支撑。</w:t>
      </w:r>
      <w:r>
        <w:rPr>
          <w:b/>
          <w:bCs/>
          <w:color w:val="000000" w:themeColor="text1"/>
          <w:szCs w:val="32"/>
          <w14:textFill>
            <w14:solidFill>
              <w14:schemeClr w14:val="tx1"/>
            </w14:solidFill>
          </w14:textFill>
        </w:rPr>
        <w:t>营商环境红利。</w:t>
      </w:r>
      <w:r>
        <w:rPr>
          <w:color w:val="000000" w:themeColor="text1"/>
          <w:szCs w:val="32"/>
          <w14:textFill>
            <w14:solidFill>
              <w14:schemeClr w14:val="tx1"/>
            </w14:solidFill>
          </w14:textFill>
        </w:rPr>
        <w:t>良好的营商环境能有效吸引高质量市场主体落地集聚发展，也能激发园区创新创业活动，从增量和存量两方面持续提升园区发展的动力和活力。“十四五”期间，我区制度创新发挥的作用将进一步显现，营商环境的优势将更加明显。</w:t>
      </w:r>
      <w:r>
        <w:rPr>
          <w:b/>
          <w:bCs/>
          <w:color w:val="000000" w:themeColor="text1"/>
          <w:szCs w:val="32"/>
          <w14:textFill>
            <w14:solidFill>
              <w14:schemeClr w14:val="tx1"/>
            </w14:solidFill>
          </w14:textFill>
        </w:rPr>
        <w:t>发展空间红利。</w:t>
      </w:r>
      <w:r>
        <w:rPr>
          <w:color w:val="000000" w:themeColor="text1"/>
          <w:szCs w:val="32"/>
          <w14:textFill>
            <w14:solidFill>
              <w14:schemeClr w14:val="tx1"/>
            </w14:solidFill>
          </w14:textFill>
        </w:rPr>
        <w:t>随着清水、黄土坡片区将加快建设步伐，城市更新改造基本完成，福宜高速、呈黄快速等重要交通通道建成通车，园区空间总体布局将更加合理，为园区未来产业高效集聚和城市功能提升提供了广阔发展空间。</w:t>
      </w:r>
      <w:r>
        <w:rPr>
          <w:b/>
          <w:bCs/>
          <w:color w:val="000000" w:themeColor="text1"/>
          <w:szCs w:val="32"/>
          <w14:textFill>
            <w14:solidFill>
              <w14:schemeClr w14:val="tx1"/>
            </w14:solidFill>
          </w14:textFill>
        </w:rPr>
        <w:t>从挑战看，</w:t>
      </w:r>
      <w:r>
        <w:rPr>
          <w:color w:val="000000" w:themeColor="text1"/>
          <w:szCs w:val="32"/>
          <w14:textFill>
            <w14:solidFill>
              <w14:schemeClr w14:val="tx1"/>
            </w14:solidFill>
          </w14:textFill>
        </w:rPr>
        <w:t>随着世界贸易和产业分工格局的深刻调整，发达国家“高端回流”和南亚东南亚国家“中低端分流”，将对我区要素禀赋优势和产业链配套优势形成双重挤压。园区之间的竞争将进一步加剧，虽然我们的扶持政策在省内一流，但与省外其他自贸区、开发区相比并不占优势。随着时间推移，我区经济发展中长期积累的结构性问题将进一步凸显，如不能通过培育新的经济增长点实现顺利换挡，经济较快增长的目标就难以实现。总体上看，“十四五”期间机遇与挑战并存，但机遇大于挑战。</w:t>
      </w:r>
    </w:p>
    <w:p>
      <w:pPr>
        <w:pStyle w:val="33"/>
        <w:spacing w:line="560" w:lineRule="atLeast"/>
        <w:ind w:firstLine="640"/>
        <w:rPr>
          <w:color w:val="000000" w:themeColor="text1"/>
          <w:szCs w:val="32"/>
          <w14:textFill>
            <w14:solidFill>
              <w14:schemeClr w14:val="tx1"/>
            </w14:solidFill>
          </w14:textFill>
        </w:rPr>
        <w:sectPr>
          <w:pgSz w:w="11906" w:h="16838"/>
          <w:pgMar w:top="2041" w:right="1418" w:bottom="1701" w:left="1418" w:header="851" w:footer="1361" w:gutter="0"/>
          <w:cols w:space="720" w:num="1"/>
          <w:docGrid w:linePitch="312" w:charSpace="0"/>
        </w:sectPr>
      </w:pPr>
    </w:p>
    <w:p>
      <w:pPr>
        <w:ind w:firstLine="640"/>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81" w:name="_Toc13066"/>
      <w:r>
        <w:rPr>
          <w:color w:val="000000" w:themeColor="text1"/>
          <w14:textFill>
            <w14:solidFill>
              <w14:schemeClr w14:val="tx1"/>
            </w14:solidFill>
          </w14:textFill>
        </w:rPr>
        <w:t>第二章  发展思路与发展目标</w:t>
      </w:r>
      <w:bookmarkEnd w:id="81"/>
    </w:p>
    <w:p>
      <w:pPr>
        <w:ind w:firstLine="640"/>
        <w:rPr>
          <w:color w:val="000000" w:themeColor="text1"/>
          <w14:textFill>
            <w14:solidFill>
              <w14:schemeClr w14:val="tx1"/>
            </w14:solidFill>
          </w14:textFill>
        </w:rPr>
      </w:pP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十四五”时期，中国（云南）自贸区昆明片区（昆明经开区）将处于转型发展、创新发展、开放发展、和谐发展、绿色发展、跨越发展的关键时期，在处理好稳和进、立和破、虚和实、标和本、近和远的关系基础上，实施“157”发展战略，推动园区高质量跨越发展。</w:t>
      </w:r>
    </w:p>
    <w:p>
      <w:pPr>
        <w:pStyle w:val="4"/>
        <w:rPr>
          <w:color w:val="000000" w:themeColor="text1"/>
          <w14:textFill>
            <w14:solidFill>
              <w14:schemeClr w14:val="tx1"/>
            </w14:solidFill>
          </w14:textFill>
        </w:rPr>
      </w:pPr>
      <w:bookmarkStart w:id="82" w:name="_Toc30883"/>
      <w:r>
        <w:rPr>
          <w:color w:val="000000" w:themeColor="text1"/>
          <w14:textFill>
            <w14:solidFill>
              <w14:schemeClr w14:val="tx1"/>
            </w14:solidFill>
          </w14:textFill>
        </w:rPr>
        <w:t>第一节　发展思路</w:t>
      </w:r>
      <w:bookmarkEnd w:id="82"/>
    </w:p>
    <w:p>
      <w:pPr>
        <w:pStyle w:val="5"/>
        <w:spacing w:line="560" w:lineRule="exact"/>
        <w:rPr>
          <w:color w:val="000000" w:themeColor="text1"/>
          <w14:textFill>
            <w14:solidFill>
              <w14:schemeClr w14:val="tx1"/>
            </w14:solidFill>
          </w14:textFill>
        </w:rPr>
      </w:pPr>
      <w:r>
        <w:rPr>
          <w:color w:val="000000" w:themeColor="text1"/>
          <w14:textFill>
            <w14:solidFill>
              <w14:schemeClr w14:val="tx1"/>
            </w14:solidFill>
          </w14:textFill>
        </w:rPr>
        <w:t>一、指导思想</w:t>
      </w:r>
    </w:p>
    <w:p>
      <w:pPr>
        <w:spacing w:line="560" w:lineRule="exact"/>
        <w:ind w:firstLine="640"/>
        <w:rPr>
          <w:color w:val="000000" w:themeColor="text1"/>
          <w:lang w:val="zh-CN"/>
          <w14:textFill>
            <w14:solidFill>
              <w14:schemeClr w14:val="tx1"/>
            </w14:solidFill>
          </w14:textFill>
        </w:rPr>
      </w:pPr>
      <w:r>
        <w:rPr>
          <w:color w:val="000000" w:themeColor="text1"/>
          <w:lang w:val="zh-CN"/>
          <w14:textFill>
            <w14:solidFill>
              <w14:schemeClr w14:val="tx1"/>
            </w14:solidFill>
          </w14:textFill>
        </w:rPr>
        <w:t>高举中国特色社会主义伟大旗帜，全面贯彻党的十九大和十九届二中、三中、四中、五中全会精神，坚持以马克思列宁主义、毛泽东思想、邓小平理论、“三个代表”重要思想、科学发展观、习近平新时代中国特色社会主义思想为指导，深入贯彻落实习近平总书记考察云南重要讲话精神，统筹推进“五位一体”总体布局，协调推进“四个全面”战略布局，坚定不移贯彻新发展理念，坚持稳中求进工作总基调，以推动高质量发展为主题，对标国际经贸规则和国内先进园区，始终坚持以提升经济实力、发展活力、内生动力为核心，着力构建开放型经济新格局、培育现代产业体系新优势、推动产城融合新发展，将中国（云南）自贸区昆明片区（昆明经开区）打造成为云南建设面向南亚东南亚辐射中心和昆明建设区域性国际中心城市的先行区，为全省、全市高质量发展作出更大贡献。</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二、基本原则</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坚持以党的全面领导为核心推进各项工作</w:t>
      </w:r>
      <w:r>
        <w:rPr>
          <w:color w:val="000000" w:themeColor="text1"/>
          <w:szCs w:val="32"/>
          <w14:textFill>
            <w14:solidFill>
              <w14:schemeClr w14:val="tx1"/>
            </w14:solidFill>
          </w14:textFill>
        </w:rPr>
        <w:t>。坚持和完善党领导园区经济社会发展的体制机制，进一步加强园区发展的前瞻性思考、全局性谋划、战略性布局、整体性推进，确保实现发展规模、速度、质量、结构、效益、安全相统一。</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坚持以新发展理念为统领实现高质量发展。</w:t>
      </w:r>
      <w:r>
        <w:rPr>
          <w:color w:val="000000" w:themeColor="text1"/>
          <w:szCs w:val="32"/>
          <w14:textFill>
            <w14:solidFill>
              <w14:schemeClr w14:val="tx1"/>
            </w14:solidFill>
          </w14:textFill>
        </w:rPr>
        <w:t>把新发展理念贯穿园区发展全过程和各领域，持续不断深化重点领域和关键环节改革，推动园区真正实现崇尚创新、注重协调、倡导绿色、厚植开放、推进共享的高质量发展。</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坚持以制度创新为手段持续深化改革开放。</w:t>
      </w:r>
      <w:r>
        <w:rPr>
          <w:color w:val="000000" w:themeColor="text1"/>
          <w:szCs w:val="32"/>
          <w14:textFill>
            <w14:solidFill>
              <w14:schemeClr w14:val="tx1"/>
            </w14:solidFill>
          </w14:textFill>
        </w:rPr>
        <w:t>始终坚持把制度创新作为全面深化改革开放的关键抓手，坚持在更广阔的国际视野下构建改革新坐标，有效推动园区融入以国内大循环为主体、国内国际双循环相互促进的新发展格局。</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坚持以产业升级为要务全面振兴实体经济</w:t>
      </w:r>
      <w:r>
        <w:rPr>
          <w:color w:val="000000" w:themeColor="text1"/>
          <w:szCs w:val="32"/>
          <w14:textFill>
            <w14:solidFill>
              <w14:schemeClr w14:val="tx1"/>
            </w14:solidFill>
          </w14:textFill>
        </w:rPr>
        <w:t>。有效破解现有产业核心竞争力不强的问题，着力发展先进高端制造业，推进装备制造产业数字化转型，提升产业配套水平，有效培育先发优势，以抢占技术创新制高点增强引领未来产业发展的主动权。</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坚持以内培外引为手段持续增强发展后劲。</w:t>
      </w:r>
      <w:r>
        <w:rPr>
          <w:color w:val="000000" w:themeColor="text1"/>
          <w:szCs w:val="32"/>
          <w14:textFill>
            <w14:solidFill>
              <w14:schemeClr w14:val="tx1"/>
            </w14:solidFill>
          </w14:textFill>
        </w:rPr>
        <w:t>坚持内培外引，强化存量企业培育，支持企业发展壮大，做大经济存量；进一步加大招商引资力度，着力引进一批大项目、好项目和重点企业，形成经济增量，切实增强经济发展后劲。</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坚持以营商环境为基础有效激发市场活力。</w:t>
      </w:r>
      <w:r>
        <w:rPr>
          <w:color w:val="000000" w:themeColor="text1"/>
          <w:szCs w:val="32"/>
          <w14:textFill>
            <w14:solidFill>
              <w14:schemeClr w14:val="tx1"/>
            </w14:solidFill>
          </w14:textFill>
        </w:rPr>
        <w:t>坚持把持续优化市场化、法制化、国际化营商环境作为头等大事，紧紧围绕构建高水平社会主义市场经济体制加快转变政府职能，大力保护和激发市场主体活力，从而推动有效市场和有为政府更好结合起来。</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坚持以产城融合为路径不断提升民生福祉。</w:t>
      </w:r>
      <w:r>
        <w:rPr>
          <w:color w:val="000000" w:themeColor="text1"/>
          <w:szCs w:val="32"/>
          <w14:textFill>
            <w14:solidFill>
              <w14:schemeClr w14:val="tx1"/>
            </w14:solidFill>
          </w14:textFill>
        </w:rPr>
        <w:t>进一步深化产城融合发展，着力推动形成服务功能完备的现代化产业集聚区与有效集聚人口的新型社区相融合的产城协调发展思路，更好满足全区人民群众对美好生活的向往。</w:t>
      </w:r>
    </w:p>
    <w:p>
      <w:pPr>
        <w:pStyle w:val="5"/>
        <w:rPr>
          <w:color w:val="000000" w:themeColor="text1"/>
          <w14:textFill>
            <w14:solidFill>
              <w14:schemeClr w14:val="tx1"/>
            </w14:solidFill>
          </w14:textFill>
        </w:rPr>
      </w:pPr>
      <w:r>
        <w:rPr>
          <w:color w:val="000000" w:themeColor="text1"/>
          <w14:textFill>
            <w14:solidFill>
              <w14:schemeClr w14:val="tx1"/>
            </w14:solidFill>
          </w14:textFill>
        </w:rPr>
        <w:t>三、发展战略</w:t>
      </w:r>
    </w:p>
    <w:p>
      <w:pPr>
        <w:pStyle w:val="2"/>
        <w:spacing w:line="560" w:lineRule="atLeast"/>
        <w:ind w:firstLine="640" w:firstLineChars="200"/>
        <w:rPr>
          <w:color w:val="000000" w:themeColor="text1"/>
          <w:szCs w:val="32"/>
          <w14:textFill>
            <w14:solidFill>
              <w14:schemeClr w14:val="tx1"/>
            </w14:solidFill>
          </w14:textFill>
        </w:rPr>
      </w:pPr>
      <w:r>
        <w:rPr>
          <w:color w:val="000000" w:themeColor="text1"/>
          <w:szCs w:val="32"/>
          <w:lang w:val="zh-CN"/>
          <w14:textFill>
            <w14:solidFill>
              <w14:schemeClr w14:val="tx1"/>
            </w14:solidFill>
          </w14:textFill>
        </w:rPr>
        <w:t>围绕“十四五”时期总体要求，坚持和加强党的全面领导</w:t>
      </w:r>
      <w:r>
        <w:rPr>
          <w:rFonts w:hint="eastAsia"/>
          <w:color w:val="000000" w:themeColor="text1"/>
          <w:szCs w:val="32"/>
          <w:lang w:val="zh-CN"/>
          <w14:textFill>
            <w14:solidFill>
              <w14:schemeClr w14:val="tx1"/>
            </w14:solidFill>
          </w14:textFill>
        </w:rPr>
        <w:t>，</w:t>
      </w:r>
      <w:r>
        <w:rPr>
          <w:color w:val="000000" w:themeColor="text1"/>
          <w:szCs w:val="32"/>
          <w:lang w:val="zh-CN"/>
          <w14:textFill>
            <w14:solidFill>
              <w14:schemeClr w14:val="tx1"/>
            </w14:solidFill>
          </w14:textFill>
        </w:rPr>
        <w:t>保持战略定力、强化系统思维，切实改进工作作风、锐意进取敢担当、真抓实干解难题，大力实施“157”发展战略，实现园区高质量发展。</w:t>
      </w:r>
    </w:p>
    <w:p>
      <w:pPr>
        <w:pStyle w:val="2"/>
        <w:spacing w:line="560" w:lineRule="atLeast"/>
        <w:ind w:firstLine="640" w:firstLineChars="200"/>
        <w:rPr>
          <w:color w:val="000000" w:themeColor="text1"/>
          <w:szCs w:val="32"/>
          <w:lang w:val="zh-CN"/>
          <w14:textFill>
            <w14:solidFill>
              <w14:schemeClr w14:val="tx1"/>
            </w14:solidFill>
          </w14:textFill>
        </w:rPr>
      </w:pPr>
      <w:r>
        <w:rPr>
          <w:color w:val="000000" w:themeColor="text1"/>
          <w:szCs w:val="32"/>
          <w:lang w:val="zh-CN"/>
          <w14:textFill>
            <w14:solidFill>
              <w14:schemeClr w14:val="tx1"/>
            </w14:solidFill>
          </w14:textFill>
        </w:rPr>
        <w:t>立足1个定位：把中国（云南）自贸区昆明片区（昆明经开区）打造成为</w:t>
      </w:r>
      <w:r>
        <w:rPr>
          <w:b/>
          <w:bCs/>
          <w:color w:val="000000" w:themeColor="text1"/>
          <w:szCs w:val="32"/>
          <w:lang w:val="zh-CN"/>
          <w14:textFill>
            <w14:solidFill>
              <w14:schemeClr w14:val="tx1"/>
            </w14:solidFill>
          </w14:textFill>
        </w:rPr>
        <w:t>云南建设面向南亚东南亚辐射中心和昆明建设区域性国际中心城市的先行区</w:t>
      </w:r>
      <w:r>
        <w:rPr>
          <w:color w:val="000000" w:themeColor="text1"/>
          <w:szCs w:val="32"/>
          <w:lang w:val="zh-CN"/>
          <w14:textFill>
            <w14:solidFill>
              <w14:schemeClr w14:val="tx1"/>
            </w14:solidFill>
          </w14:textFill>
        </w:rPr>
        <w:t>。</w:t>
      </w:r>
    </w:p>
    <w:p>
      <w:pPr>
        <w:pStyle w:val="2"/>
        <w:spacing w:line="560" w:lineRule="atLeast"/>
        <w:ind w:firstLine="640" w:firstLineChars="200"/>
        <w:rPr>
          <w:color w:val="000000" w:themeColor="text1"/>
          <w:szCs w:val="32"/>
          <w:lang w:val="zh-CN"/>
          <w14:textFill>
            <w14:solidFill>
              <w14:schemeClr w14:val="tx1"/>
            </w14:solidFill>
          </w14:textFill>
        </w:rPr>
      </w:pPr>
      <w:r>
        <w:rPr>
          <w:color w:val="000000" w:themeColor="text1"/>
          <w:szCs w:val="32"/>
          <w:lang w:val="zh-CN"/>
          <w14:textFill>
            <w14:solidFill>
              <w14:schemeClr w14:val="tx1"/>
            </w14:solidFill>
          </w14:textFill>
        </w:rPr>
        <w:t>树立5个标杆：</w:t>
      </w:r>
    </w:p>
    <w:p>
      <w:pPr>
        <w:pStyle w:val="2"/>
        <w:spacing w:line="560" w:lineRule="atLeast"/>
        <w:ind w:firstLine="643" w:firstLineChars="200"/>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全省改革创新的标杆</w:t>
      </w:r>
      <w:r>
        <w:rPr>
          <w:color w:val="000000" w:themeColor="text1"/>
          <w:szCs w:val="32"/>
          <w14:textFill>
            <w14:solidFill>
              <w14:schemeClr w14:val="tx1"/>
            </w14:solidFill>
          </w14:textFill>
        </w:rPr>
        <w:t>。坚持以改革创新为根本动力，充分发挥自贸试验区先行先试优势，破除制约高质量发展的机制障碍，激发园区跨越发展的动力和活力，对全省经济结构优化调整和发展方式转变的示范带动作用不断加强。</w:t>
      </w:r>
    </w:p>
    <w:p>
      <w:pPr>
        <w:pStyle w:val="2"/>
        <w:spacing w:line="560" w:lineRule="atLeast"/>
        <w:ind w:firstLine="643" w:firstLineChars="200"/>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全省现代产业发展的标杆。</w:t>
      </w:r>
      <w:r>
        <w:rPr>
          <w:color w:val="000000" w:themeColor="text1"/>
          <w:szCs w:val="32"/>
          <w14:textFill>
            <w14:solidFill>
              <w14:schemeClr w14:val="tx1"/>
            </w14:solidFill>
          </w14:textFill>
        </w:rPr>
        <w:t>坚持产业立区、工业强区，实施产业集群补链强链和骨干企业壮大工程，打造重点和优势产业集群，形成具有园区特色、技术先进、绿色安全、动态迭代发展的现代产业体系。</w:t>
      </w:r>
    </w:p>
    <w:p>
      <w:pPr>
        <w:pStyle w:val="2"/>
        <w:spacing w:line="560" w:lineRule="atLeast"/>
        <w:ind w:firstLine="643" w:firstLineChars="200"/>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全省对外开放的标杆</w:t>
      </w:r>
      <w:r>
        <w:rPr>
          <w:color w:val="000000" w:themeColor="text1"/>
          <w:szCs w:val="32"/>
          <w14:textFill>
            <w14:solidFill>
              <w14:schemeClr w14:val="tx1"/>
            </w14:solidFill>
          </w14:textFill>
        </w:rPr>
        <w:t>。按照高水平对外开放的总体要求，牢牢把握历史机遇，有效提升贸易便利化、多元化水平，借自贸平台助力全省扩大国际“朋友圈”，有序引导企业参与国际产能合作，增强面向南亚东南亚对外开放辐射力。</w:t>
      </w:r>
    </w:p>
    <w:p>
      <w:pPr>
        <w:pStyle w:val="2"/>
        <w:spacing w:line="560" w:lineRule="atLeast"/>
        <w:ind w:firstLine="643" w:firstLineChars="200"/>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全省产城融合的标杆</w:t>
      </w:r>
      <w:r>
        <w:rPr>
          <w:color w:val="000000" w:themeColor="text1"/>
          <w:szCs w:val="32"/>
          <w14:textFill>
            <w14:solidFill>
              <w14:schemeClr w14:val="tx1"/>
            </w14:solidFill>
          </w14:textFill>
        </w:rPr>
        <w:t>。把以人民为中心的理念贯穿于经济社会发展全过程，坚持以园聚人、以人兴产、以产促城推进园区建设，力争使产城融合在“十四五”末成为园区新的靓丽名片。</w:t>
      </w:r>
    </w:p>
    <w:p>
      <w:pPr>
        <w:pStyle w:val="2"/>
        <w:spacing w:line="560" w:lineRule="atLeast"/>
        <w:ind w:firstLine="643" w:firstLineChars="200"/>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全省营商环境的标杆</w:t>
      </w:r>
      <w:r>
        <w:rPr>
          <w:color w:val="000000" w:themeColor="text1"/>
          <w:szCs w:val="32"/>
          <w14:textFill>
            <w14:solidFill>
              <w14:schemeClr w14:val="tx1"/>
            </w14:solidFill>
          </w14:textFill>
        </w:rPr>
        <w:t>。</w:t>
      </w:r>
      <w:r>
        <w:rPr>
          <w:color w:val="000000" w:themeColor="text1"/>
          <w14:textFill>
            <w14:solidFill>
              <w14:schemeClr w14:val="tx1"/>
            </w14:solidFill>
          </w14:textFill>
        </w:rPr>
        <w:t>坚持市场化、法治化、国</w:t>
      </w:r>
      <w:r>
        <w:rPr>
          <w:color w:val="000000" w:themeColor="text1"/>
          <w:spacing w:val="3"/>
          <w14:textFill>
            <w14:solidFill>
              <w14:schemeClr w14:val="tx1"/>
            </w14:solidFill>
          </w14:textFill>
        </w:rPr>
        <w:t>际化原则，深入推进放管服改革，为各类市场主体营造稳定、公平、透明、可预期的服</w:t>
      </w:r>
      <w:r>
        <w:rPr>
          <w:color w:val="000000" w:themeColor="text1"/>
          <w14:textFill>
            <w14:solidFill>
              <w14:schemeClr w14:val="tx1"/>
            </w14:solidFill>
          </w14:textFill>
        </w:rPr>
        <w:t>务，形成国际化的营商环境。</w:t>
      </w:r>
    </w:p>
    <w:p>
      <w:pPr>
        <w:pStyle w:val="2"/>
        <w:spacing w:line="560" w:lineRule="atLeast"/>
        <w:ind w:firstLine="640" w:firstLineChars="200"/>
        <w:rPr>
          <w:color w:val="000000" w:themeColor="text1"/>
          <w:szCs w:val="32"/>
          <w:lang w:val="zh-CN"/>
          <w14:textFill>
            <w14:solidFill>
              <w14:schemeClr w14:val="tx1"/>
            </w14:solidFill>
          </w14:textFill>
        </w:rPr>
      </w:pPr>
      <w:r>
        <w:rPr>
          <w:color w:val="000000" w:themeColor="text1"/>
          <w:szCs w:val="32"/>
          <w:lang w:val="zh-CN"/>
          <w14:textFill>
            <w14:solidFill>
              <w14:schemeClr w14:val="tx1"/>
            </w14:solidFill>
          </w14:textFill>
        </w:rPr>
        <w:t>实施7项重点任务：</w:t>
      </w:r>
    </w:p>
    <w:p>
      <w:pPr>
        <w:pStyle w:val="2"/>
        <w:spacing w:line="560" w:lineRule="atLeast"/>
        <w:ind w:firstLine="643" w:firstLineChars="200"/>
        <w:rPr>
          <w:color w:val="000000" w:themeColor="text1"/>
          <w:szCs w:val="32"/>
          <w:lang w:val="zh-CN"/>
          <w14:textFill>
            <w14:solidFill>
              <w14:schemeClr w14:val="tx1"/>
            </w14:solidFill>
          </w14:textFill>
        </w:rPr>
      </w:pPr>
      <w:r>
        <w:rPr>
          <w:b/>
          <w:bCs/>
          <w:color w:val="000000" w:themeColor="text1"/>
          <w:szCs w:val="32"/>
          <w:lang w:val="zh-CN"/>
          <w14:textFill>
            <w14:solidFill>
              <w14:schemeClr w14:val="tx1"/>
            </w14:solidFill>
          </w14:textFill>
        </w:rPr>
        <w:t>扩大改革开放新优势</w:t>
      </w:r>
      <w:r>
        <w:rPr>
          <w:color w:val="000000" w:themeColor="text1"/>
          <w:szCs w:val="32"/>
          <w:lang w:val="zh-CN"/>
          <w14:textFill>
            <w14:solidFill>
              <w14:schemeClr w14:val="tx1"/>
            </w14:solidFill>
          </w14:textFill>
        </w:rPr>
        <w:t>。</w:t>
      </w:r>
      <w:r>
        <w:rPr>
          <w:color w:val="000000" w:themeColor="text1"/>
          <w:szCs w:val="32"/>
          <w14:textFill>
            <w14:solidFill>
              <w14:schemeClr w14:val="tx1"/>
            </w14:solidFill>
          </w14:textFill>
        </w:rPr>
        <w:t>充分发挥先行先试制度优势，</w:t>
      </w:r>
      <w:r>
        <w:rPr>
          <w:color w:val="000000" w:themeColor="text1"/>
          <w:szCs w:val="32"/>
          <w:lang w:val="zh-CN"/>
          <w14:textFill>
            <w14:solidFill>
              <w14:schemeClr w14:val="tx1"/>
            </w14:solidFill>
          </w14:textFill>
        </w:rPr>
        <w:t>大胆试、大胆闯、自主改，</w:t>
      </w:r>
      <w:r>
        <w:rPr>
          <w:color w:val="000000" w:themeColor="text1"/>
          <w:szCs w:val="32"/>
          <w14:textFill>
            <w14:solidFill>
              <w14:schemeClr w14:val="tx1"/>
            </w14:solidFill>
          </w14:textFill>
        </w:rPr>
        <w:t>提升对外开放水平，</w:t>
      </w:r>
      <w:r>
        <w:rPr>
          <w:color w:val="000000" w:themeColor="text1"/>
          <w:szCs w:val="32"/>
          <w:lang w:val="zh-CN"/>
          <w14:textFill>
            <w14:solidFill>
              <w14:schemeClr w14:val="tx1"/>
            </w14:solidFill>
          </w14:textFill>
        </w:rPr>
        <w:t>打造一流营商环境，</w:t>
      </w:r>
      <w:r>
        <w:rPr>
          <w:color w:val="000000" w:themeColor="text1"/>
          <w:szCs w:val="32"/>
          <w14:textFill>
            <w14:solidFill>
              <w14:schemeClr w14:val="tx1"/>
            </w14:solidFill>
          </w14:textFill>
        </w:rPr>
        <w:t>全面深化改革创新，</w:t>
      </w:r>
      <w:r>
        <w:rPr>
          <w:rStyle w:val="56"/>
          <w:color w:val="000000" w:themeColor="text1"/>
          <w14:textFill>
            <w14:solidFill>
              <w14:schemeClr w14:val="tx1"/>
            </w14:solidFill>
          </w14:textFill>
        </w:rPr>
        <w:t>不断激发园区发展活力，</w:t>
      </w:r>
      <w:r>
        <w:rPr>
          <w:color w:val="000000" w:themeColor="text1"/>
          <w:szCs w:val="32"/>
          <w:lang w:val="zh-CN"/>
          <w14:textFill>
            <w14:solidFill>
              <w14:schemeClr w14:val="tx1"/>
            </w14:solidFill>
          </w14:textFill>
        </w:rPr>
        <w:t>高标准推进自贸区建设。</w:t>
      </w:r>
    </w:p>
    <w:p>
      <w:pPr>
        <w:pStyle w:val="2"/>
        <w:spacing w:line="560" w:lineRule="atLeast"/>
        <w:ind w:firstLine="643" w:firstLineChars="200"/>
        <w:rPr>
          <w:color w:val="000000" w:themeColor="text1"/>
          <w:szCs w:val="32"/>
          <w:lang w:val="zh-CN"/>
          <w14:textFill>
            <w14:solidFill>
              <w14:schemeClr w14:val="tx1"/>
            </w14:solidFill>
          </w14:textFill>
        </w:rPr>
      </w:pPr>
      <w:r>
        <w:rPr>
          <w:b/>
          <w:bCs/>
          <w:color w:val="000000" w:themeColor="text1"/>
          <w:szCs w:val="32"/>
          <w:lang w:val="zh-CN"/>
          <w14:textFill>
            <w14:solidFill>
              <w14:schemeClr w14:val="tx1"/>
            </w14:solidFill>
          </w14:textFill>
        </w:rPr>
        <w:t>营造创新创业新环境</w:t>
      </w:r>
      <w:r>
        <w:rPr>
          <w:color w:val="000000" w:themeColor="text1"/>
          <w:szCs w:val="32"/>
          <w:lang w:val="zh-CN"/>
          <w14:textFill>
            <w14:solidFill>
              <w14:schemeClr w14:val="tx1"/>
            </w14:solidFill>
          </w14:textFill>
        </w:rPr>
        <w:t>。</w:t>
      </w:r>
      <w:r>
        <w:rPr>
          <w:color w:val="000000" w:themeColor="text1"/>
          <w:szCs w:val="32"/>
          <w14:textFill>
            <w14:solidFill>
              <w14:schemeClr w14:val="tx1"/>
            </w14:solidFill>
          </w14:textFill>
        </w:rPr>
        <w:t>以建设高水平“科创特区”为目标，以提升各类市场主体创新活力和创业动力为导向，</w:t>
      </w:r>
      <w:r>
        <w:rPr>
          <w:color w:val="000000" w:themeColor="text1"/>
          <w:szCs w:val="32"/>
          <w:lang w:val="zh-CN"/>
          <w14:textFill>
            <w14:solidFill>
              <w14:schemeClr w14:val="tx1"/>
            </w14:solidFill>
          </w14:textFill>
        </w:rPr>
        <w:t>加强双创平台、双创主体、双创人才建设</w:t>
      </w:r>
      <w:r>
        <w:rPr>
          <w:color w:val="000000" w:themeColor="text1"/>
          <w:szCs w:val="32"/>
          <w14:textFill>
            <w14:solidFill>
              <w14:schemeClr w14:val="tx1"/>
            </w14:solidFill>
          </w14:textFill>
        </w:rPr>
        <w:t>。</w:t>
      </w:r>
    </w:p>
    <w:p>
      <w:pPr>
        <w:pStyle w:val="2"/>
        <w:spacing w:line="560" w:lineRule="atLeast"/>
        <w:ind w:firstLine="643" w:firstLineChars="200"/>
        <w:rPr>
          <w:color w:val="000000" w:themeColor="text1"/>
          <w:szCs w:val="32"/>
          <w:lang w:val="zh-CN"/>
          <w14:textFill>
            <w14:solidFill>
              <w14:schemeClr w14:val="tx1"/>
            </w14:solidFill>
          </w14:textFill>
        </w:rPr>
      </w:pPr>
      <w:r>
        <w:rPr>
          <w:b/>
          <w:bCs/>
          <w:color w:val="000000" w:themeColor="text1"/>
          <w:szCs w:val="32"/>
          <w:lang w:val="zh-CN"/>
          <w14:textFill>
            <w14:solidFill>
              <w14:schemeClr w14:val="tx1"/>
            </w14:solidFill>
          </w14:textFill>
        </w:rPr>
        <w:t>构建现代产业新体系</w:t>
      </w:r>
      <w:r>
        <w:rPr>
          <w:color w:val="000000" w:themeColor="text1"/>
          <w:szCs w:val="32"/>
          <w:lang w:val="zh-CN"/>
          <w14:textFill>
            <w14:solidFill>
              <w14:schemeClr w14:val="tx1"/>
            </w14:solidFill>
          </w14:textFill>
        </w:rPr>
        <w:t>。</w:t>
      </w:r>
      <w:r>
        <w:rPr>
          <w:rFonts w:hint="eastAsia"/>
          <w:color w:val="000000" w:themeColor="text1"/>
          <w:szCs w:val="32"/>
          <w:lang w:val="zh-CN"/>
          <w14:textFill>
            <w14:solidFill>
              <w14:schemeClr w14:val="tx1"/>
            </w14:solidFill>
          </w14:textFill>
        </w:rPr>
        <w:t>坚持产业立区、工业强区，大力实施产业发展“241”工程，建立起比较完备、较强竞争力、辐射带动能力和地方特色的现代产业体系。</w:t>
      </w:r>
    </w:p>
    <w:p>
      <w:pPr>
        <w:pStyle w:val="2"/>
        <w:spacing w:line="560" w:lineRule="atLeast"/>
        <w:ind w:firstLine="643" w:firstLineChars="200"/>
        <w:rPr>
          <w:color w:val="000000" w:themeColor="text1"/>
          <w:szCs w:val="32"/>
          <w:lang w:val="zh-CN"/>
          <w14:textFill>
            <w14:solidFill>
              <w14:schemeClr w14:val="tx1"/>
            </w14:solidFill>
          </w14:textFill>
        </w:rPr>
      </w:pPr>
      <w:r>
        <w:rPr>
          <w:b/>
          <w:bCs/>
          <w:color w:val="000000" w:themeColor="text1"/>
          <w:szCs w:val="32"/>
          <w:lang w:val="zh-CN"/>
          <w14:textFill>
            <w14:solidFill>
              <w14:schemeClr w14:val="tx1"/>
            </w14:solidFill>
          </w14:textFill>
        </w:rPr>
        <w:t>推动产城融合新发展</w:t>
      </w:r>
      <w:r>
        <w:rPr>
          <w:color w:val="000000" w:themeColor="text1"/>
          <w:szCs w:val="32"/>
          <w:lang w:val="zh-CN"/>
          <w14:textFill>
            <w14:solidFill>
              <w14:schemeClr w14:val="tx1"/>
            </w14:solidFill>
          </w14:textFill>
        </w:rPr>
        <w:t>。</w:t>
      </w:r>
      <w:r>
        <w:rPr>
          <w:color w:val="000000" w:themeColor="text1"/>
          <w:szCs w:val="32"/>
          <w14:textFill>
            <w14:solidFill>
              <w14:schemeClr w14:val="tx1"/>
            </w14:solidFill>
          </w14:textFill>
        </w:rPr>
        <w:t>强化规划引领，全面落实产城融合发展理念，集中力量在交通、市政、环保、能源、教育、医疗、文化等领域继续实施一批重点工程，打造美丽宜居新城。</w:t>
      </w:r>
    </w:p>
    <w:p>
      <w:pPr>
        <w:pStyle w:val="2"/>
        <w:spacing w:line="560" w:lineRule="atLeast"/>
        <w:ind w:firstLine="643" w:firstLineChars="200"/>
        <w:rPr>
          <w:color w:val="000000" w:themeColor="text1"/>
          <w:szCs w:val="32"/>
          <w:lang w:val="zh-CN"/>
          <w14:textFill>
            <w14:solidFill>
              <w14:schemeClr w14:val="tx1"/>
            </w14:solidFill>
          </w14:textFill>
        </w:rPr>
      </w:pPr>
      <w:r>
        <w:rPr>
          <w:b/>
          <w:bCs/>
          <w:color w:val="000000" w:themeColor="text1"/>
          <w:szCs w:val="32"/>
          <w:lang w:val="zh-CN"/>
          <w14:textFill>
            <w14:solidFill>
              <w14:schemeClr w14:val="tx1"/>
            </w14:solidFill>
          </w14:textFill>
        </w:rPr>
        <w:t>打造绿色园区新样板</w:t>
      </w:r>
      <w:r>
        <w:rPr>
          <w:color w:val="000000" w:themeColor="text1"/>
          <w:szCs w:val="32"/>
          <w:lang w:val="zh-CN"/>
          <w14:textFill>
            <w14:solidFill>
              <w14:schemeClr w14:val="tx1"/>
            </w14:solidFill>
          </w14:textFill>
        </w:rPr>
        <w:t>。</w:t>
      </w:r>
      <w:r>
        <w:rPr>
          <w:color w:val="000000" w:themeColor="text1"/>
          <w14:textFill>
            <w14:solidFill>
              <w14:schemeClr w14:val="tx1"/>
            </w14:solidFill>
          </w14:textFill>
        </w:rPr>
        <w:t>坚持生态优先、绿色发展，打好蓝天、碧水、净土三大保卫战，促进经济社会发展全面绿色转型</w:t>
      </w:r>
      <w:r>
        <w:rPr>
          <w:color w:val="000000" w:themeColor="text1"/>
          <w:szCs w:val="32"/>
          <w14:textFill>
            <w14:solidFill>
              <w14:schemeClr w14:val="tx1"/>
            </w14:solidFill>
          </w14:textFill>
        </w:rPr>
        <w:t>，大幅提升园区园林绿化品质</w:t>
      </w:r>
      <w:r>
        <w:rPr>
          <w:color w:val="000000" w:themeColor="text1"/>
          <w14:textFill>
            <w14:solidFill>
              <w14:schemeClr w14:val="tx1"/>
            </w14:solidFill>
          </w14:textFill>
        </w:rPr>
        <w:t>，进一步提升园区生态环境质量。</w:t>
      </w:r>
    </w:p>
    <w:p>
      <w:pPr>
        <w:pStyle w:val="2"/>
        <w:spacing w:line="560" w:lineRule="atLeast"/>
        <w:ind w:firstLine="643" w:firstLineChars="200"/>
        <w:rPr>
          <w:color w:val="000000" w:themeColor="text1"/>
          <w:szCs w:val="32"/>
          <w:lang w:val="zh-CN"/>
          <w14:textFill>
            <w14:solidFill>
              <w14:schemeClr w14:val="tx1"/>
            </w14:solidFill>
          </w14:textFill>
        </w:rPr>
      </w:pPr>
      <w:r>
        <w:rPr>
          <w:b/>
          <w:bCs/>
          <w:color w:val="000000" w:themeColor="text1"/>
          <w:szCs w:val="32"/>
          <w:lang w:val="zh-CN"/>
          <w14:textFill>
            <w14:solidFill>
              <w14:schemeClr w14:val="tx1"/>
            </w14:solidFill>
          </w14:textFill>
        </w:rPr>
        <w:t>提升公共服务新水平</w:t>
      </w:r>
      <w:r>
        <w:rPr>
          <w:color w:val="000000" w:themeColor="text1"/>
          <w:szCs w:val="32"/>
          <w:lang w:val="zh-CN"/>
          <w14:textFill>
            <w14:solidFill>
              <w14:schemeClr w14:val="tx1"/>
            </w14:solidFill>
          </w14:textFill>
        </w:rPr>
        <w:t>。</w:t>
      </w:r>
      <w:r>
        <w:rPr>
          <w:color w:val="000000" w:themeColor="text1"/>
          <w:szCs w:val="32"/>
          <w14:textFill>
            <w14:solidFill>
              <w14:schemeClr w14:val="tx1"/>
            </w14:solidFill>
          </w14:textFill>
        </w:rPr>
        <w:t>着力补齐民生短板，</w:t>
      </w:r>
      <w:r>
        <w:rPr>
          <w:color w:val="000000" w:themeColor="text1"/>
          <w:szCs w:val="32"/>
          <w:lang w:val="zh-CN"/>
          <w14:textFill>
            <w14:solidFill>
              <w14:schemeClr w14:val="tx1"/>
            </w14:solidFill>
          </w14:textFill>
        </w:rPr>
        <w:t>优化公共服务供给，推进基本公共服务均等化，</w:t>
      </w:r>
      <w:r>
        <w:rPr>
          <w:color w:val="000000" w:themeColor="text1"/>
          <w:szCs w:val="32"/>
          <w14:textFill>
            <w14:solidFill>
              <w14:schemeClr w14:val="tx1"/>
            </w14:solidFill>
          </w14:textFill>
        </w:rPr>
        <w:t>提高民生保障水平，</w:t>
      </w:r>
      <w:r>
        <w:rPr>
          <w:color w:val="000000" w:themeColor="text1"/>
          <w:szCs w:val="32"/>
          <w:lang w:val="zh-CN"/>
          <w14:textFill>
            <w14:solidFill>
              <w14:schemeClr w14:val="tx1"/>
            </w14:solidFill>
          </w14:textFill>
        </w:rPr>
        <w:t>打造人民群众满意的园区。</w:t>
      </w:r>
    </w:p>
    <w:p>
      <w:pPr>
        <w:pStyle w:val="2"/>
        <w:spacing w:line="560" w:lineRule="atLeast"/>
        <w:ind w:firstLine="643" w:firstLineChars="200"/>
        <w:rPr>
          <w:color w:val="000000" w:themeColor="text1"/>
          <w:szCs w:val="32"/>
          <w:lang w:val="zh-CN"/>
          <w14:textFill>
            <w14:solidFill>
              <w14:schemeClr w14:val="tx1"/>
            </w14:solidFill>
          </w14:textFill>
        </w:rPr>
      </w:pPr>
      <w:r>
        <w:rPr>
          <w:b/>
          <w:bCs/>
          <w:color w:val="000000" w:themeColor="text1"/>
          <w:szCs w:val="32"/>
          <w:lang w:val="zh-CN"/>
          <w14:textFill>
            <w14:solidFill>
              <w14:schemeClr w14:val="tx1"/>
            </w14:solidFill>
          </w14:textFill>
        </w:rPr>
        <w:t>构建社会治理新格局</w:t>
      </w:r>
      <w:r>
        <w:rPr>
          <w:color w:val="000000" w:themeColor="text1"/>
          <w:szCs w:val="32"/>
          <w:lang w:val="zh-CN"/>
          <w14:textFill>
            <w14:solidFill>
              <w14:schemeClr w14:val="tx1"/>
            </w14:solidFill>
          </w14:textFill>
        </w:rPr>
        <w:t>。创新社会治理，</w:t>
      </w:r>
      <w:r>
        <w:rPr>
          <w:color w:val="000000" w:themeColor="text1"/>
          <w:spacing w:val="3"/>
          <w14:textFill>
            <w14:solidFill>
              <w14:schemeClr w14:val="tx1"/>
            </w14:solidFill>
          </w14:textFill>
        </w:rPr>
        <w:t>毫不动摇坚持和巩固中国特色社</w:t>
      </w:r>
      <w:r>
        <w:rPr>
          <w:color w:val="000000" w:themeColor="text1"/>
          <w:spacing w:val="-6"/>
          <w14:textFill>
            <w14:solidFill>
              <w14:schemeClr w14:val="tx1"/>
            </w14:solidFill>
          </w14:textFill>
        </w:rPr>
        <w:t>会主义制度，加快法治建设、平安建设，提升全区社会治理效能。</w:t>
      </w:r>
    </w:p>
    <w:p>
      <w:pPr>
        <w:pStyle w:val="4"/>
        <w:rPr>
          <w:color w:val="000000" w:themeColor="text1"/>
          <w14:textFill>
            <w14:solidFill>
              <w14:schemeClr w14:val="tx1"/>
            </w14:solidFill>
          </w14:textFill>
        </w:rPr>
      </w:pPr>
      <w:bookmarkStart w:id="83" w:name="_Toc29295"/>
      <w:r>
        <w:rPr>
          <w:color w:val="000000" w:themeColor="text1"/>
          <w14:textFill>
            <w14:solidFill>
              <w14:schemeClr w14:val="tx1"/>
            </w14:solidFill>
          </w14:textFill>
        </w:rPr>
        <w:t>第二节　发展目标</w:t>
      </w:r>
      <w:bookmarkEnd w:id="83"/>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展望二〇三五年，在全市率先基本实现社会主义现代化，成为云南建设面向南亚东南亚辐射中心和昆明建设区域性国际中心城市的核心区。经济总量迈上新的大台阶，综合实力位居国家级开发区前列，年营业收入突破10000亿元。创新成为推动高质量发展的第一动力，全员劳动生产率大幅提升。开放程度和国际化水平显著提升，外向型经济成为园区经济的重要组成部分。实现产城融合，发展协同性、协调性、融合性明显增强。绿色生产生活方式广泛形成，生态环境质量稳居全国园区前列。园区治理科学化、精细化、智能化程度显著提高，法治建设、平安建设达到更高水平，群众素质和文明程度达到新高度，人民群众获得感、幸福感、安全感进一步增强，基本实现园区治理体系和治理能力现代化。</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锚定二〇三五年远景目标，综合考虑“十四五”时期发展基础、要素禀赋、政策体系、市场环境等因素，在与国家、云南省以及昆明市“十四五”时期经济社会发展主要目标进行充分衔接基础上，按照相关部门对中国（云南）自贸区昆明片区和昆明经开区的发展要求，构建经济社会发展目标体系。</w:t>
      </w:r>
    </w:p>
    <w:p>
      <w:pPr>
        <w:spacing w:line="540" w:lineRule="exact"/>
        <w:ind w:firstLine="640"/>
        <w:rPr>
          <w:rFonts w:eastAsia="楷体_GB2312"/>
          <w:b/>
          <w:bCs/>
          <w:color w:val="000000" w:themeColor="text1"/>
          <w:szCs w:val="32"/>
          <w:lang w:val="zh-CN" w:bidi="ar"/>
          <w14:textFill>
            <w14:solidFill>
              <w14:schemeClr w14:val="tx1"/>
            </w14:solidFill>
          </w14:textFill>
        </w:rPr>
      </w:pPr>
      <w:r>
        <w:rPr>
          <w:rFonts w:eastAsia="楷体_GB2312"/>
          <w:b/>
          <w:bCs/>
          <w:color w:val="000000" w:themeColor="text1"/>
          <w:szCs w:val="32"/>
          <w:lang w:val="zh-CN" w:bidi="ar"/>
          <w14:textFill>
            <w14:solidFill>
              <w14:schemeClr w14:val="tx1"/>
            </w14:solidFill>
          </w14:textFill>
        </w:rPr>
        <w:t>（</w:t>
      </w:r>
      <w:r>
        <w:rPr>
          <w:rFonts w:eastAsia="楷体_GB2312"/>
          <w:b/>
          <w:bCs/>
          <w:color w:val="000000" w:themeColor="text1"/>
          <w:szCs w:val="32"/>
          <w:lang w:bidi="ar"/>
          <w14:textFill>
            <w14:solidFill>
              <w14:schemeClr w14:val="tx1"/>
            </w14:solidFill>
          </w14:textFill>
        </w:rPr>
        <w:t>一）</w:t>
      </w:r>
      <w:r>
        <w:rPr>
          <w:rFonts w:eastAsia="楷体_GB2312"/>
          <w:b/>
          <w:bCs/>
          <w:color w:val="000000" w:themeColor="text1"/>
          <w:szCs w:val="32"/>
          <w:lang w:val="zh-CN" w:bidi="ar"/>
          <w14:textFill>
            <w14:solidFill>
              <w14:schemeClr w14:val="tx1"/>
            </w14:solidFill>
          </w14:textFill>
        </w:rPr>
        <w:t>昆明片区</w:t>
      </w:r>
      <w:r>
        <w:rPr>
          <w:color w:val="000000" w:themeColor="text1"/>
          <w:szCs w:val="32"/>
          <w:lang w:val="zh-CN" w:bidi="ar"/>
          <w14:textFill>
            <w14:solidFill>
              <w14:schemeClr w14:val="tx1"/>
            </w14:solidFill>
          </w14:textFill>
        </w:rPr>
        <w:t>（76平方公里）</w:t>
      </w:r>
    </w:p>
    <w:p>
      <w:pPr>
        <w:spacing w:line="560" w:lineRule="atLeast"/>
        <w:ind w:firstLine="640"/>
        <w:rPr>
          <w:color w:val="000000" w:themeColor="text1"/>
          <w:szCs w:val="32"/>
          <w14:textFill>
            <w14:solidFill>
              <w14:schemeClr w14:val="tx1"/>
            </w14:solidFill>
          </w14:textFill>
        </w:rPr>
      </w:pPr>
      <w:r>
        <w:rPr>
          <w:color w:val="000000" w:themeColor="text1"/>
          <w:szCs w:val="32"/>
          <w:lang w:val="zh-CN"/>
          <w14:textFill>
            <w14:solidFill>
              <w14:schemeClr w14:val="tx1"/>
            </w14:solidFill>
          </w14:textFill>
        </w:rPr>
        <w:t>按照省“十四五”规划要求，到</w:t>
      </w:r>
      <w:r>
        <w:rPr>
          <w:color w:val="000000" w:themeColor="text1"/>
          <w:szCs w:val="32"/>
          <w14:textFill>
            <w14:solidFill>
              <w14:schemeClr w14:val="tx1"/>
            </w14:solidFill>
          </w14:textFill>
        </w:rPr>
        <w:t>2025年，</w:t>
      </w:r>
      <w:r>
        <w:rPr>
          <w:color w:val="000000" w:themeColor="text1"/>
          <w:szCs w:val="32"/>
          <w:lang w:val="zh-CN"/>
          <w14:textFill>
            <w14:solidFill>
              <w14:schemeClr w14:val="tx1"/>
            </w14:solidFill>
          </w14:textFill>
        </w:rPr>
        <w:t>力争昆明片区主营业务收入在“十三五”末的基础上实现翻两番，其中</w:t>
      </w:r>
      <w:r>
        <w:rPr>
          <w:color w:val="000000" w:themeColor="text1"/>
          <w:szCs w:val="32"/>
          <w14:textFill>
            <w14:solidFill>
              <w14:schemeClr w14:val="tx1"/>
            </w14:solidFill>
          </w14:textFill>
        </w:rPr>
        <w:t>经开区域年均增速不低于32%</w:t>
      </w:r>
      <w:r>
        <w:rPr>
          <w:color w:val="000000" w:themeColor="text1"/>
          <w:szCs w:val="32"/>
          <w:lang w:val="zh-CN"/>
          <w14:textFill>
            <w14:solidFill>
              <w14:schemeClr w14:val="tx1"/>
            </w14:solidFill>
          </w14:textFill>
        </w:rPr>
        <w:t>；每年新增注册市场主体</w:t>
      </w:r>
      <w:r>
        <w:rPr>
          <w:color w:val="000000" w:themeColor="text1"/>
          <w:szCs w:val="32"/>
          <w14:textFill>
            <w14:solidFill>
              <w14:schemeClr w14:val="tx1"/>
            </w14:solidFill>
          </w14:textFill>
        </w:rPr>
        <w:t>1万户，累计5万户；实际利用外资年均增长30%以上；外贸进出口总额年均增长30%以上。</w:t>
      </w:r>
    </w:p>
    <w:p>
      <w:pPr>
        <w:spacing w:line="540" w:lineRule="exact"/>
        <w:ind w:firstLine="640"/>
        <w:rPr>
          <w:color w:val="000000" w:themeColor="text1"/>
          <w14:textFill>
            <w14:solidFill>
              <w14:schemeClr w14:val="tx1"/>
            </w14:solidFill>
          </w14:textFill>
        </w:rPr>
      </w:pPr>
      <w:r>
        <w:rPr>
          <w:rFonts w:eastAsia="楷体_GB2312"/>
          <w:b/>
          <w:bCs/>
          <w:color w:val="000000" w:themeColor="text1"/>
          <w:szCs w:val="32"/>
          <w:lang w:val="zh-CN" w:bidi="ar"/>
          <w14:textFill>
            <w14:solidFill>
              <w14:schemeClr w14:val="tx1"/>
            </w14:solidFill>
          </w14:textFill>
        </w:rPr>
        <w:t>（二）昆明经开区</w:t>
      </w:r>
    </w:p>
    <w:p>
      <w:pPr>
        <w:spacing w:line="560" w:lineRule="atLeas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经济发展目标。</w:t>
      </w:r>
      <w:r>
        <w:rPr>
          <w:color w:val="000000" w:themeColor="text1"/>
          <w:szCs w:val="32"/>
          <w14:textFill>
            <w14:solidFill>
              <w14:schemeClr w14:val="tx1"/>
            </w14:solidFill>
          </w14:textFill>
        </w:rPr>
        <w:t>地区生产总值年均增长10%以上，主营业务收入年均增长10%以上、突破4000亿元，规模以上工业增加值年均增长10%以上，规模以上固定资产投资年均增长10%以上，地方一般公共预算收入年均增长8%以上，累计实际引进市外资金1000亿元，累计实际利用外资10亿美元，</w:t>
      </w:r>
      <w:r>
        <w:rPr>
          <w:rFonts w:hint="eastAsia"/>
          <w:color w:val="000000" w:themeColor="text1"/>
          <w:szCs w:val="32"/>
          <w14:textFill>
            <w14:solidFill>
              <w14:schemeClr w14:val="tx1"/>
            </w14:solidFill>
          </w14:textFill>
        </w:rPr>
        <w:t>外贸</w:t>
      </w:r>
      <w:r>
        <w:rPr>
          <w:color w:val="000000" w:themeColor="text1"/>
          <w:szCs w:val="32"/>
          <w14:textFill>
            <w14:solidFill>
              <w14:schemeClr w14:val="tx1"/>
            </w14:solidFill>
          </w14:textFill>
        </w:rPr>
        <w:t>进出口总额年均增长20%以上。</w:t>
      </w:r>
    </w:p>
    <w:p>
      <w:pPr>
        <w:pStyle w:val="35"/>
        <w:spacing w:line="560" w:lineRule="atLeast"/>
        <w:ind w:firstLine="643"/>
        <w:jc w:val="both"/>
        <w:rPr>
          <w:color w:val="000000" w:themeColor="text1"/>
          <w:kern w:val="2"/>
          <w:sz w:val="32"/>
          <w:szCs w:val="32"/>
          <w14:textFill>
            <w14:solidFill>
              <w14:schemeClr w14:val="tx1"/>
            </w14:solidFill>
          </w14:textFill>
        </w:rPr>
      </w:pPr>
      <w:r>
        <w:rPr>
          <w:b/>
          <w:color w:val="000000" w:themeColor="text1"/>
          <w:kern w:val="2"/>
          <w:sz w:val="32"/>
          <w:szCs w:val="32"/>
          <w14:textFill>
            <w14:solidFill>
              <w14:schemeClr w14:val="tx1"/>
            </w14:solidFill>
          </w14:textFill>
        </w:rPr>
        <w:t>改革创新目标。</w:t>
      </w:r>
      <w:r>
        <w:rPr>
          <w:color w:val="000000" w:themeColor="text1"/>
          <w:kern w:val="2"/>
          <w:sz w:val="32"/>
          <w:szCs w:val="32"/>
          <w14:textFill>
            <w14:solidFill>
              <w14:schemeClr w14:val="tx1"/>
            </w14:solidFill>
          </w14:textFill>
        </w:rPr>
        <w:t>研究与试验发展（R&amp;D）经费投入占GDP比重达到3.8%以上，高新技术企业数量达到300家，人才资源总量达到4.2万人，营商环境排名全市前列。全面建成高标准高质量自由贸易园区，达到全国自贸区2.0版</w:t>
      </w:r>
      <w:r>
        <w:rPr>
          <w:rFonts w:hint="eastAsia"/>
          <w:color w:val="000000" w:themeColor="text1"/>
          <w:kern w:val="2"/>
          <w:sz w:val="32"/>
          <w:szCs w:val="32"/>
          <w14:textFill>
            <w14:solidFill>
              <w14:schemeClr w14:val="tx1"/>
            </w14:solidFill>
          </w14:textFill>
        </w:rPr>
        <w:t>本</w:t>
      </w:r>
      <w:r>
        <w:rPr>
          <w:color w:val="000000" w:themeColor="text1"/>
          <w:kern w:val="2"/>
          <w:sz w:val="32"/>
          <w:szCs w:val="32"/>
          <w14:textFill>
            <w14:solidFill>
              <w14:schemeClr w14:val="tx1"/>
            </w14:solidFill>
          </w14:textFill>
        </w:rPr>
        <w:t>水平。</w:t>
      </w:r>
    </w:p>
    <w:p>
      <w:pPr>
        <w:pStyle w:val="35"/>
        <w:spacing w:line="560" w:lineRule="atLeast"/>
        <w:ind w:firstLine="643"/>
        <w:jc w:val="both"/>
        <w:rPr>
          <w:color w:val="000000" w:themeColor="text1"/>
          <w:kern w:val="2"/>
          <w:sz w:val="32"/>
          <w:szCs w:val="32"/>
          <w14:textFill>
            <w14:solidFill>
              <w14:schemeClr w14:val="tx1"/>
            </w14:solidFill>
          </w14:textFill>
        </w:rPr>
      </w:pPr>
      <w:r>
        <w:rPr>
          <w:b/>
          <w:color w:val="000000" w:themeColor="text1"/>
          <w:kern w:val="2"/>
          <w:sz w:val="32"/>
          <w:szCs w:val="32"/>
          <w14:textFill>
            <w14:solidFill>
              <w14:schemeClr w14:val="tx1"/>
            </w14:solidFill>
          </w14:textFill>
        </w:rPr>
        <w:t>生态环境目标。</w:t>
      </w:r>
      <w:r>
        <w:rPr>
          <w:color w:val="000000" w:themeColor="text1"/>
          <w:kern w:val="2"/>
          <w:sz w:val="32"/>
          <w:szCs w:val="32"/>
          <w14:textFill>
            <w14:solidFill>
              <w14:schemeClr w14:val="tx1"/>
            </w14:solidFill>
          </w14:textFill>
        </w:rPr>
        <w:t>园区水环境质量得到有效提升，地表水达到或好于Ⅲ类水体比例60%以上，城市空气优良天数占比超过98%，绿化覆盖率超过42.5%。</w:t>
      </w:r>
    </w:p>
    <w:p>
      <w:pPr>
        <w:pStyle w:val="35"/>
        <w:spacing w:line="560" w:lineRule="atLeast"/>
        <w:ind w:firstLine="643"/>
        <w:jc w:val="both"/>
        <w:rPr>
          <w:color w:val="000000" w:themeColor="text1"/>
          <w:kern w:val="2"/>
          <w:sz w:val="32"/>
          <w:szCs w:val="32"/>
          <w14:textFill>
            <w14:solidFill>
              <w14:schemeClr w14:val="tx1"/>
            </w14:solidFill>
          </w14:textFill>
        </w:rPr>
      </w:pPr>
      <w:r>
        <w:rPr>
          <w:b/>
          <w:color w:val="000000" w:themeColor="text1"/>
          <w:kern w:val="2"/>
          <w:sz w:val="32"/>
          <w:szCs w:val="32"/>
          <w14:textFill>
            <w14:solidFill>
              <w14:schemeClr w14:val="tx1"/>
            </w14:solidFill>
          </w14:textFill>
        </w:rPr>
        <w:t>民生福祉目标。</w:t>
      </w:r>
      <w:r>
        <w:rPr>
          <w:bCs/>
          <w:color w:val="000000" w:themeColor="text1"/>
          <w:kern w:val="2"/>
          <w:sz w:val="32"/>
          <w:szCs w:val="32"/>
          <w14:textFill>
            <w14:solidFill>
              <w14:schemeClr w14:val="tx1"/>
            </w14:solidFill>
          </w14:textFill>
        </w:rPr>
        <w:t>城镇</w:t>
      </w:r>
      <w:r>
        <w:rPr>
          <w:color w:val="000000" w:themeColor="text1"/>
          <w:kern w:val="2"/>
          <w:sz w:val="32"/>
          <w:szCs w:val="32"/>
          <w14:textFill>
            <w14:solidFill>
              <w14:schemeClr w14:val="tx1"/>
            </w14:solidFill>
          </w14:textFill>
        </w:rPr>
        <w:t>居民人均可支配收入增长和经济增长基本同步，城镇登记失业率低于3.5%，亿元工业增加值安全生产事故死亡率低于0.1%。</w:t>
      </w:r>
    </w:p>
    <w:p>
      <w:pPr>
        <w:pStyle w:val="2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表1 昆明经开区“十四五”时期经济社会发展主要指标</w:t>
      </w:r>
    </w:p>
    <w:tbl>
      <w:tblPr>
        <w:tblStyle w:val="18"/>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521"/>
        <w:gridCol w:w="501"/>
        <w:gridCol w:w="3378"/>
        <w:gridCol w:w="1017"/>
        <w:gridCol w:w="947"/>
        <w:gridCol w:w="1004"/>
        <w:gridCol w:w="852"/>
        <w:gridCol w:w="85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67" w:hRule="atLeast"/>
          <w:tblHeader/>
          <w:jc w:val="center"/>
        </w:trPr>
        <w:tc>
          <w:tcPr>
            <w:tcW w:w="521" w:type="dxa"/>
            <w:vAlign w:val="center"/>
          </w:tcPr>
          <w:p>
            <w:pPr>
              <w:pStyle w:val="37"/>
              <w:ind w:firstLine="0" w:firstLineChars="0"/>
              <w:rPr>
                <w:rFonts w:eastAsia="黑体"/>
                <w:snapToGrid w:val="0"/>
                <w:color w:val="000000" w:themeColor="text1"/>
                <w:sz w:val="21"/>
                <w:szCs w:val="21"/>
                <w14:textFill>
                  <w14:solidFill>
                    <w14:schemeClr w14:val="tx1"/>
                  </w14:solidFill>
                </w14:textFill>
              </w:rPr>
            </w:pPr>
            <w:r>
              <w:rPr>
                <w:rFonts w:eastAsia="黑体"/>
                <w:snapToGrid w:val="0"/>
                <w:color w:val="000000" w:themeColor="text1"/>
                <w:sz w:val="21"/>
                <w:szCs w:val="21"/>
                <w14:textFill>
                  <w14:solidFill>
                    <w14:schemeClr w14:val="tx1"/>
                  </w14:solidFill>
                </w14:textFill>
              </w:rPr>
              <w:t>序号</w:t>
            </w:r>
          </w:p>
        </w:tc>
        <w:tc>
          <w:tcPr>
            <w:tcW w:w="501" w:type="dxa"/>
            <w:vAlign w:val="center"/>
          </w:tcPr>
          <w:p>
            <w:pPr>
              <w:pStyle w:val="37"/>
              <w:ind w:firstLine="0" w:firstLineChars="0"/>
              <w:rPr>
                <w:rFonts w:eastAsia="黑体"/>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rFonts w:eastAsia="黑体"/>
                <w:snapToGrid w:val="0"/>
                <w:color w:val="000000" w:themeColor="text1"/>
                <w:sz w:val="21"/>
                <w:szCs w:val="21"/>
                <w14:textFill>
                  <w14:solidFill>
                    <w14:schemeClr w14:val="tx1"/>
                  </w14:solidFill>
                </w14:textFill>
              </w:rPr>
            </w:pPr>
            <w:r>
              <w:rPr>
                <w:rFonts w:eastAsia="黑体"/>
                <w:snapToGrid w:val="0"/>
                <w:color w:val="000000" w:themeColor="text1"/>
                <w:sz w:val="21"/>
                <w:szCs w:val="21"/>
                <w14:textFill>
                  <w14:solidFill>
                    <w14:schemeClr w14:val="tx1"/>
                  </w14:solidFill>
                </w14:textFill>
              </w:rPr>
              <w:t>指标名称</w:t>
            </w:r>
          </w:p>
        </w:tc>
        <w:tc>
          <w:tcPr>
            <w:tcW w:w="1017" w:type="dxa"/>
            <w:vAlign w:val="center"/>
          </w:tcPr>
          <w:p>
            <w:pPr>
              <w:pStyle w:val="37"/>
              <w:ind w:firstLine="0" w:firstLineChars="0"/>
              <w:rPr>
                <w:rFonts w:eastAsia="黑体"/>
                <w:color w:val="000000" w:themeColor="text1"/>
                <w:sz w:val="21"/>
                <w:szCs w:val="21"/>
                <w14:textFill>
                  <w14:solidFill>
                    <w14:schemeClr w14:val="tx1"/>
                  </w14:solidFill>
                </w14:textFill>
              </w:rPr>
            </w:pPr>
            <w:r>
              <w:rPr>
                <w:rFonts w:eastAsia="黑体"/>
                <w:snapToGrid w:val="0"/>
                <w:color w:val="000000" w:themeColor="text1"/>
                <w:sz w:val="21"/>
                <w:szCs w:val="21"/>
                <w14:textFill>
                  <w14:solidFill>
                    <w14:schemeClr w14:val="tx1"/>
                  </w14:solidFill>
                </w14:textFill>
              </w:rPr>
              <w:t>2020年</w:t>
            </w:r>
          </w:p>
        </w:tc>
        <w:tc>
          <w:tcPr>
            <w:tcW w:w="947" w:type="dxa"/>
            <w:vAlign w:val="center"/>
          </w:tcPr>
          <w:p>
            <w:pPr>
              <w:pStyle w:val="37"/>
              <w:ind w:firstLine="0" w:firstLineChars="0"/>
              <w:rPr>
                <w:rFonts w:eastAsia="黑体"/>
                <w:snapToGrid w:val="0"/>
                <w:color w:val="000000" w:themeColor="text1"/>
                <w:sz w:val="21"/>
                <w:szCs w:val="21"/>
                <w14:textFill>
                  <w14:solidFill>
                    <w14:schemeClr w14:val="tx1"/>
                  </w14:solidFill>
                </w14:textFill>
              </w:rPr>
            </w:pPr>
            <w:r>
              <w:rPr>
                <w:rFonts w:eastAsia="黑体"/>
                <w:snapToGrid w:val="0"/>
                <w:color w:val="000000" w:themeColor="text1"/>
                <w:sz w:val="21"/>
                <w:szCs w:val="21"/>
                <w14:textFill>
                  <w14:solidFill>
                    <w14:schemeClr w14:val="tx1"/>
                  </w14:solidFill>
                </w14:textFill>
              </w:rPr>
              <w:t>2025年</w:t>
            </w:r>
          </w:p>
        </w:tc>
        <w:tc>
          <w:tcPr>
            <w:tcW w:w="1004" w:type="dxa"/>
            <w:vAlign w:val="center"/>
          </w:tcPr>
          <w:p>
            <w:pPr>
              <w:pStyle w:val="37"/>
              <w:ind w:firstLine="0" w:firstLineChars="0"/>
              <w:rPr>
                <w:rFonts w:eastAsia="黑体"/>
                <w:snapToGrid w:val="0"/>
                <w:color w:val="000000" w:themeColor="text1"/>
                <w:sz w:val="21"/>
                <w:szCs w:val="21"/>
                <w14:textFill>
                  <w14:solidFill>
                    <w14:schemeClr w14:val="tx1"/>
                  </w14:solidFill>
                </w14:textFill>
              </w:rPr>
            </w:pPr>
            <w:r>
              <w:rPr>
                <w:rFonts w:eastAsia="黑体"/>
                <w:snapToGrid w:val="0"/>
                <w:color w:val="000000" w:themeColor="text1"/>
                <w:sz w:val="21"/>
                <w:szCs w:val="21"/>
                <w14:textFill>
                  <w14:solidFill>
                    <w14:schemeClr w14:val="tx1"/>
                  </w14:solidFill>
                </w14:textFill>
              </w:rPr>
              <w:t>“十四五”年均增速</w:t>
            </w:r>
          </w:p>
          <w:p>
            <w:pPr>
              <w:pStyle w:val="37"/>
              <w:ind w:firstLine="0" w:firstLineChars="0"/>
              <w:rPr>
                <w:rFonts w:eastAsia="黑体"/>
                <w:snapToGrid w:val="0"/>
                <w:color w:val="000000" w:themeColor="text1"/>
                <w:sz w:val="21"/>
                <w:szCs w:val="21"/>
                <w14:textFill>
                  <w14:solidFill>
                    <w14:schemeClr w14:val="tx1"/>
                  </w14:solidFill>
                </w14:textFill>
              </w:rPr>
            </w:pPr>
            <w:r>
              <w:rPr>
                <w:rFonts w:eastAsia="黑体"/>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rFonts w:eastAsia="黑体"/>
                <w:snapToGrid w:val="0"/>
                <w:color w:val="000000" w:themeColor="text1"/>
                <w:sz w:val="21"/>
                <w:szCs w:val="21"/>
                <w14:textFill>
                  <w14:solidFill>
                    <w14:schemeClr w14:val="tx1"/>
                  </w14:solidFill>
                </w14:textFill>
              </w:rPr>
            </w:pPr>
            <w:r>
              <w:rPr>
                <w:rFonts w:eastAsia="黑体"/>
                <w:snapToGrid w:val="0"/>
                <w:color w:val="000000" w:themeColor="text1"/>
                <w:sz w:val="21"/>
                <w:szCs w:val="21"/>
                <w14:textFill>
                  <w14:solidFill>
                    <w14:schemeClr w14:val="tx1"/>
                  </w14:solidFill>
                </w14:textFill>
              </w:rPr>
              <w:t>属性</w:t>
            </w:r>
          </w:p>
        </w:tc>
        <w:tc>
          <w:tcPr>
            <w:tcW w:w="852" w:type="dxa"/>
            <w:vAlign w:val="center"/>
          </w:tcPr>
          <w:p>
            <w:pPr>
              <w:pStyle w:val="37"/>
              <w:ind w:firstLine="0" w:firstLineChars="0"/>
              <w:rPr>
                <w:rFonts w:eastAsia="黑体"/>
                <w:snapToGrid w:val="0"/>
                <w:color w:val="000000" w:themeColor="text1"/>
                <w:sz w:val="21"/>
                <w:szCs w:val="21"/>
                <w14:textFill>
                  <w14:solidFill>
                    <w14:schemeClr w14:val="tx1"/>
                  </w14:solidFill>
                </w14:textFill>
              </w:rPr>
            </w:pPr>
            <w:r>
              <w:rPr>
                <w:rFonts w:eastAsia="黑体"/>
                <w:snapToGrid w:val="0"/>
                <w:color w:val="000000" w:themeColor="text1"/>
                <w:sz w:val="21"/>
                <w:szCs w:val="21"/>
                <w14:textFill>
                  <w14:solidFill>
                    <w14:schemeClr w14:val="tx1"/>
                  </w14:solidFill>
                </w14:textFill>
              </w:rPr>
              <w:t>责任</w:t>
            </w:r>
          </w:p>
          <w:p>
            <w:pPr>
              <w:pStyle w:val="37"/>
              <w:ind w:firstLine="0" w:firstLineChars="0"/>
              <w:rPr>
                <w:rFonts w:eastAsia="黑体"/>
                <w:snapToGrid w:val="0"/>
                <w:color w:val="000000" w:themeColor="text1"/>
                <w:sz w:val="21"/>
                <w:szCs w:val="21"/>
                <w14:textFill>
                  <w14:solidFill>
                    <w14:schemeClr w14:val="tx1"/>
                  </w14:solidFill>
                </w14:textFill>
              </w:rPr>
            </w:pPr>
            <w:r>
              <w:rPr>
                <w:rFonts w:eastAsia="黑体"/>
                <w:snapToGrid w:val="0"/>
                <w:color w:val="000000" w:themeColor="text1"/>
                <w:sz w:val="21"/>
                <w:szCs w:val="21"/>
                <w14:textFill>
                  <w14:solidFill>
                    <w14:schemeClr w14:val="tx1"/>
                  </w14:solidFill>
                </w14:textFill>
              </w:rPr>
              <w:t>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01" w:type="dxa"/>
            <w:vMerge w:val="restart"/>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经济发展</w:t>
            </w: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地区生产总值（亿元）</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520.4</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900</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10</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经发局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主营业务收入（亿元）</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2218</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4000</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10</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经发局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全员劳动生产率（万元/人）</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44.6</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50</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经发局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规模以上工业增加值（亿元）</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10</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工科局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地方一般公共预算收入（亿元）</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42.3</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62</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8</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财政</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分局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规模以上固定资产投资（亿元）</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10</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经发局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累计实际利用外资（亿美元）</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[6.2]</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招商</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合作局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累计实际引进市外资金（亿元）</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[690]</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[1000]</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招商</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合作局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外贸</w:t>
            </w:r>
            <w:r>
              <w:rPr>
                <w:snapToGrid w:val="0"/>
                <w:color w:val="000000" w:themeColor="text1"/>
                <w:sz w:val="21"/>
                <w:szCs w:val="21"/>
                <w14:textFill>
                  <w14:solidFill>
                    <w14:schemeClr w14:val="tx1"/>
                  </w14:solidFill>
                </w14:textFill>
              </w:rPr>
              <w:t>进出口总额（亿美元）</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20</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商务</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金融局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501" w:type="dxa"/>
            <w:vMerge w:val="restart"/>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创新驱动</w:t>
            </w:r>
          </w:p>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研究与试验发展（R&amp;D）经费投入占GDP比重（%）</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3.5</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3.8</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工科局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累计高新技术企业数（家）</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180</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300</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工科局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人才资源总量（万人）</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3.7</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4.2</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党群</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工作部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每万人发明专利拥有量（件/万人）</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21</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30</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市场</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监管局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4"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高新技术企业工业产值占规模以上工业总产值比重（%）</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30.5</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42</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工科局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01" w:type="dxa"/>
            <w:vMerge w:val="restart"/>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生态环境</w:t>
            </w: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单位工业增加值综合能耗（吨标煤/万元）</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0.08</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完成市</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下达指标</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约束性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工科局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单位工业增加值新鲜水耗（立方米/万元）</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3.12</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完成市</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下达指标</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约束性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工科局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单位GDP二氧化碳排放降幅</w:t>
            </w:r>
          </w:p>
        </w:tc>
        <w:tc>
          <w:tcPr>
            <w:tcW w:w="1017" w:type="dxa"/>
            <w:vAlign w:val="center"/>
          </w:tcPr>
          <w:p>
            <w:pPr>
              <w:pStyle w:val="37"/>
              <w:ind w:firstLine="0" w:firstLineChars="0"/>
              <w:rPr>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947" w:type="dxa"/>
            <w:vAlign w:val="center"/>
          </w:tcPr>
          <w:p>
            <w:pPr>
              <w:pStyle w:val="37"/>
              <w:ind w:firstLine="0" w:firstLineChars="0"/>
              <w:rPr>
                <w:color w:val="000000" w:themeColor="text1"/>
                <w:kern w:val="0"/>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完成市</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下达指标</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约束性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生态环境分局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城市空气质量优良天数比率（%）</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97.2</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＞98</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约束性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生态环境分局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地表水达到或好于III类水体比例（%）</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50</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60</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约束性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城管局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绿化覆盖率（%）</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41.8</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42.5</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约束性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城管局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w:t>
            </w:r>
          </w:p>
        </w:tc>
        <w:tc>
          <w:tcPr>
            <w:tcW w:w="501" w:type="dxa"/>
            <w:vMerge w:val="restart"/>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民生福祉</w:t>
            </w: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城镇居民人均可支配收入年均增长率（%）</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w w:val="80"/>
                <w:sz w:val="21"/>
                <w:szCs w:val="21"/>
                <w14:textFill>
                  <w14:solidFill>
                    <w14:schemeClr w14:val="tx1"/>
                  </w14:solidFill>
                </w14:textFill>
              </w:rPr>
              <w:t>与经济增</w:t>
            </w:r>
            <w:r>
              <w:rPr>
                <w:rFonts w:hint="eastAsia"/>
                <w:snapToGrid w:val="0"/>
                <w:color w:val="000000" w:themeColor="text1"/>
                <w:w w:val="80"/>
                <w:sz w:val="21"/>
                <w:szCs w:val="21"/>
                <w14:textFill>
                  <w14:solidFill>
                    <w14:schemeClr w14:val="tx1"/>
                  </w14:solidFill>
                </w14:textFill>
              </w:rPr>
              <w:t>速</w:t>
            </w:r>
            <w:r>
              <w:rPr>
                <w:snapToGrid w:val="0"/>
                <w:color w:val="000000" w:themeColor="text1"/>
                <w:w w:val="80"/>
                <w:sz w:val="21"/>
                <w:szCs w:val="21"/>
                <w14:textFill>
                  <w14:solidFill>
                    <w14:schemeClr w14:val="tx1"/>
                  </w14:solidFill>
                </w14:textFill>
              </w:rPr>
              <w:t>基本同步</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社会</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事务局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城镇登记失业率（%）</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2.39</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≤3.5</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约束性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社会</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事务局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人均预期寿命（岁）</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79.6</w:t>
            </w:r>
          </w:p>
        </w:tc>
        <w:tc>
          <w:tcPr>
            <w:tcW w:w="947" w:type="dxa"/>
            <w:vAlign w:val="center"/>
          </w:tcPr>
          <w:p>
            <w:pPr>
              <w:pStyle w:val="37"/>
              <w:ind w:firstLine="0" w:firstLineChars="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81</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社会</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事务局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劳动年龄人口平均受教育年限（年）</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11</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12</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社会</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事务局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每千人执业（助理）医师数（人）</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2.4</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4.0</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预期性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社会</w:t>
            </w:r>
          </w:p>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事务局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548" w:hRule="atLeast"/>
          <w:jc w:val="center"/>
        </w:trPr>
        <w:tc>
          <w:tcPr>
            <w:tcW w:w="521" w:type="dxa"/>
            <w:vAlign w:val="center"/>
          </w:tcPr>
          <w:p>
            <w:pPr>
              <w:pStyle w:val="37"/>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w:t>
            </w:r>
          </w:p>
        </w:tc>
        <w:tc>
          <w:tcPr>
            <w:tcW w:w="501" w:type="dxa"/>
            <w:vMerge w:val="continue"/>
            <w:vAlign w:val="center"/>
          </w:tcPr>
          <w:p>
            <w:pPr>
              <w:pStyle w:val="37"/>
              <w:ind w:firstLine="0" w:firstLineChars="0"/>
              <w:rPr>
                <w:snapToGrid w:val="0"/>
                <w:color w:val="000000" w:themeColor="text1"/>
                <w:sz w:val="21"/>
                <w:szCs w:val="21"/>
                <w14:textFill>
                  <w14:solidFill>
                    <w14:schemeClr w14:val="tx1"/>
                  </w14:solidFill>
                </w14:textFill>
              </w:rPr>
            </w:pPr>
          </w:p>
        </w:tc>
        <w:tc>
          <w:tcPr>
            <w:tcW w:w="3378"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亿元工业增加值安全生产事故死亡率（%）</w:t>
            </w:r>
          </w:p>
        </w:tc>
        <w:tc>
          <w:tcPr>
            <w:tcW w:w="1017"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0.018</w:t>
            </w:r>
          </w:p>
        </w:tc>
        <w:tc>
          <w:tcPr>
            <w:tcW w:w="947" w:type="dxa"/>
            <w:vAlign w:val="center"/>
          </w:tcPr>
          <w:p>
            <w:pPr>
              <w:pStyle w:val="37"/>
              <w:ind w:firstLine="0" w:firstLineChars="0"/>
              <w:rPr>
                <w:snapToGrid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snapToGrid w:val="0"/>
                <w:color w:val="000000" w:themeColor="text1"/>
                <w:sz w:val="21"/>
                <w:szCs w:val="21"/>
                <w14:textFill>
                  <w14:solidFill>
                    <w14:schemeClr w14:val="tx1"/>
                  </w14:solidFill>
                </w14:textFill>
              </w:rPr>
              <w:t>0.1</w:t>
            </w:r>
          </w:p>
        </w:tc>
        <w:tc>
          <w:tcPr>
            <w:tcW w:w="1004"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约束性</w:t>
            </w:r>
          </w:p>
        </w:tc>
        <w:tc>
          <w:tcPr>
            <w:tcW w:w="852" w:type="dxa"/>
            <w:vAlign w:val="center"/>
          </w:tcPr>
          <w:p>
            <w:pPr>
              <w:pStyle w:val="37"/>
              <w:ind w:firstLine="0" w:firstLineChars="0"/>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城管局</w:t>
            </w:r>
          </w:p>
        </w:tc>
      </w:tr>
    </w:tbl>
    <w:p>
      <w:pPr>
        <w:spacing w:before="72" w:beforeLines="30"/>
        <w:ind w:firstLine="0" w:firstLineChars="0"/>
        <w:rPr>
          <w:rFonts w:eastAsia="楷体_GB2312"/>
          <w:snapToGrid w:val="0"/>
          <w:color w:val="000000" w:themeColor="text1"/>
          <w:sz w:val="24"/>
          <w14:textFill>
            <w14:solidFill>
              <w14:schemeClr w14:val="tx1"/>
            </w14:solidFill>
          </w14:textFill>
        </w:rPr>
      </w:pPr>
      <w:r>
        <w:rPr>
          <w:rFonts w:eastAsia="楷体_GB2312"/>
          <w:snapToGrid w:val="0"/>
          <w:color w:val="000000" w:themeColor="text1"/>
          <w:sz w:val="24"/>
          <w14:textFill>
            <w14:solidFill>
              <w14:schemeClr w14:val="tx1"/>
            </w14:solidFill>
          </w14:textFill>
        </w:rPr>
        <w:t>备注：</w:t>
      </w:r>
      <w:r>
        <w:rPr>
          <w:rFonts w:eastAsia="楷体_GB2312"/>
          <w:b/>
          <w:bCs/>
          <w:snapToGrid w:val="0"/>
          <w:color w:val="000000" w:themeColor="text1"/>
          <w:sz w:val="24"/>
          <w14:textFill>
            <w14:solidFill>
              <w14:schemeClr w14:val="tx1"/>
            </w14:solidFill>
          </w14:textFill>
        </w:rPr>
        <w:t>[]</w:t>
      </w:r>
      <w:r>
        <w:rPr>
          <w:rFonts w:eastAsia="楷体_GB2312"/>
          <w:snapToGrid w:val="0"/>
          <w:color w:val="000000" w:themeColor="text1"/>
          <w:sz w:val="24"/>
          <w14:textFill>
            <w14:solidFill>
              <w14:schemeClr w14:val="tx1"/>
            </w14:solidFill>
          </w14:textFill>
        </w:rPr>
        <w:t>中所列数据为五年累计数</w:t>
      </w:r>
    </w:p>
    <w:p>
      <w:pPr>
        <w:pStyle w:val="4"/>
        <w:rPr>
          <w:color w:val="000000" w:themeColor="text1"/>
          <w14:textFill>
            <w14:solidFill>
              <w14:schemeClr w14:val="tx1"/>
            </w14:solidFill>
          </w14:textFill>
        </w:rPr>
      </w:pPr>
      <w:bookmarkStart w:id="84" w:name="_Toc31190"/>
      <w:bookmarkStart w:id="85" w:name="_Toc20602"/>
      <w:bookmarkStart w:id="86" w:name="_Toc56452558"/>
      <w:bookmarkStart w:id="87" w:name="_Toc65069768"/>
      <w:bookmarkStart w:id="88" w:name="_Toc7561"/>
      <w:bookmarkStart w:id="89" w:name="_Toc1332"/>
      <w:r>
        <w:rPr>
          <w:color w:val="000000" w:themeColor="text1"/>
          <w14:textFill>
            <w14:solidFill>
              <w14:schemeClr w14:val="tx1"/>
            </w14:solidFill>
          </w14:textFill>
        </w:rPr>
        <w:t>第三节　空间</w:t>
      </w:r>
      <w:bookmarkEnd w:id="84"/>
      <w:bookmarkEnd w:id="85"/>
      <w:bookmarkEnd w:id="86"/>
      <w:bookmarkEnd w:id="87"/>
      <w:bookmarkEnd w:id="88"/>
      <w:bookmarkEnd w:id="89"/>
      <w:r>
        <w:rPr>
          <w:rFonts w:hint="eastAsia"/>
          <w:color w:val="000000" w:themeColor="text1"/>
          <w14:textFill>
            <w14:solidFill>
              <w14:schemeClr w14:val="tx1"/>
            </w14:solidFill>
          </w14:textFill>
        </w:rPr>
        <w:t>布局</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在统筹考虑地理条件、交通区位、生态环境、发展基础以及未来发展需求基础上，</w:t>
      </w:r>
      <w:r>
        <w:rPr>
          <w:rFonts w:hint="eastAsia"/>
          <w:color w:val="000000" w:themeColor="text1"/>
          <w:szCs w:val="32"/>
          <w14:textFill>
            <w14:solidFill>
              <w14:schemeClr w14:val="tx1"/>
            </w14:solidFill>
          </w14:textFill>
        </w:rPr>
        <w:t>按照中国（云南）自贸区昆明片区和经开区发展定位，明确分片区功能，</w:t>
      </w:r>
      <w:r>
        <w:rPr>
          <w:color w:val="000000" w:themeColor="text1"/>
          <w:szCs w:val="32"/>
          <w14:textFill>
            <w14:solidFill>
              <w14:schemeClr w14:val="tx1"/>
            </w14:solidFill>
          </w14:textFill>
        </w:rPr>
        <w:t>积极探索协作联动机制</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进一步</w:t>
      </w:r>
      <w:r>
        <w:rPr>
          <w:rFonts w:hint="eastAsia"/>
          <w:color w:val="000000" w:themeColor="text1"/>
          <w:szCs w:val="32"/>
          <w14:textFill>
            <w14:solidFill>
              <w14:schemeClr w14:val="tx1"/>
            </w14:solidFill>
          </w14:textFill>
        </w:rPr>
        <w:t>优化</w:t>
      </w:r>
      <w:r>
        <w:rPr>
          <w:color w:val="000000" w:themeColor="text1"/>
          <w:szCs w:val="32"/>
          <w14:textFill>
            <w14:solidFill>
              <w14:schemeClr w14:val="tx1"/>
            </w14:solidFill>
          </w14:textFill>
        </w:rPr>
        <w:t>空间布局。</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一</w:t>
      </w:r>
      <w:r>
        <w:rPr>
          <w:color w:val="000000" w:themeColor="text1"/>
          <w14:textFill>
            <w14:solidFill>
              <w14:schemeClr w14:val="tx1"/>
            </w14:solidFill>
          </w14:textFill>
        </w:rPr>
        <w:t>、构建“三区联动发展”格局</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聚焦中国（云南）自贸区建设的核心理念和重点任务，积极探索建立高效科学的重点产业协作联动机制、重要政策协调联动机制、重大项目协同联动机制，推动昆明经开区、官渡区、空港经济区统筹组团发展，构建形成“三区联动发展”格局，形成各具特色、分工明确、协同互补的生态圈。</w:t>
      </w:r>
    </w:p>
    <w:p>
      <w:pPr>
        <w:pStyle w:val="33"/>
        <w:spacing w:line="560" w:lineRule="atLeast"/>
        <w:ind w:firstLine="643"/>
        <w:rPr>
          <w:color w:val="000000" w:themeColor="text1"/>
          <w:kern w:val="0"/>
          <w:szCs w:val="32"/>
          <w14:textFill>
            <w14:solidFill>
              <w14:schemeClr w14:val="tx1"/>
            </w14:solidFill>
          </w14:textFill>
        </w:rPr>
      </w:pPr>
      <w:r>
        <w:rPr>
          <w:b/>
          <w:bCs/>
          <w:color w:val="000000" w:themeColor="text1"/>
          <w:kern w:val="0"/>
          <w:szCs w:val="32"/>
          <w14:textFill>
            <w14:solidFill>
              <w14:schemeClr w14:val="tx1"/>
            </w14:solidFill>
          </w14:textFill>
        </w:rPr>
        <w:t>昆明经开区</w:t>
      </w:r>
      <w:r>
        <w:rPr>
          <w:rFonts w:hint="eastAsia"/>
          <w:b/>
          <w:bCs/>
          <w:color w:val="000000" w:themeColor="text1"/>
          <w:kern w:val="0"/>
          <w:szCs w:val="32"/>
          <w14:textFill>
            <w14:solidFill>
              <w14:schemeClr w14:val="tx1"/>
            </w14:solidFill>
          </w14:textFill>
        </w:rPr>
        <w:t>：</w:t>
      </w:r>
      <w:r>
        <w:rPr>
          <w:color w:val="000000" w:themeColor="text1"/>
          <w:kern w:val="0"/>
          <w:szCs w:val="32"/>
          <w14:textFill>
            <w14:solidFill>
              <w14:schemeClr w14:val="tx1"/>
            </w14:solidFill>
          </w14:textFill>
        </w:rPr>
        <w:t>发挥战略性新兴产业基础优势，突出高端制造引领作用，积极复制推广自贸试验区开放政策及制度创新成果，重点发展装备制造、生物医药、特色新材料及电子信息等高端制造业，积极培育现代金融、现代物流等生产性服务业。推动</w:t>
      </w:r>
      <w:r>
        <w:rPr>
          <w:rFonts w:hint="eastAsia"/>
          <w:color w:val="000000" w:themeColor="text1"/>
          <w:kern w:val="0"/>
          <w:szCs w:val="32"/>
          <w14:textFill>
            <w14:solidFill>
              <w14:schemeClr w14:val="tx1"/>
            </w14:solidFill>
          </w14:textFill>
        </w:rPr>
        <w:t>中国（云南）自贸区昆明片区</w:t>
      </w:r>
      <w:r>
        <w:rPr>
          <w:color w:val="000000" w:themeColor="text1"/>
          <w:kern w:val="0"/>
          <w:szCs w:val="32"/>
          <w14:textFill>
            <w14:solidFill>
              <w14:schemeClr w14:val="tx1"/>
            </w14:solidFill>
          </w14:textFill>
        </w:rPr>
        <w:t>与昆明经开区产业深度融合发展，实现统一规划、统一招商、统一政策，统筹土地资源及基础设施布局，共同打造自贸区中部智能制造片。</w:t>
      </w:r>
    </w:p>
    <w:p>
      <w:pPr>
        <w:pStyle w:val="33"/>
        <w:spacing w:line="560" w:lineRule="atLeast"/>
        <w:ind w:firstLine="643"/>
        <w:rPr>
          <w:color w:val="000000" w:themeColor="text1"/>
          <w:kern w:val="0"/>
          <w:szCs w:val="32"/>
          <w14:textFill>
            <w14:solidFill>
              <w14:schemeClr w14:val="tx1"/>
            </w14:solidFill>
          </w14:textFill>
        </w:rPr>
      </w:pPr>
      <w:r>
        <w:rPr>
          <w:rFonts w:hint="eastAsia"/>
          <w:b/>
          <w:bCs/>
          <w:color w:val="000000" w:themeColor="text1"/>
          <w:kern w:val="0"/>
          <w:szCs w:val="32"/>
          <w14:textFill>
            <w14:solidFill>
              <w14:schemeClr w14:val="tx1"/>
            </w14:solidFill>
          </w14:textFill>
        </w:rPr>
        <w:t>官渡区：</w:t>
      </w:r>
      <w:r>
        <w:rPr>
          <w:rFonts w:hint="eastAsia" w:ascii="仿宋_GB2312" w:hAnsi="仿宋_GB2312" w:cs="仿宋_GB2312"/>
          <w:color w:val="000000" w:themeColor="text1"/>
          <w:szCs w:val="32"/>
          <w14:textFill>
            <w14:solidFill>
              <w14:schemeClr w14:val="tx1"/>
            </w14:solidFill>
          </w14:textFill>
        </w:rPr>
        <w:t>依托巫家坝总部基地、滇池国际会展中心等重大产业平台，利用省博物馆、大剧院、滇池等文化生态资源，大力发展总部经济、会展会议、文化创意、健康服务等现代服务业。促进中国（云南）自贸区昆明片区与官渡区产业协同互补发展，共同建设具有国际吸引力的宜居宜业宜游的现代都市核心区，打造自贸区南部现代服务片。</w:t>
      </w:r>
    </w:p>
    <w:p>
      <w:pPr>
        <w:pStyle w:val="33"/>
        <w:spacing w:line="560" w:lineRule="atLeast"/>
        <w:ind w:firstLine="643"/>
        <w:rPr>
          <w:rFonts w:ascii="仿宋_GB2312" w:hAnsi="仿宋_GB2312" w:cs="仿宋_GB2312"/>
          <w:bCs/>
          <w:color w:val="000000" w:themeColor="text1"/>
          <w:szCs w:val="28"/>
          <w14:textFill>
            <w14:solidFill>
              <w14:schemeClr w14:val="tx1"/>
            </w14:solidFill>
          </w14:textFill>
        </w:rPr>
      </w:pPr>
      <w:r>
        <w:rPr>
          <w:rFonts w:hint="eastAsia"/>
          <w:b/>
          <w:bCs/>
          <w:color w:val="000000" w:themeColor="text1"/>
          <w:kern w:val="0"/>
          <w:szCs w:val="32"/>
          <w14:textFill>
            <w14:solidFill>
              <w14:schemeClr w14:val="tx1"/>
            </w14:solidFill>
          </w14:textFill>
        </w:rPr>
        <w:t>空港经济区：</w:t>
      </w:r>
      <w:r>
        <w:rPr>
          <w:rFonts w:hint="eastAsia"/>
          <w:color w:val="000000" w:themeColor="text1"/>
          <w:kern w:val="0"/>
          <w:szCs w:val="32"/>
          <w14:textFill>
            <w14:solidFill>
              <w14:schemeClr w14:val="tx1"/>
            </w14:solidFill>
          </w14:textFill>
        </w:rPr>
        <w:t>作为中国（云南）自贸区昆明片区的联动区，</w:t>
      </w:r>
      <w:r>
        <w:rPr>
          <w:rFonts w:hint="eastAsia" w:ascii="仿宋_GB2312" w:hAnsi="仿宋_GB2312" w:cs="仿宋_GB2312"/>
          <w:color w:val="000000" w:themeColor="text1"/>
          <w:szCs w:val="32"/>
          <w14:textFill>
            <w14:solidFill>
              <w14:schemeClr w14:val="tx1"/>
            </w14:solidFill>
          </w14:textFill>
        </w:rPr>
        <w:t>依托国家门户枢纽机场，抢抓自贸试验区建设机遇期，积极争取扩大国际航权、创新航空业务，与中国（云南）自贸区昆明片区、昆明综保区协同发展航空物流、航空综合服务及综合保税产业，共同构建面向南亚东南亚航空物流集散中心，打造自贸区北部临空产业。在空港经济的基础上，加强与自贸片区的联动，</w:t>
      </w:r>
      <w:r>
        <w:rPr>
          <w:rFonts w:hint="eastAsia" w:ascii="仿宋_GB2312" w:hAnsi="仿宋_GB2312" w:cs="仿宋_GB2312"/>
          <w:bCs/>
          <w:color w:val="000000" w:themeColor="text1"/>
          <w:szCs w:val="32"/>
          <w14:textFill>
            <w14:solidFill>
              <w14:schemeClr w14:val="tx1"/>
            </w14:solidFill>
          </w14:textFill>
        </w:rPr>
        <w:t>发展</w:t>
      </w:r>
      <w:r>
        <w:rPr>
          <w:rFonts w:hint="eastAsia" w:ascii="仿宋_GB2312" w:hAnsi="仿宋_GB2312" w:cs="仿宋_GB2312"/>
          <w:bCs/>
          <w:color w:val="000000" w:themeColor="text1"/>
          <w:szCs w:val="28"/>
          <w14:textFill>
            <w14:solidFill>
              <w14:schemeClr w14:val="tx1"/>
            </w14:solidFill>
          </w14:textFill>
        </w:rPr>
        <w:t>总部经济、楼宇经济、商贸服务、商务会展、高新精轻制造、生物医药等产业，以组团化方式推进产城融合发展，打造科技研发、跨境电商、大数据应用等“互联网+”新经济为支撑的现代空港智慧新城。</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二</w:t>
      </w:r>
      <w:r>
        <w:rPr>
          <w:color w:val="000000" w:themeColor="text1"/>
          <w14:textFill>
            <w14:solidFill>
              <w14:schemeClr w14:val="tx1"/>
            </w14:solidFill>
          </w14:textFill>
        </w:rPr>
        <w:t>、构建“一轴两带双核五中心七片区”</w:t>
      </w:r>
      <w:r>
        <w:rPr>
          <w:rFonts w:hint="eastAsia"/>
          <w:color w:val="000000" w:themeColor="text1"/>
          <w14:textFill>
            <w14:solidFill>
              <w14:schemeClr w14:val="tx1"/>
            </w14:solidFill>
          </w14:textFill>
        </w:rPr>
        <w:t>总体</w:t>
      </w:r>
      <w:r>
        <w:rPr>
          <w:color w:val="000000" w:themeColor="text1"/>
          <w14:textFill>
            <w14:solidFill>
              <w14:schemeClr w14:val="tx1"/>
            </w14:solidFill>
          </w14:textFill>
        </w:rPr>
        <w:t>格局</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注重集聚联动，以“一轴两带双核五中心七片区”的空间结构，促进八大产业协同发展，形成全局统筹、多方联通、分工互补的区域布局。发挥区域特色和集聚效应，以现代服务、研发创新引领巫家坝新城市中心发展；以铁路物流枢纽为基础，推动先进制造，形成产业聚集，融合提升发展自贸片区高端制造功能。</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一轴：</w:t>
      </w:r>
      <w:r>
        <w:rPr>
          <w:rFonts w:hint="eastAsia"/>
          <w:color w:val="000000" w:themeColor="text1"/>
          <w:szCs w:val="32"/>
          <w14:textFill>
            <w14:solidFill>
              <w14:schemeClr w14:val="tx1"/>
            </w14:solidFill>
          </w14:textFill>
        </w:rPr>
        <w:t>即</w:t>
      </w:r>
      <w:r>
        <w:rPr>
          <w:color w:val="000000" w:themeColor="text1"/>
          <w:szCs w:val="32"/>
          <w14:textFill>
            <w14:solidFill>
              <w14:schemeClr w14:val="tx1"/>
            </w14:solidFill>
          </w14:textFill>
        </w:rPr>
        <w:t>创新经济发展轴。以区域性国际中心城市新中心为标准，以打造未来城市内核为目标，以高端载体建设和一流产业环境塑造为切入，营造生活、生产、生态“三生融合”的现代场景，聚集国际一流创新要素，形成促进总部经济、跨境金融、数字经济与会展经济、文化创意交相辉映的创新经济发展轴。</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两带：</w:t>
      </w:r>
      <w:r>
        <w:rPr>
          <w:rFonts w:hint="eastAsia"/>
          <w:b/>
          <w:bCs/>
          <w:color w:val="000000" w:themeColor="text1"/>
          <w:szCs w:val="32"/>
          <w14:textFill>
            <w14:solidFill>
              <w14:schemeClr w14:val="tx1"/>
            </w14:solidFill>
          </w14:textFill>
        </w:rPr>
        <w:t>构建</w:t>
      </w:r>
      <w:r>
        <w:rPr>
          <w:b/>
          <w:bCs/>
          <w:color w:val="000000" w:themeColor="text1"/>
          <w:szCs w:val="32"/>
          <w14:textFill>
            <w14:solidFill>
              <w14:schemeClr w14:val="tx1"/>
            </w14:solidFill>
          </w14:textFill>
        </w:rPr>
        <w:t>产城互动联络带</w:t>
      </w:r>
      <w:r>
        <w:rPr>
          <w:rFonts w:hint="eastAsia"/>
          <w:b/>
          <w:bCs/>
          <w:color w:val="000000" w:themeColor="text1"/>
          <w:szCs w:val="32"/>
          <w14:textFill>
            <w14:solidFill>
              <w14:schemeClr w14:val="tx1"/>
            </w14:solidFill>
          </w14:textFill>
        </w:rPr>
        <w:t>。</w:t>
      </w:r>
      <w:r>
        <w:rPr>
          <w:color w:val="000000" w:themeColor="text1"/>
          <w:szCs w:val="32"/>
          <w14:textFill>
            <w14:solidFill>
              <w14:schemeClr w14:val="tx1"/>
            </w14:solidFill>
          </w14:textFill>
        </w:rPr>
        <w:t>增强</w:t>
      </w:r>
      <w:r>
        <w:rPr>
          <w:rFonts w:hint="eastAsia" w:ascii="仿宋_GB2312" w:hAnsi="仿宋_GB2312" w:cs="仿宋_GB2312"/>
          <w:color w:val="000000" w:themeColor="text1"/>
          <w:szCs w:val="32"/>
          <w14:textFill>
            <w14:solidFill>
              <w14:schemeClr w14:val="tx1"/>
            </w14:solidFill>
          </w14:textFill>
        </w:rPr>
        <w:t>中国（云南）自贸区昆明片区</w:t>
      </w:r>
      <w:r>
        <w:rPr>
          <w:color w:val="000000" w:themeColor="text1"/>
          <w:szCs w:val="32"/>
          <w14:textFill>
            <w14:solidFill>
              <w14:schemeClr w14:val="tx1"/>
            </w14:solidFill>
          </w14:textFill>
        </w:rPr>
        <w:t>与东西两侧区域之间的联系，向西联系昆明主城区，向东南对接经开区</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呈贡</w:t>
      </w:r>
      <w:r>
        <w:rPr>
          <w:rFonts w:hint="eastAsia"/>
          <w:color w:val="000000" w:themeColor="text1"/>
          <w:szCs w:val="32"/>
          <w14:textFill>
            <w14:solidFill>
              <w14:schemeClr w14:val="tx1"/>
            </w14:solidFill>
          </w14:textFill>
        </w:rPr>
        <w:t>区</w:t>
      </w:r>
      <w:r>
        <w:rPr>
          <w:color w:val="000000" w:themeColor="text1"/>
          <w:szCs w:val="32"/>
          <w14:textFill>
            <w14:solidFill>
              <w14:schemeClr w14:val="tx1"/>
            </w14:solidFill>
          </w14:textFill>
        </w:rPr>
        <w:t>，串联新城、智能制造核两大发展核心以及综合服务、会展商贸、文创和科教四个中心。</w:t>
      </w:r>
      <w:r>
        <w:rPr>
          <w:rFonts w:hint="eastAsia"/>
          <w:b/>
          <w:bCs/>
          <w:color w:val="000000" w:themeColor="text1"/>
          <w:szCs w:val="32"/>
          <w14:textFill>
            <w14:solidFill>
              <w14:schemeClr w14:val="tx1"/>
            </w14:solidFill>
          </w14:textFill>
        </w:rPr>
        <w:t>打造</w:t>
      </w:r>
      <w:r>
        <w:rPr>
          <w:b/>
          <w:bCs/>
          <w:color w:val="000000" w:themeColor="text1"/>
          <w:szCs w:val="32"/>
          <w14:textFill>
            <w14:solidFill>
              <w14:schemeClr w14:val="tx1"/>
            </w14:solidFill>
          </w14:textFill>
        </w:rPr>
        <w:t>文教智创活力带</w:t>
      </w:r>
      <w:r>
        <w:rPr>
          <w:rFonts w:hint="eastAsia"/>
          <w:b/>
          <w:bCs/>
          <w:color w:val="000000" w:themeColor="text1"/>
          <w:szCs w:val="32"/>
          <w14:textFill>
            <w14:solidFill>
              <w14:schemeClr w14:val="tx1"/>
            </w14:solidFill>
          </w14:textFill>
        </w:rPr>
        <w:t>。</w:t>
      </w:r>
      <w:r>
        <w:rPr>
          <w:color w:val="000000" w:themeColor="text1"/>
          <w:szCs w:val="32"/>
          <w14:textFill>
            <w14:solidFill>
              <w14:schemeClr w14:val="tx1"/>
            </w14:solidFill>
          </w14:textFill>
        </w:rPr>
        <w:t>加强中国（云南）自贸区昆明片区与南北两侧区域之间联系，向北往昆明空港经济区方向延伸，向南对接官渡区与呈贡区，串联官渡古镇、云南省博物馆</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新亚洲体育城、巫家坝、螺蛳湾等多种文化元素，实现新兴产业与休闲文化融合发展，打造历史与现代交融、民族与国际互动、文化与艺术共生、创意与休闲融合的文教智创活力带。</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双核：构建昆明新城市中心</w:t>
      </w:r>
      <w:r>
        <w:rPr>
          <w:rFonts w:hint="eastAsia"/>
          <w:b/>
          <w:bCs/>
          <w:color w:val="000000" w:themeColor="text1"/>
          <w:szCs w:val="32"/>
          <w14:textFill>
            <w14:solidFill>
              <w14:schemeClr w14:val="tx1"/>
            </w14:solidFill>
          </w14:textFill>
        </w:rPr>
        <w:t>。</w:t>
      </w:r>
      <w:r>
        <w:rPr>
          <w:color w:val="000000" w:themeColor="text1"/>
          <w:szCs w:val="32"/>
          <w14:textFill>
            <w14:solidFill>
              <w14:schemeClr w14:val="tx1"/>
            </w14:solidFill>
          </w14:textFill>
        </w:rPr>
        <w:t>打造以总部经济、跨境金融、数字经济以及物流供应链管理为主导产业的中央商务区，推进创新与创业相结合，孵化与投资相结合，积极发展现代服务业，打造“世界级金融中心”，成为中国（云南）自贸区昆明片区面向南亚东南亚的窗口。</w:t>
      </w:r>
      <w:r>
        <w:rPr>
          <w:b/>
          <w:bCs/>
          <w:color w:val="000000" w:themeColor="text1"/>
          <w:szCs w:val="32"/>
          <w14:textFill>
            <w14:solidFill>
              <w14:schemeClr w14:val="tx1"/>
            </w14:solidFill>
          </w14:textFill>
        </w:rPr>
        <w:t>打造中国（云南）自贸区昆明片区智能制造核心</w:t>
      </w:r>
      <w:r>
        <w:rPr>
          <w:rFonts w:hint="eastAsia"/>
          <w:b/>
          <w:bCs/>
          <w:color w:val="000000" w:themeColor="text1"/>
          <w:szCs w:val="32"/>
          <w14:textFill>
            <w14:solidFill>
              <w14:schemeClr w14:val="tx1"/>
            </w14:solidFill>
          </w14:textFill>
        </w:rPr>
        <w:t>。</w:t>
      </w:r>
      <w:r>
        <w:rPr>
          <w:color w:val="000000" w:themeColor="text1"/>
          <w:szCs w:val="32"/>
          <w14:textFill>
            <w14:solidFill>
              <w14:schemeClr w14:val="tx1"/>
            </w14:solidFill>
          </w14:textFill>
        </w:rPr>
        <w:t>以高端装备、新一代信息技术、生命健康产业为发展重点，实现工业片区转型升级，加速先进制造业及相关配套产业的发展</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提升产业园区代际，建设一批集群式、专业化、配套完善的第三到四代新型园区。</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五中心：</w:t>
      </w:r>
      <w:r>
        <w:rPr>
          <w:color w:val="000000" w:themeColor="text1"/>
          <w:szCs w:val="32"/>
          <w14:textFill>
            <w14:solidFill>
              <w14:schemeClr w14:val="tx1"/>
            </w14:solidFill>
          </w14:textFill>
        </w:rPr>
        <w:t>设置综合服务中心</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为自贸片区提供医疗、教育、娱乐、居住等公共服务和生活服务配套。</w:t>
      </w:r>
      <w:r>
        <w:rPr>
          <w:rFonts w:hint="eastAsia"/>
          <w:color w:val="000000" w:themeColor="text1"/>
          <w:szCs w:val="32"/>
          <w14:textFill>
            <w14:solidFill>
              <w14:schemeClr w14:val="tx1"/>
            </w14:solidFill>
          </w14:textFill>
        </w:rPr>
        <w:t>设置</w:t>
      </w:r>
      <w:r>
        <w:rPr>
          <w:color w:val="000000" w:themeColor="text1"/>
          <w:szCs w:val="32"/>
          <w14:textFill>
            <w14:solidFill>
              <w14:schemeClr w14:val="tx1"/>
            </w14:solidFill>
          </w14:textFill>
        </w:rPr>
        <w:t>文旅中心、会展商贸中心、文创中心以及科教中心</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作为发展高端装备、新一代信息技术、生命健康、总部经济、航空物流、跨境金融、数字经济、文化创意等八大产业的核心节点。</w:t>
      </w:r>
    </w:p>
    <w:p>
      <w:pPr>
        <w:spacing w:line="560" w:lineRule="atLeast"/>
        <w:ind w:firstLine="643"/>
        <w:rPr>
          <w:color w:val="000000" w:themeColor="text1"/>
          <w:szCs w:val="32"/>
          <w14:textFill>
            <w14:solidFill>
              <w14:schemeClr w14:val="tx1"/>
            </w14:solidFill>
          </w14:textFill>
        </w:rPr>
      </w:pPr>
      <w:r>
        <w:rPr>
          <w:rFonts w:hint="eastAsia"/>
          <w:b/>
          <w:bCs/>
          <w:color w:val="000000" w:themeColor="text1"/>
          <w:szCs w:val="32"/>
          <w14:textFill>
            <w14:solidFill>
              <w14:schemeClr w14:val="tx1"/>
            </w14:solidFill>
          </w14:textFill>
        </w:rPr>
        <w:t>七片区：</w:t>
      </w:r>
      <w:r>
        <w:rPr>
          <w:color w:val="000000" w:themeColor="text1"/>
          <w:szCs w:val="32"/>
          <w14:textFill>
            <w14:solidFill>
              <w14:schemeClr w14:val="tx1"/>
            </w14:solidFill>
          </w14:textFill>
        </w:rPr>
        <w:t>将中国（云南）自贸区昆明片区八大重点产业融入先进制造区、中央商务区、会展及商贸服务区、科教创智区、文化休闲区、国际商贸区六大产业功能片区，规划一个综合服务区</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作为中国（云南）自贸区昆明片区的生活服务配套核心区。</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三</w:t>
      </w:r>
      <w:r>
        <w:rPr>
          <w:color w:val="000000" w:themeColor="text1"/>
          <w14:textFill>
            <w14:solidFill>
              <w14:schemeClr w14:val="tx1"/>
            </w14:solidFill>
          </w14:textFill>
        </w:rPr>
        <w:t>、构建“一区八片”的城市空间布局</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按照《昆明经济技术开发区分区（含官渡区阿拉街道、呈贡区洛羊街道）分区规划（2016-2030年）》，“十四五”时期，基于城市空间规划权限、发展现状以及已经确定的发展要素、区位特征、自然环境，推动中国（云南）自贸区昆明片区（昆明经开区）构建“一区八片”的城市空间结构。</w:t>
      </w:r>
    </w:p>
    <w:p>
      <w:pPr>
        <w:pStyle w:val="33"/>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“一区”</w:t>
      </w:r>
      <w:r>
        <w:rPr>
          <w:color w:val="000000" w:themeColor="text1"/>
          <w:szCs w:val="32"/>
          <w14:textFill>
            <w14:solidFill>
              <w14:schemeClr w14:val="tx1"/>
            </w14:solidFill>
          </w14:textFill>
        </w:rPr>
        <w:t>：即中国（云南）自贸区昆明片区（昆明经开区）；</w:t>
      </w:r>
    </w:p>
    <w:p>
      <w:pPr>
        <w:pStyle w:val="33"/>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“八片”</w:t>
      </w:r>
      <w:r>
        <w:rPr>
          <w:color w:val="000000" w:themeColor="text1"/>
          <w:szCs w:val="32"/>
          <w14:textFill>
            <w14:solidFill>
              <w14:schemeClr w14:val="tx1"/>
            </w14:solidFill>
          </w14:textFill>
        </w:rPr>
        <w:t>：《昆明经济技术开发区分区（含官渡区阿拉街道、呈贡区洛羊街道）分区规划（2016-2030年）》中明确的八个片区。</w:t>
      </w:r>
    </w:p>
    <w:p>
      <w:pPr>
        <w:spacing w:line="56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——牛街庄鸣泉片区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功能定位：打造以商住、商务、光电产业、生物制药、高等教育和生态景观等功能为主的绿色生态产业园区。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产业发展方向：高端商贸金融服务、文化创意产业。</w:t>
      </w:r>
    </w:p>
    <w:p>
      <w:pPr>
        <w:spacing w:line="56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——出口加工区（羊甫片区）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功能定位：以出口加工工业为核心产业。充分依托昆明学院等形成具备科研、行政办公、文化、体育、休闲娱乐等功能完善的服务支撑体系。通过出口加工区的建设推动周边村镇改造。</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产业发展方向：保税加工、保税物流产业、珠宝加工产业、汽配加工业、电子商务、金融类产业及总部经济产业。</w:t>
      </w:r>
    </w:p>
    <w:p>
      <w:pPr>
        <w:spacing w:line="56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——信息产业基地</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功能定位：以高科技信息制造业为主、有利于信息技术研究的高科技产业基地，具备科研、行政办公、文化、体育、休闲娱乐等功能，并适当配置以低污染、低消耗、高科技、高效益的信息产业为主的产业，成为生活、科研设施齐备、自然环境优美的新兴产业基地。</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产业发展方向：电子信息产业，金融、保险、证券、信托等商贸服务业，经开区行政中心。</w:t>
      </w:r>
    </w:p>
    <w:p>
      <w:pPr>
        <w:spacing w:line="56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——洛羊片区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功能定位：依托昆明王家营货运站大力发展铁路运输和仓储物流产业，形成依托经开区、服务全市、辐射国内及东南亚的集装箱中心站物流区。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产业发展方向：现代物流产业、商贸服务业。</w:t>
      </w:r>
    </w:p>
    <w:p>
      <w:pPr>
        <w:spacing w:line="56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——大冲片区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功能定位：按照“产业集群”的原则，采取“集中布局、分类布置”的方式，以提高工业现代化水平、环境质量和生活质量为目标，通过完善服务设施和基础设施等构建一个集商住综合区、新加坡工业园、螺蛳湾小商品加工区、交通市政区、生态景观区、高新产业区和居住小区为一体的现代产业标准园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产业发展方向：装备制造产业、商贸服务业。</w:t>
      </w:r>
    </w:p>
    <w:p>
      <w:pPr>
        <w:spacing w:line="56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——普照海子片区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功能定位：以发展高新技术、科技研发和商贸物流产业为主，商住综合、配套设施完善的昆明主城东部产业新区。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产业发展方向：创新科技研发、商贸物流产业。</w:t>
      </w:r>
    </w:p>
    <w:p>
      <w:pPr>
        <w:spacing w:line="56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——清水片区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功能定位：以发展新能源、新材料、现代生物医药等新兴产业、整车制造业和汽车零部件配套生产、现代物流等生产性服务业为重点的现代化产业片区，是园区“十四五”时期建设发展的重点地区。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产业发展方向：新能源、新材料、生物医药产业、制造业、现代物流业。</w:t>
      </w:r>
    </w:p>
    <w:p>
      <w:pPr>
        <w:spacing w:line="56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——黄土坡片区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功能定位：结合良好的用地条件和自然生态环境，集中布局居住及生活型服务设施用地，形成以发展居住、商业等生活性服务为主的高品质配套片区。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产业发展方向：综合性产业配套服务区、生态养生养老等大健康产业。</w:t>
      </w:r>
    </w:p>
    <w:p>
      <w:pPr>
        <w:spacing w:line="560" w:lineRule="atLeast"/>
        <w:ind w:firstLine="640"/>
        <w:rPr>
          <w:color w:val="000000" w:themeColor="text1"/>
          <w:szCs w:val="32"/>
          <w14:textFill>
            <w14:solidFill>
              <w14:schemeClr w14:val="tx1"/>
            </w14:solidFill>
          </w14:textFill>
        </w:rPr>
        <w:sectPr>
          <w:pgSz w:w="11906" w:h="16838"/>
          <w:pgMar w:top="2041" w:right="1418" w:bottom="1701" w:left="1418" w:header="851" w:footer="1361" w:gutter="0"/>
          <w:cols w:space="720" w:num="1"/>
          <w:docGrid w:linePitch="312" w:charSpace="0"/>
        </w:sectPr>
      </w:pPr>
    </w:p>
    <w:p>
      <w:pPr>
        <w:ind w:firstLine="640"/>
        <w:rPr>
          <w:color w:val="000000" w:themeColor="text1"/>
          <w14:textFill>
            <w14:solidFill>
              <w14:schemeClr w14:val="tx1"/>
            </w14:solidFill>
          </w14:textFill>
        </w:rPr>
      </w:pPr>
      <w:bookmarkStart w:id="90" w:name="_Toc65069769"/>
    </w:p>
    <w:p>
      <w:pPr>
        <w:spacing w:line="700" w:lineRule="atLeast"/>
        <w:ind w:firstLine="0" w:firstLineChars="0"/>
        <w:jc w:val="center"/>
        <w:outlineLvl w:val="0"/>
        <w:rPr>
          <w:rFonts w:eastAsia="方正小标宋_GBK"/>
          <w:bCs/>
          <w:color w:val="000000" w:themeColor="text1"/>
          <w:kern w:val="44"/>
          <w:sz w:val="44"/>
          <w:szCs w:val="32"/>
          <w14:textFill>
            <w14:solidFill>
              <w14:schemeClr w14:val="tx1"/>
            </w14:solidFill>
          </w14:textFill>
        </w:rPr>
      </w:pPr>
      <w:bookmarkStart w:id="91" w:name="_Toc27799"/>
      <w:r>
        <w:rPr>
          <w:rFonts w:eastAsia="方正小标宋_GBK"/>
          <w:bCs/>
          <w:color w:val="000000" w:themeColor="text1"/>
          <w:kern w:val="44"/>
          <w:sz w:val="44"/>
          <w:szCs w:val="32"/>
          <w14:textFill>
            <w14:solidFill>
              <w14:schemeClr w14:val="tx1"/>
            </w14:solidFill>
          </w14:textFill>
        </w:rPr>
        <w:t>第三章  扩大改革开放新优势</w:t>
      </w:r>
      <w:bookmarkEnd w:id="91"/>
    </w:p>
    <w:p>
      <w:pPr>
        <w:ind w:firstLine="640"/>
        <w:rPr>
          <w:color w:val="000000" w:themeColor="text1"/>
          <w14:textFill>
            <w14:solidFill>
              <w14:schemeClr w14:val="tx1"/>
            </w14:solidFill>
          </w14:textFill>
        </w:rPr>
      </w:pP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牢牢把握中国（云南）自贸区建设历史机遇，充分发挥先行先试制度优势，持之以恒推进各项改革任务，坚持实施更大范围、</w:t>
      </w:r>
      <w:r>
        <w:rPr>
          <w:rStyle w:val="56"/>
          <w:color w:val="000000" w:themeColor="text1"/>
          <w14:textFill>
            <w14:solidFill>
              <w14:schemeClr w14:val="tx1"/>
            </w14:solidFill>
          </w14:textFill>
        </w:rPr>
        <w:t>更宽领域、更深层次的对外开放，不断激发园区发展活力，打造改革开放的先行区和引领</w:t>
      </w:r>
      <w:r>
        <w:rPr>
          <w:color w:val="000000" w:themeColor="text1"/>
          <w:szCs w:val="32"/>
          <w14:textFill>
            <w14:solidFill>
              <w14:schemeClr w14:val="tx1"/>
            </w14:solidFill>
          </w14:textFill>
        </w:rPr>
        <w:t>区。</w:t>
      </w:r>
    </w:p>
    <w:p>
      <w:pPr>
        <w:spacing w:before="240" w:beforeLines="100" w:after="240" w:afterLines="100" w:line="560" w:lineRule="atLeast"/>
        <w:ind w:firstLine="0" w:firstLineChars="0"/>
        <w:jc w:val="center"/>
        <w:outlineLvl w:val="1"/>
        <w:rPr>
          <w:rFonts w:eastAsia="楷体_GB2312"/>
          <w:b/>
          <w:bCs/>
          <w:color w:val="000000" w:themeColor="text1"/>
          <w:kern w:val="0"/>
          <w:szCs w:val="32"/>
          <w14:textFill>
            <w14:solidFill>
              <w14:schemeClr w14:val="tx1"/>
            </w14:solidFill>
          </w14:textFill>
        </w:rPr>
      </w:pPr>
      <w:bookmarkStart w:id="92" w:name="_Toc14026"/>
      <w:r>
        <w:rPr>
          <w:rFonts w:eastAsia="楷体_GB2312"/>
          <w:b/>
          <w:bCs/>
          <w:color w:val="000000" w:themeColor="text1"/>
          <w:kern w:val="0"/>
          <w:szCs w:val="32"/>
          <w14:textFill>
            <w14:solidFill>
              <w14:schemeClr w14:val="tx1"/>
            </w14:solidFill>
          </w14:textFill>
        </w:rPr>
        <w:t>第一节　提升对外开放水平</w:t>
      </w:r>
      <w:bookmarkEnd w:id="92"/>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一、推进贸易便利化</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优化贸易流程。</w:t>
      </w:r>
      <w:r>
        <w:rPr>
          <w:color w:val="000000" w:themeColor="text1"/>
          <w:szCs w:val="32"/>
          <w14:textFill>
            <w14:solidFill>
              <w14:schemeClr w14:val="tx1"/>
            </w14:solidFill>
          </w14:textFill>
        </w:rPr>
        <w:t>建设具有国际先进水平的国际贸易“单一窗口”，探索将国际贸易“单一窗口”拓展至技术贸易、服务外包、维修服务等服务贸易领域，待条件成熟后，将服务出口退（免）税申报纳入“单一窗口”管理。主动优化进口流程，实现业务办理全程信息化、货物管理电子化、通关申报无纸化、物流状态可视化。创新监管模式，对进境货物实行“两段准入”监管模式，推进“两步申报”“两类通关”“两区优化”等通关监管改革，提高提前申报比例，打造贸易便利化示范区。大力发展面向设计开发、生产制造、售后服务全过程的检验检测、标准、认证等第三方服务，扩大第三方检验结果采信商品和机构范围。创新出口货物专利纠纷担保放行方式，支持第三方机构为企业提供支持。鼓励建设出口产品公共“海外仓”和海外运营中心。</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加强贸易监管。</w:t>
      </w:r>
      <w:r>
        <w:rPr>
          <w:color w:val="000000" w:themeColor="text1"/>
          <w:szCs w:val="32"/>
          <w14:textFill>
            <w14:solidFill>
              <w14:schemeClr w14:val="tx1"/>
            </w14:solidFill>
          </w14:textFill>
        </w:rPr>
        <w:t>对海关特殊监管区域外符合条件企业开展高附加值、高技术含量、符合环保要求的“两头在外”检测、维修业态实行保税监管。探索建立适应跨境电商贸易特点的检验检疫监管机制。试行动植物及其产品检疫审批负面清单制度。优化生物医药全球协同研发的试验用特殊物品的检疫查验流程。建立健全进口商品质量安全风险预警与快速反应监管体系。探索进口研发样品、设备等进出海关特殊监管区域的便利监管措施。依托昆明现有口岸和海关特殊监管区域，积极申报进口肉类、冰鲜、药品、汽车等指定查验场地。推进与周边国家农业政策对接和标准互认，加强农产品质量安全检测中心和重要产品追溯体系建设，积极完善进口商品风险预警快速反应机制和追溯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打通开放通道。</w:t>
      </w:r>
      <w:r>
        <w:rPr>
          <w:color w:val="000000" w:themeColor="text1"/>
          <w:szCs w:val="32"/>
          <w14:textFill>
            <w14:solidFill>
              <w14:schemeClr w14:val="tx1"/>
            </w14:solidFill>
          </w14:textFill>
        </w:rPr>
        <w:t>以建设面向南亚东南亚的互联互通枢纽和信息物流中心为目标，争取王家营片区铁路枢纽申报成为国家级口岸。推进“互联网+物流”融合发展，鼓励建设跨境物流公共信息平台。鼓励冷链仓库等基础设施建设，打造通往南亚东南亚快速冷链通道。与红河片区、德宏片区、磨憨-磨丁口岸及空港经济区强化联动，打造港口、综保区、口岸“三位一体”的对外开放新平台，加快拓展昆明长水国际机场“空空+空地”货物集疏模式，鼓励发展全货机航班、腹舱货运。依托泛亚铁路等项目和国际陆路通道，构建面向南亚东南亚的海陆空物流轮转集散中心，形成海陆空“立体式”物流服务格局。推进面向南亚东南亚国家的国际多式联运试点建设，推进国际道路运输便利化进程。加强与中越（河口出境）、中老泰（磨憨出境）、中缅（瑞丽、清水河出境）、中缅印（腾冲猴桥出境）等“五出境”铁路通道的联系互动。</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二、大力吸引外商投资</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全面落实外商投资准入前国民待遇加负面清单管理制度，负面清单之外的外商投资项目核准备案按内外资一致原则办理。探索建立外商投资信息报告制度及多报合一年报制度。推动准入前和准入后管理措施的有效衔接。优化、整合外国投资者申请许可办理流程，通过统一受理、联合办理、信息共享等方式为投资者申请许可提供便利。鼓励外资参与国有企业混合所有制改革。建立健全投资促进工作机制，在法定权限内制定外商投资促进政策。建立健全外商投资项目跟踪服务机制，提升项目跟踪服务水平。鼓励外资企业以增资扩股和利润再投资等形式加大投资力度。建立健全外商投资服务体系，完善外商投资促进、保护功能、项目跟踪服务和投诉工作机制，按照便利、高效、透明的原则，为外商投资提供全生命周期服务。实施公平竞争审查制度，实现各类市场主体依法平等准入相关行业、领域和业务。</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三、促进企业境外投资</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创新境外投资管理制度，推进境外投资备案便利化。支持企业创新境外投资方式，提高境外投资效益。推出“企业走出去”线上综合服务平台及系列“国别日”活动，为企业提供商机发现、项目撮合、财税咨询、安全预警等综合服务。构建对外投资合作服务平台，鼓励建设云南省外经贸投资服务中心等第三方服务机构，打造境外投资全流程服务体系，为企业提供境外投资专业咨询服务。支持企业创新境外投资方式，提高境外投资效益。围绕高端制造、数字经济、生命健康等重点领域，实施一批重点产能合作项目，扶持云南建投等一批具有国际竞争力和市场开拓能力的骨干企业，在南亚、东南亚国家因地制宜建设国际产能合作示范园区，积极探索在南亚东南亚国家共建产业和科创服务平台。鼓励区内企业“走出去”，充分利用周边国家资源优势和原产地政策，与周边国家开展国际产能合作、农业合作、文化旅游合作和互联互通建设。支持“走出去”企业以境外资产和股权、林权、采矿权等权益为抵押获得贷款，提高企业融资能力。</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四、推动金融开放创新</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推进跨境人民币业务创新发展。</w:t>
      </w:r>
      <w:r>
        <w:rPr>
          <w:color w:val="000000" w:themeColor="text1"/>
          <w:szCs w:val="32"/>
          <w14:textFill>
            <w14:solidFill>
              <w14:schemeClr w14:val="tx1"/>
            </w14:solidFill>
          </w14:textFill>
        </w:rPr>
        <w:t>推动人民币作为跨境贸易和投资计价、结算货币。拓展跨境电商金融服务，依法依规开展跨境电商人民币结算。研究推动金融机构参与人民币与周边国家非主要国际储备货币银行间市场区域交易。支持金融机构和企业从境外融入人民币资金。支持依法依规开展人民币海外基金业务。支持设立货币兑换、征信等专业化机构。支持区内银行金融机构开展人民币对老挝基普、越南盾、</w:t>
      </w:r>
      <w:r>
        <w:rPr>
          <w:rFonts w:hint="eastAsia"/>
          <w:color w:val="000000" w:themeColor="text1"/>
          <w:szCs w:val="32"/>
          <w14:textFill>
            <w14:solidFill>
              <w14:schemeClr w14:val="tx1"/>
            </w14:solidFill>
          </w14:textFill>
        </w:rPr>
        <w:t>缅甸元</w:t>
      </w:r>
      <w:r>
        <w:rPr>
          <w:color w:val="000000" w:themeColor="text1"/>
          <w:szCs w:val="32"/>
          <w14:textFill>
            <w14:solidFill>
              <w14:schemeClr w14:val="tx1"/>
            </w14:solidFill>
          </w14:textFill>
        </w:rPr>
        <w:t>等周边国家货币直接挂牌。支持符合条件的总部企业集团设立跨境人民币资金池，集中管理集团内人民币资金。推动跨境电商线上融资及担保方式创新，拓展跨境电商金融服务。支持探索建立人民币对周边国家货币直接挂牌交易市场。</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促进跨境投融资便利化。</w:t>
      </w:r>
      <w:r>
        <w:rPr>
          <w:color w:val="000000" w:themeColor="text1"/>
          <w:szCs w:val="32"/>
          <w14:textFill>
            <w14:solidFill>
              <w14:schemeClr w14:val="tx1"/>
            </w14:solidFill>
          </w14:textFill>
        </w:rPr>
        <w:t>允许银行和已获相应业务许可的非银行支付机构通过具备合法资质的清算机构与境外银行和支付机构开展跨境支付合作。放宽跨国公司外汇资金集中运营管理准入条件。支持区内保险法人机构依法依规开展境外投资等。支持企业境外母公司按照有关规定在境内发行人民币债券。支持区内金融机构和企业在境外发行人民币债券。积极探索大宗商品贸易与交易以人民币计价结算。鼓励区内银行业金融机构基于真实需求和审慎原则向境外机构或境外项目发放人民币贷款，满足“走出去”企业海外投资、项目建设、工程承包、大型设备出口等融资需求。</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大力培育跨境金融新业态。</w:t>
      </w:r>
      <w:r>
        <w:rPr>
          <w:color w:val="000000" w:themeColor="text1"/>
          <w:szCs w:val="32"/>
          <w14:textFill>
            <w14:solidFill>
              <w14:schemeClr w14:val="tx1"/>
            </w14:solidFill>
          </w14:textFill>
        </w:rPr>
        <w:t>支持金融租赁、融资租赁公司在符合相关规定前提下，设立项目公司经营大型设备、成套设备等融资租赁业务，并开展境内外租赁业务。支持区内符合条件的保理企业开展跨地区保理业务。支持银行业金融机构按规定发展大宗商品贸易融资、全供应链贸易融资、现代服务业金融支持、外保内贷、商业票据等跨境融资业务。支持发展货币兑换、跨境征信服务、信用评级、资产评估、投融资咨询、法律咨询、会计审计、信息统计等与涉外金融核心业务密切相关的中介服务机构，支持相关机构服务跨境金融业务。</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五、提升对外贸易水平</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创新贸易方式。</w:t>
      </w:r>
      <w:r>
        <w:rPr>
          <w:color w:val="000000" w:themeColor="text1"/>
          <w:szCs w:val="32"/>
          <w14:textFill>
            <w14:solidFill>
              <w14:schemeClr w14:val="tx1"/>
            </w14:solidFill>
          </w14:textFill>
        </w:rPr>
        <w:t>发挥昆明综合保税区政策功能优势，依托功能型总部推动形成全球订单采购分拨配送、资金结算和供应链管理中心。积极创新保税加工贸易发展模式，引导加工贸易逐步向海关特殊监管区域集中。鼓励本土加工贸易企业延伸产业链、增值链，推进加工贸易体系向本地增值、本地配套、本地企业为主体的方向转变。鼓励企业依托重点边境口岸探索境外加工贸易体系建设。大力发展中医药服务贸易，推动中医药海外创新发展。促进文物及文化艺术品在自贸试验区内的综合保税区存储、展示等。推进企业开展面向南亚东南亚的离岸呼叫中心业务。探索先进技术装备、关键零部件及其他机电产品（医疗器械等高风险产品除外）等平行进口。依托现有交易场所，依法依规开展有色金属、咖啡、橡胶、畜产品等优势产品交易，设立农产品、有色金属拍卖中心。“十四五”期间，新增</w:t>
      </w:r>
      <w:r>
        <w:rPr>
          <w:rFonts w:hint="eastAsia"/>
          <w:color w:val="000000" w:themeColor="text1"/>
          <w:szCs w:val="32"/>
          <w14:textFill>
            <w14:solidFill>
              <w14:schemeClr w14:val="tx1"/>
            </w14:solidFill>
          </w14:textFill>
        </w:rPr>
        <w:t>年外贸</w:t>
      </w:r>
      <w:r>
        <w:rPr>
          <w:color w:val="000000" w:themeColor="text1"/>
          <w:szCs w:val="32"/>
          <w14:textFill>
            <w14:solidFill>
              <w14:schemeClr w14:val="tx1"/>
            </w14:solidFill>
          </w14:textFill>
        </w:rPr>
        <w:t>进出口超亿元企业20家以上。</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发展数字贸易。</w:t>
      </w:r>
      <w:r>
        <w:rPr>
          <w:color w:val="000000" w:themeColor="text1"/>
          <w:szCs w:val="32"/>
          <w14:textFill>
            <w14:solidFill>
              <w14:schemeClr w14:val="tx1"/>
            </w14:solidFill>
          </w14:textFill>
        </w:rPr>
        <w:t>推动建立数据市场准入、数据管理、数据使用、数据监管等机制。加快推进公共数据开放，制定公共数据管理制度。高质量建设云南数字贸易示范区。推动区块链等数字技术赋能生产及交易各环节，加快培育发展服务型制造新业态新模式。培育一批具有市场引领性的数字经济龙头企业。在确保国家数据安全前提下，放宽数据本地化要求，建设国际离岸数据中心。</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加快文旅开放。</w:t>
      </w:r>
      <w:r>
        <w:rPr>
          <w:color w:val="000000" w:themeColor="text1"/>
          <w:szCs w:val="32"/>
          <w14:textFill>
            <w14:solidFill>
              <w14:schemeClr w14:val="tx1"/>
            </w14:solidFill>
          </w14:textFill>
        </w:rPr>
        <w:t>以建设面向南亚东南亚的文化教育中心为目标，围绕新一代信息技术领域，结合云游戏、数字音乐、数字阅读等场景需求，搭建国际化协同创新平台。着力加强文化创意内容产品在南亚东南亚地区的推广，大力推动发展影视剧编译再出口，加强优质影视、动漫、游戏、出版物等的面向南亚东南亚国家的翻译、发行，鼓励精品演艺节目“走出去”，建设辐射南亚东南亚的文化中心。促进文物及文化艺术品在自贸试验区内的综合保税区存储、展示等。建立孟中印缅经济走廊旅游合作机制，支持打通连接多国的边境旅游环线，推出自驾游等跨境旅游产品，鼓励设立边境旅游试验区和跨境旅游合作区。</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推进专业服务开放。</w:t>
      </w:r>
      <w:r>
        <w:rPr>
          <w:color w:val="000000" w:themeColor="text1"/>
          <w:szCs w:val="32"/>
          <w14:textFill>
            <w14:solidFill>
              <w14:schemeClr w14:val="tx1"/>
            </w14:solidFill>
          </w14:textFill>
        </w:rPr>
        <w:t>聚焦会计、咨询、法律、规划、设计等领域，加速专业服务资源要素统一开放和自主流动，增强专业服务机构国际合作能力，建立跨领域全链条融合渗透的综合性专业服务机制，落地一批示范性的品牌企业，引入一批国际化专业服务要素，形成一批具有国际影响力的品牌区域和平台项目，打造全流程专业服务生态链。布局融资租赁、保税物流及跨境金融等现代服务业。</w:t>
      </w:r>
    </w:p>
    <w:p>
      <w:pPr>
        <w:spacing w:before="240" w:beforeLines="100" w:after="120" w:afterLines="50"/>
        <w:ind w:firstLine="0" w:firstLineChars="0"/>
        <w:jc w:val="center"/>
        <w:rPr>
          <w:rFonts w:eastAsia="黑体"/>
          <w:bCs/>
          <w:color w:val="000000" w:themeColor="text1"/>
          <w:kern w:val="0"/>
          <w:szCs w:val="32"/>
          <w:lang w:val="zh-CN"/>
          <w14:textFill>
            <w14:solidFill>
              <w14:schemeClr w14:val="tx1"/>
            </w14:solidFill>
          </w14:textFill>
        </w:rPr>
      </w:pPr>
      <w:r>
        <w:rPr>
          <w:rFonts w:eastAsia="黑体"/>
          <w:bCs/>
          <w:color w:val="000000" w:themeColor="text1"/>
          <w:kern w:val="0"/>
          <w:szCs w:val="32"/>
          <w:lang w:val="zh-CN"/>
          <w14:textFill>
            <w14:solidFill>
              <w14:schemeClr w14:val="tx1"/>
            </w14:solidFill>
          </w14:textFill>
        </w:rPr>
        <w:t>专栏</w:t>
      </w:r>
      <w:r>
        <w:rPr>
          <w:rFonts w:eastAsia="黑体"/>
          <w:bCs/>
          <w:color w:val="000000" w:themeColor="text1"/>
          <w:kern w:val="0"/>
          <w:szCs w:val="32"/>
          <w14:textFill>
            <w14:solidFill>
              <w14:schemeClr w14:val="tx1"/>
            </w14:solidFill>
          </w14:textFill>
        </w:rPr>
        <w:t xml:space="preserve">1 </w:t>
      </w:r>
      <w:r>
        <w:rPr>
          <w:rFonts w:eastAsia="黑体"/>
          <w:bCs/>
          <w:color w:val="000000" w:themeColor="text1"/>
          <w:kern w:val="0"/>
          <w:szCs w:val="32"/>
          <w:lang w:val="zh-CN"/>
          <w14:textFill>
            <w14:solidFill>
              <w14:schemeClr w14:val="tx1"/>
            </w14:solidFill>
          </w14:textFill>
        </w:rPr>
        <w:t xml:space="preserve"> 推动与</w:t>
      </w:r>
      <w:r>
        <w:rPr>
          <w:rFonts w:eastAsia="黑体"/>
          <w:bCs/>
          <w:color w:val="000000" w:themeColor="text1"/>
          <w:kern w:val="0"/>
          <w:szCs w:val="32"/>
          <w14:textFill>
            <w14:solidFill>
              <w14:schemeClr w14:val="tx1"/>
            </w14:solidFill>
          </w14:textFill>
        </w:rPr>
        <w:t>RCEP</w:t>
      </w:r>
      <w:r>
        <w:rPr>
          <w:rFonts w:eastAsia="黑体"/>
          <w:bCs/>
          <w:color w:val="000000" w:themeColor="text1"/>
          <w:kern w:val="0"/>
          <w:szCs w:val="32"/>
          <w:lang w:val="zh-CN"/>
          <w14:textFill>
            <w14:solidFill>
              <w14:schemeClr w14:val="tx1"/>
            </w14:solidFill>
          </w14:textFill>
        </w:rPr>
        <w:t>“双自联动”</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298" w:type="dxa"/>
            <w:vAlign w:val="center"/>
          </w:tcPr>
          <w:p>
            <w:pPr>
              <w:spacing w:line="440" w:lineRule="atLeast"/>
              <w:ind w:firstLine="560"/>
              <w:rPr>
                <w:caps/>
                <w:color w:val="000000" w:themeColor="text1"/>
                <w:kern w:val="0"/>
                <w:sz w:val="28"/>
                <w:szCs w:val="28"/>
                <w:lang w:val="zh-CN"/>
                <w14:textFill>
                  <w14:solidFill>
                    <w14:schemeClr w14:val="tx1"/>
                  </w14:solidFill>
                </w14:textFill>
              </w:rPr>
            </w:pPr>
            <w:r>
              <w:rPr>
                <w:caps/>
                <w:color w:val="000000" w:themeColor="text1"/>
                <w:kern w:val="0"/>
                <w:sz w:val="28"/>
                <w:szCs w:val="28"/>
                <w:lang w:val="zh-CN"/>
                <w14:textFill>
                  <w14:solidFill>
                    <w14:schemeClr w14:val="tx1"/>
                  </w14:solidFill>
                </w14:textFill>
              </w:rPr>
              <w:t>构建全方位对外开放新格局，要</w:t>
            </w:r>
            <w:r>
              <w:rPr>
                <w:caps/>
                <w:color w:val="000000" w:themeColor="text1"/>
                <w:kern w:val="0"/>
                <w:sz w:val="28"/>
                <w:szCs w:val="28"/>
                <w14:textFill>
                  <w14:solidFill>
                    <w14:schemeClr w14:val="tx1"/>
                  </w14:solidFill>
                </w14:textFill>
              </w:rPr>
              <w:t>充分</w:t>
            </w:r>
            <w:r>
              <w:rPr>
                <w:caps/>
                <w:color w:val="000000" w:themeColor="text1"/>
                <w:kern w:val="0"/>
                <w:sz w:val="28"/>
                <w:szCs w:val="28"/>
                <w:lang w:val="zh-CN"/>
                <w14:textFill>
                  <w14:solidFill>
                    <w14:schemeClr w14:val="tx1"/>
                  </w14:solidFill>
                </w14:textFill>
              </w:rPr>
              <w:t>利用中国（云南）自贸区昆明片区建设</w:t>
            </w:r>
            <w:r>
              <w:rPr>
                <w:caps/>
                <w:color w:val="000000" w:themeColor="text1"/>
                <w:kern w:val="0"/>
                <w:sz w:val="28"/>
                <w:szCs w:val="28"/>
                <w14:textFill>
                  <w14:solidFill>
                    <w14:schemeClr w14:val="tx1"/>
                  </w14:solidFill>
                </w14:textFill>
              </w:rPr>
              <w:t>和RCEP签署的双重</w:t>
            </w:r>
            <w:r>
              <w:rPr>
                <w:caps/>
                <w:color w:val="000000" w:themeColor="text1"/>
                <w:kern w:val="0"/>
                <w:sz w:val="28"/>
                <w:szCs w:val="28"/>
                <w:lang w:val="zh-CN"/>
                <w14:textFill>
                  <w14:solidFill>
                    <w14:schemeClr w14:val="tx1"/>
                  </w14:solidFill>
                </w14:textFill>
              </w:rPr>
              <w:t>机遇，</w:t>
            </w:r>
            <w:r>
              <w:rPr>
                <w:caps/>
                <w:color w:val="000000" w:themeColor="text1"/>
                <w:kern w:val="0"/>
                <w:sz w:val="28"/>
                <w:szCs w:val="28"/>
                <w14:textFill>
                  <w14:solidFill>
                    <w14:schemeClr w14:val="tx1"/>
                  </w14:solidFill>
                </w14:textFill>
              </w:rPr>
              <w:t>建立</w:t>
            </w:r>
            <w:r>
              <w:rPr>
                <w:caps/>
                <w:color w:val="000000" w:themeColor="text1"/>
                <w:kern w:val="0"/>
                <w:sz w:val="28"/>
                <w:szCs w:val="28"/>
                <w:lang w:val="zh-CN"/>
                <w14:textFill>
                  <w14:solidFill>
                    <w14:schemeClr w14:val="tx1"/>
                  </w14:solidFill>
                </w14:textFill>
              </w:rPr>
              <w:t>自主式开放与协定式开放的相互促进机制，</w:t>
            </w:r>
            <w:r>
              <w:rPr>
                <w:caps/>
                <w:color w:val="000000" w:themeColor="text1"/>
                <w:kern w:val="0"/>
                <w:sz w:val="28"/>
                <w:szCs w:val="28"/>
                <w14:textFill>
                  <w14:solidFill>
                    <w14:schemeClr w14:val="tx1"/>
                  </w14:solidFill>
                </w14:textFill>
              </w:rPr>
              <w:t>大力推动“双自联动”</w:t>
            </w:r>
            <w:r>
              <w:rPr>
                <w:caps/>
                <w:color w:val="000000" w:themeColor="text1"/>
                <w:kern w:val="0"/>
                <w:sz w:val="28"/>
                <w:szCs w:val="28"/>
                <w:lang w:val="zh-CN"/>
                <w14:textFill>
                  <w14:solidFill>
                    <w14:schemeClr w14:val="tx1"/>
                  </w14:solidFill>
                </w14:textFill>
              </w:rPr>
              <w:t>：</w:t>
            </w:r>
          </w:p>
          <w:p>
            <w:pPr>
              <w:spacing w:line="440" w:lineRule="atLeast"/>
              <w:ind w:firstLine="562"/>
              <w:rPr>
                <w:b/>
                <w:bCs/>
                <w:caps/>
                <w:color w:val="000000" w:themeColor="text1"/>
                <w:kern w:val="0"/>
                <w:sz w:val="28"/>
                <w:szCs w:val="28"/>
                <w:lang w:val="zh-CN"/>
                <w14:textFill>
                  <w14:solidFill>
                    <w14:schemeClr w14:val="tx1"/>
                  </w14:solidFill>
                </w14:textFill>
              </w:rPr>
            </w:pPr>
            <w:r>
              <w:rPr>
                <w:b/>
                <w:bCs/>
                <w:caps/>
                <w:color w:val="000000" w:themeColor="text1"/>
                <w:kern w:val="0"/>
                <w:sz w:val="28"/>
                <w:szCs w:val="28"/>
                <w:lang w:val="zh-CN"/>
                <w14:textFill>
                  <w14:solidFill>
                    <w14:schemeClr w14:val="tx1"/>
                  </w14:solidFill>
                </w14:textFill>
              </w:rPr>
              <w:t>一、重视战略协同的顶层设计</w:t>
            </w:r>
          </w:p>
          <w:p>
            <w:pPr>
              <w:spacing w:line="440" w:lineRule="atLeast"/>
              <w:ind w:firstLine="562"/>
              <w:rPr>
                <w:caps/>
                <w:color w:val="000000" w:themeColor="text1"/>
                <w:kern w:val="0"/>
                <w:sz w:val="28"/>
                <w:szCs w:val="28"/>
                <w:lang w:val="zh-CN"/>
                <w14:textFill>
                  <w14:solidFill>
                    <w14:schemeClr w14:val="tx1"/>
                  </w14:solidFill>
                </w14:textFill>
              </w:rPr>
            </w:pPr>
            <w:r>
              <w:rPr>
                <w:b/>
                <w:bCs/>
                <w:caps/>
                <w:color w:val="000000" w:themeColor="text1"/>
                <w:kern w:val="0"/>
                <w:sz w:val="28"/>
                <w:szCs w:val="28"/>
                <w:lang w:val="zh-CN"/>
                <w14:textFill>
                  <w14:solidFill>
                    <w14:schemeClr w14:val="tx1"/>
                  </w14:solidFill>
                </w14:textFill>
              </w:rPr>
              <w:t>加快实现“双自联动”下战略设计的对接。</w:t>
            </w:r>
            <w:r>
              <w:rPr>
                <w:caps/>
                <w:color w:val="000000" w:themeColor="text1"/>
                <w:kern w:val="0"/>
                <w:sz w:val="28"/>
                <w:szCs w:val="28"/>
                <w:lang w:val="zh-CN"/>
                <w14:textFill>
                  <w14:solidFill>
                    <w14:schemeClr w14:val="tx1"/>
                  </w14:solidFill>
                </w14:textFill>
              </w:rPr>
              <w:t>提高中国（云南）自贸区昆明片区制度试验与RCEP一体化的程度，加快推出与RCEP战略相配合方案升级版。</w:t>
            </w:r>
            <w:r>
              <w:rPr>
                <w:b/>
                <w:bCs/>
                <w:caps/>
                <w:color w:val="000000" w:themeColor="text1"/>
                <w:kern w:val="0"/>
                <w:sz w:val="28"/>
                <w:szCs w:val="28"/>
                <w:lang w:val="zh-CN"/>
                <w14:textFill>
                  <w14:solidFill>
                    <w14:schemeClr w14:val="tx1"/>
                  </w14:solidFill>
                </w14:textFill>
              </w:rPr>
              <w:t>建立“双自联动”的组织与推动机制。</w:t>
            </w:r>
            <w:r>
              <w:rPr>
                <w:caps/>
                <w:color w:val="000000" w:themeColor="text1"/>
                <w:kern w:val="0"/>
                <w:sz w:val="28"/>
                <w:szCs w:val="28"/>
                <w:lang w:val="zh-CN"/>
                <w14:textFill>
                  <w14:solidFill>
                    <w14:schemeClr w14:val="tx1"/>
                  </w14:solidFill>
                </w14:textFill>
              </w:rPr>
              <w:t>建议昆明</w:t>
            </w:r>
            <w:r>
              <w:rPr>
                <w:rFonts w:hint="eastAsia"/>
                <w:caps/>
                <w:color w:val="000000" w:themeColor="text1"/>
                <w:kern w:val="0"/>
                <w:sz w:val="28"/>
                <w:szCs w:val="28"/>
                <w14:textFill>
                  <w14:solidFill>
                    <w14:schemeClr w14:val="tx1"/>
                  </w14:solidFill>
                </w14:textFill>
              </w:rPr>
              <w:t>市</w:t>
            </w:r>
            <w:r>
              <w:rPr>
                <w:caps/>
                <w:color w:val="000000" w:themeColor="text1"/>
                <w:kern w:val="0"/>
                <w:sz w:val="28"/>
                <w:szCs w:val="28"/>
                <w:lang w:val="zh-CN"/>
                <w14:textFill>
                  <w14:solidFill>
                    <w14:schemeClr w14:val="tx1"/>
                  </w14:solidFill>
                </w14:textFill>
              </w:rPr>
              <w:t>商务局和昆明片区建立“自贸区政策沟通机制”，实现开放政策制定和实施的协同一致，定期通报“双自”进展、重大动向，向国内外企业进行有关政策的宣讲、培训。</w:t>
            </w:r>
          </w:p>
          <w:p>
            <w:pPr>
              <w:spacing w:line="440" w:lineRule="atLeast"/>
              <w:ind w:firstLine="562"/>
              <w:rPr>
                <w:b/>
                <w:bCs/>
                <w:caps/>
                <w:color w:val="000000" w:themeColor="text1"/>
                <w:kern w:val="0"/>
                <w:sz w:val="28"/>
                <w:szCs w:val="28"/>
                <w:lang w:val="zh-CN"/>
                <w14:textFill>
                  <w14:solidFill>
                    <w14:schemeClr w14:val="tx1"/>
                  </w14:solidFill>
                </w14:textFill>
              </w:rPr>
            </w:pPr>
            <w:r>
              <w:rPr>
                <w:b/>
                <w:bCs/>
                <w:caps/>
                <w:color w:val="000000" w:themeColor="text1"/>
                <w:kern w:val="0"/>
                <w:sz w:val="28"/>
                <w:szCs w:val="28"/>
                <w:lang w:val="zh-CN"/>
                <w14:textFill>
                  <w14:solidFill>
                    <w14:schemeClr w14:val="tx1"/>
                  </w14:solidFill>
                </w14:textFill>
              </w:rPr>
              <w:t>二、提升政策协同的战略层级</w:t>
            </w:r>
          </w:p>
          <w:p>
            <w:pPr>
              <w:spacing w:line="440" w:lineRule="atLeast"/>
              <w:ind w:firstLine="560"/>
              <w:rPr>
                <w:caps/>
                <w:color w:val="000000" w:themeColor="text1"/>
                <w:kern w:val="0"/>
                <w:sz w:val="28"/>
                <w:szCs w:val="28"/>
                <w:lang w:val="zh-CN"/>
                <w14:textFill>
                  <w14:solidFill>
                    <w14:schemeClr w14:val="tx1"/>
                  </w14:solidFill>
                </w14:textFill>
              </w:rPr>
            </w:pPr>
            <w:r>
              <w:rPr>
                <w:caps/>
                <w:color w:val="000000" w:themeColor="text1"/>
                <w:kern w:val="0"/>
                <w:sz w:val="28"/>
                <w:szCs w:val="28"/>
                <w:lang w:val="zh-CN"/>
                <w14:textFill>
                  <w14:solidFill>
                    <w14:schemeClr w14:val="tx1"/>
                  </w14:solidFill>
                </w14:textFill>
              </w:rPr>
              <w:t>RCEP早期收获或阶段性货物贸易零关税的项目，可超前在自贸试验区实施。在RCEP关注的竞争政策和知识产权领域实现政策突破，昆明片区方案升级版要增加监管一致性、合作能力建设和支持中小企业发展的内容，使之成为RCEP国际合作的试验田。</w:t>
            </w:r>
          </w:p>
          <w:p>
            <w:pPr>
              <w:spacing w:line="440" w:lineRule="atLeast"/>
              <w:ind w:firstLine="562"/>
              <w:rPr>
                <w:b/>
                <w:bCs/>
                <w:caps/>
                <w:color w:val="000000" w:themeColor="text1"/>
                <w:kern w:val="0"/>
                <w:sz w:val="28"/>
                <w:szCs w:val="28"/>
                <w:lang w:val="zh-CN"/>
                <w14:textFill>
                  <w14:solidFill>
                    <w14:schemeClr w14:val="tx1"/>
                  </w14:solidFill>
                </w14:textFill>
              </w:rPr>
            </w:pPr>
            <w:r>
              <w:rPr>
                <w:b/>
                <w:bCs/>
                <w:caps/>
                <w:color w:val="000000" w:themeColor="text1"/>
                <w:kern w:val="0"/>
                <w:sz w:val="28"/>
                <w:szCs w:val="28"/>
                <w:lang w:val="zh-CN"/>
                <w14:textFill>
                  <w14:solidFill>
                    <w14:schemeClr w14:val="tx1"/>
                  </w14:solidFill>
                </w14:textFill>
              </w:rPr>
              <w:t>三、搭建“双自联动”的平台</w:t>
            </w:r>
          </w:p>
          <w:p>
            <w:pPr>
              <w:spacing w:line="440" w:lineRule="atLeast"/>
              <w:ind w:firstLine="560"/>
              <w:rPr>
                <w:b/>
                <w:bCs/>
                <w:caps/>
                <w:color w:val="000000" w:themeColor="text1"/>
                <w:sz w:val="28"/>
                <w:szCs w:val="28"/>
                <w:shd w:val="clear" w:color="auto" w:fill="FFFFFF"/>
                <w14:textFill>
                  <w14:solidFill>
                    <w14:schemeClr w14:val="tx1"/>
                  </w14:solidFill>
                </w14:textFill>
              </w:rPr>
            </w:pPr>
            <w:r>
              <w:rPr>
                <w:caps/>
                <w:color w:val="000000" w:themeColor="text1"/>
                <w:kern w:val="0"/>
                <w:sz w:val="28"/>
                <w:szCs w:val="28"/>
                <w:lang w:val="zh-CN"/>
                <w14:textFill>
                  <w14:solidFill>
                    <w14:schemeClr w14:val="tx1"/>
                  </w14:solidFill>
                </w14:textFill>
              </w:rPr>
              <w:t>积极构建区域合作平台。</w:t>
            </w:r>
            <w:r>
              <w:rPr>
                <w:caps/>
                <w:color w:val="000000" w:themeColor="text1"/>
                <w:kern w:val="0"/>
                <w:sz w:val="28"/>
                <w:szCs w:val="28"/>
                <w14:textFill>
                  <w14:solidFill>
                    <w14:schemeClr w14:val="tx1"/>
                  </w14:solidFill>
                </w14:textFill>
              </w:rPr>
              <w:t>积极创建</w:t>
            </w:r>
            <w:r>
              <w:rPr>
                <w:caps/>
                <w:color w:val="000000" w:themeColor="text1"/>
                <w:kern w:val="0"/>
                <w:sz w:val="28"/>
                <w:szCs w:val="28"/>
                <w:lang w:val="zh-CN"/>
                <w14:textFill>
                  <w14:solidFill>
                    <w14:schemeClr w14:val="tx1"/>
                  </w14:solidFill>
                </w14:textFill>
              </w:rPr>
              <w:t>RCEP经贸合作先行创新试验基地。同RCEP国家的特定城市和区域建立</w:t>
            </w:r>
            <w:r>
              <w:rPr>
                <w:caps/>
                <w:color w:val="000000" w:themeColor="text1"/>
                <w:kern w:val="0"/>
                <w:sz w:val="28"/>
                <w:szCs w:val="28"/>
                <w14:textFill>
                  <w14:solidFill>
                    <w14:schemeClr w14:val="tx1"/>
                  </w14:solidFill>
                </w14:textFill>
              </w:rPr>
              <w:t>合作</w:t>
            </w:r>
            <w:r>
              <w:rPr>
                <w:caps/>
                <w:color w:val="000000" w:themeColor="text1"/>
                <w:kern w:val="0"/>
                <w:sz w:val="28"/>
                <w:szCs w:val="28"/>
                <w:lang w:val="zh-CN"/>
                <w14:textFill>
                  <w14:solidFill>
                    <w14:schemeClr w14:val="tx1"/>
                  </w14:solidFill>
                </w14:textFill>
              </w:rPr>
              <w:t>示范区。构建产能合作平台、企业境外并购重组示范平台、高端制造业产品保税交易平台、科技创新研发设备保税展示平台、跨境电商服务平台等。构建能力建设平台。以昆明片区为基地，</w:t>
            </w:r>
            <w:r>
              <w:rPr>
                <w:caps/>
                <w:color w:val="000000" w:themeColor="text1"/>
                <w:kern w:val="0"/>
                <w:sz w:val="28"/>
                <w:szCs w:val="28"/>
                <w14:textFill>
                  <w14:solidFill>
                    <w14:schemeClr w14:val="tx1"/>
                  </w14:solidFill>
                </w14:textFill>
              </w:rPr>
              <w:t>加强</w:t>
            </w:r>
            <w:r>
              <w:rPr>
                <w:caps/>
                <w:color w:val="000000" w:themeColor="text1"/>
                <w:kern w:val="0"/>
                <w:sz w:val="28"/>
                <w:szCs w:val="28"/>
                <w:lang w:val="zh-CN"/>
                <w14:textFill>
                  <w14:solidFill>
                    <w14:schemeClr w14:val="tx1"/>
                  </w14:solidFill>
                </w14:textFill>
              </w:rPr>
              <w:t>农业、工业、服务业</w:t>
            </w:r>
            <w:r>
              <w:rPr>
                <w:rFonts w:hint="eastAsia"/>
                <w:caps/>
                <w:color w:val="000000" w:themeColor="text1"/>
                <w:kern w:val="0"/>
                <w:sz w:val="28"/>
                <w:szCs w:val="28"/>
                <w:lang w:val="zh-CN"/>
                <w14:textFill>
                  <w14:solidFill>
                    <w14:schemeClr w14:val="tx1"/>
                  </w14:solidFill>
                </w14:textFill>
              </w:rPr>
              <w:t>、</w:t>
            </w:r>
            <w:r>
              <w:rPr>
                <w:caps/>
                <w:color w:val="000000" w:themeColor="text1"/>
                <w:kern w:val="0"/>
                <w:sz w:val="28"/>
                <w:szCs w:val="28"/>
                <w:lang w:val="zh-CN"/>
                <w14:textFill>
                  <w14:solidFill>
                    <w14:schemeClr w14:val="tx1"/>
                  </w14:solidFill>
                </w14:textFill>
              </w:rPr>
              <w:t>教育</w:t>
            </w:r>
            <w:r>
              <w:rPr>
                <w:rFonts w:hint="eastAsia"/>
                <w:caps/>
                <w:color w:val="000000" w:themeColor="text1"/>
                <w:kern w:val="0"/>
                <w:sz w:val="28"/>
                <w:szCs w:val="28"/>
                <w14:textFill>
                  <w14:solidFill>
                    <w14:schemeClr w14:val="tx1"/>
                  </w14:solidFill>
                </w14:textFill>
              </w:rPr>
              <w:t>和</w:t>
            </w:r>
            <w:r>
              <w:rPr>
                <w:caps/>
                <w:color w:val="000000" w:themeColor="text1"/>
                <w:kern w:val="0"/>
                <w:sz w:val="28"/>
                <w:szCs w:val="28"/>
                <w:lang w:val="zh-CN"/>
                <w14:textFill>
                  <w14:solidFill>
                    <w14:schemeClr w14:val="tx1"/>
                  </w14:solidFill>
                </w14:textFill>
              </w:rPr>
              <w:t>文化等领域</w:t>
            </w:r>
            <w:r>
              <w:rPr>
                <w:caps/>
                <w:color w:val="000000" w:themeColor="text1"/>
                <w:kern w:val="0"/>
                <w:sz w:val="28"/>
                <w:szCs w:val="28"/>
                <w14:textFill>
                  <w14:solidFill>
                    <w14:schemeClr w14:val="tx1"/>
                  </w14:solidFill>
                </w14:textFill>
              </w:rPr>
              <w:t>能力建设合作</w:t>
            </w:r>
            <w:r>
              <w:rPr>
                <w:caps/>
                <w:color w:val="000000" w:themeColor="text1"/>
                <w:kern w:val="0"/>
                <w:sz w:val="28"/>
                <w:szCs w:val="28"/>
                <w:lang w:val="zh-CN"/>
                <w14:textFill>
                  <w14:solidFill>
                    <w14:schemeClr w14:val="tx1"/>
                  </w14:solidFill>
                </w14:textFill>
              </w:rPr>
              <w:t>。</w:t>
            </w:r>
          </w:p>
        </w:tc>
      </w:tr>
    </w:tbl>
    <w:p>
      <w:pPr>
        <w:spacing w:before="240" w:beforeLines="100" w:after="240" w:afterLines="100" w:line="560" w:lineRule="atLeast"/>
        <w:ind w:firstLine="0" w:firstLineChars="0"/>
        <w:jc w:val="center"/>
        <w:outlineLvl w:val="1"/>
        <w:rPr>
          <w:rFonts w:eastAsia="楷体_GB2312"/>
          <w:b/>
          <w:bCs/>
          <w:color w:val="000000" w:themeColor="text1"/>
          <w:kern w:val="0"/>
          <w:szCs w:val="32"/>
          <w14:textFill>
            <w14:solidFill>
              <w14:schemeClr w14:val="tx1"/>
            </w14:solidFill>
          </w14:textFill>
        </w:rPr>
      </w:pPr>
      <w:bookmarkStart w:id="93" w:name="_Toc30923"/>
      <w:r>
        <w:rPr>
          <w:rFonts w:eastAsia="楷体_GB2312"/>
          <w:b/>
          <w:bCs/>
          <w:color w:val="000000" w:themeColor="text1"/>
          <w:kern w:val="0"/>
          <w:szCs w:val="32"/>
          <w14:textFill>
            <w14:solidFill>
              <w14:schemeClr w14:val="tx1"/>
            </w14:solidFill>
          </w14:textFill>
        </w:rPr>
        <w:t>第二节　打造一流营商环境</w:t>
      </w:r>
      <w:bookmarkEnd w:id="93"/>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一、深化行政审批制度改革</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深化商事制度改革。</w:t>
      </w:r>
      <w:r>
        <w:rPr>
          <w:color w:val="000000" w:themeColor="text1"/>
          <w:szCs w:val="32"/>
          <w14:textFill>
            <w14:solidFill>
              <w14:schemeClr w14:val="tx1"/>
            </w14:solidFill>
          </w14:textFill>
        </w:rPr>
        <w:t>充实完善权责清单、政务服务事项清单、进驻政务服务中心事项清单、涉企经营许可事项清单。全面推进“证照分离”和“多证合一”改革，突出“照后减证”，积极探索“一业一证”“一照多址”“以照含证”等改革，推动证照“全链条联审联办”。分类清理政务服务“零办件”事项。通过告知承诺审批、电子证照应用和信息共享等方式，进一步压减审批事项申请材料和办理时限。进一步深化企业简易注销改革，建立全流程一体化企业注销登记服务平台，实现企业注销“一网”服务。推动落实“集群注册”，招引贸易类、服务类、电子商务类以及符合特定条件的生产加工类等行业的内资和外商投资企业通过集群虚拟注册方式入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深化工程项目审批改革。</w:t>
      </w:r>
      <w:r>
        <w:rPr>
          <w:color w:val="000000" w:themeColor="text1"/>
          <w:szCs w:val="32"/>
          <w14:textFill>
            <w14:solidFill>
              <w14:schemeClr w14:val="tx1"/>
            </w14:solidFill>
          </w14:textFill>
        </w:rPr>
        <w:t>推行“先建后验、容缺审批、并联审批”。实施联合审图、联合测绘、联合验收，实现多规合一、多评合一。实现“一口受理”“两验终验”，推行“函证结合”“容缺后补”等改革。清理规范审批服务事项，继续取消一批审批事项和施工许可前置事项。提高建设项目审批效能，推行项目“拿地即开工”，大幅压缩项目落地到开工时间。</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深化不动产登记改革。</w:t>
      </w:r>
      <w:r>
        <w:rPr>
          <w:color w:val="000000" w:themeColor="text1"/>
          <w:szCs w:val="32"/>
          <w14:textFill>
            <w14:solidFill>
              <w14:schemeClr w14:val="tx1"/>
            </w14:solidFill>
          </w14:textFill>
        </w:rPr>
        <w:t>优化提升登记服务流程，实现不动产登记、交易监管和税收征缴的线下“一窗受理、并行办理”和线上“一网通办”。针对企业间转让工业仓库的不动产转移登记、涉及实体经济企业的不动产登记，开通快速办理的绿色通道。大力推进不动产数据整合，推动房屋、土地等不动产权籍一体化调查，联合测绘，推进房屋交易、登记、纳税信息跨部门实时共享。加快推进“互联网+不动产登记”，逐步实现网上预受理和申请人“最多跑一次”。</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二、提升企业服务智能化、便利化水平</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持续优化政务服务“三一四最”服务模式，进一步提高政务服务标准化质量，全面推进行政审批和行政服务标准化。健全完善“班子成员对口联系+部门分行业+街道分辖区”常态化、全覆盖服务企业机制，持续开展营商专员一对一服务重点企业、重大项目行动。构建政策兑现“一次申报、一次受理、一次兑现”闭环流程。提供税务“套餐式”服务，开展涉税业务“一套办理”。依托政务服务公司等第三方服务机构，充分利用区块链、人工智能、大数据、5G等技术手段，提升线上政务服务智能水平，按照“一窗受理、一网通办、一次办成”的理念，整合受理各项业务，不断优化提升24小时“不打烊”的政务服务。围绕行政管理、司法管理、城市管理、环境保护等问题，促进人工智能技术应用，提高社会治理智能化水平。推进数字治理在政务服务领域的应用，加快实施华为“智慧政务”系统升级改造，拓展政务服务系统、网络及数据的互联互通，促进线下服务与线上服务应用融合，打造地区“智能化大厅2.0服务品牌”。深入实施税务智能化建设，推行非接触式服务。深入推进“一部手机办事通”，</w:t>
      </w:r>
      <w:r>
        <w:rPr>
          <w:color w:val="000000" w:themeColor="text1"/>
          <w:kern w:val="0"/>
          <w:szCs w:val="32"/>
          <w14:textFill>
            <w14:solidFill>
              <w14:schemeClr w14:val="tx1"/>
            </w14:solidFill>
          </w14:textFill>
        </w:rPr>
        <w:t>进一步拓展信息公开、网上办事、公共服务、咨询投诉、办件查询、在线申报、用户中心等功能。探索建立电子证照库、行政审批用章全程电子化，将所有行政审批证照和信息进行归集，实现信息共享。</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三、降低企业成本</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降低市场准入门槛。</w:t>
      </w:r>
      <w:r>
        <w:rPr>
          <w:color w:val="000000" w:themeColor="text1"/>
          <w:szCs w:val="32"/>
          <w14:textFill>
            <w14:solidFill>
              <w14:schemeClr w14:val="tx1"/>
            </w14:solidFill>
          </w14:textFill>
        </w:rPr>
        <w:t>全面实施市场准入负面清单制度，对清单以外的行业、领域、业务等，不再设置市场准入审批事项，各类市场主体皆可依法平等进入，真正实现“非禁即入”。探索实行承诺式准入等方式，强化落实告知性备案、准入信息公示等配套措施，统筹推进资源整合、流程再造。全面实施公平竞争审查制度。</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降低企业生产经营成本。</w:t>
      </w:r>
      <w:r>
        <w:rPr>
          <w:color w:val="000000" w:themeColor="text1"/>
          <w:szCs w:val="32"/>
          <w14:textFill>
            <w14:solidFill>
              <w14:schemeClr w14:val="tx1"/>
            </w14:solidFill>
          </w14:textFill>
        </w:rPr>
        <w:t>以提升纳税人、缴费人“两度”为抓手，落实好“减税降费”政策，助力税务营商环境提升，做到服务业务规范化、办税措施便利化、协税合作常态化、税收信用增值化、纳税维权透明化。不断深化银税互助，推动银行、税务双向发展。严格执行涉企行政事业性收费“零收费”政策。推动降低企业融资成本，推动“政银企保”深度合作。降低企业用能成本和物流成本。严格执行国家及省、市公布保留的涉企保证金目录清单，禁止非法新设立保证金项目。整治中介机构乱收费行为，建立服务性收费常态化监管机制。</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降低企业“隐性成本”。</w:t>
      </w:r>
      <w:r>
        <w:rPr>
          <w:color w:val="000000" w:themeColor="text1"/>
          <w:szCs w:val="32"/>
          <w14:textFill>
            <w14:solidFill>
              <w14:schemeClr w14:val="tx1"/>
            </w14:solidFill>
          </w14:textFill>
        </w:rPr>
        <w:t>分类清理隐性管理事项，全面梳理与行政审批相关的评估、评审、核查、登记等环节中的隐性管理问题。持续清理证明事项，加大对已清理证明事项的监督落实力度。减少涉企活动，从严规范涉企评比达标表彰活动。落实政商交往正负面清单，实施“宁静自贸”工程，构建亲清新型政商关系，促进非公有制经济健康发展。</w:t>
      </w:r>
    </w:p>
    <w:p>
      <w:pPr>
        <w:spacing w:before="240" w:beforeLines="100" w:after="240" w:afterLines="100" w:line="560" w:lineRule="atLeast"/>
        <w:ind w:firstLine="0" w:firstLineChars="0"/>
        <w:jc w:val="center"/>
        <w:outlineLvl w:val="1"/>
        <w:rPr>
          <w:rFonts w:eastAsia="楷体_GB2312"/>
          <w:b/>
          <w:bCs/>
          <w:color w:val="000000" w:themeColor="text1"/>
          <w:kern w:val="0"/>
          <w:szCs w:val="32"/>
          <w14:textFill>
            <w14:solidFill>
              <w14:schemeClr w14:val="tx1"/>
            </w14:solidFill>
          </w14:textFill>
        </w:rPr>
      </w:pPr>
      <w:bookmarkStart w:id="94" w:name="_Toc11242"/>
      <w:r>
        <w:rPr>
          <w:rFonts w:eastAsia="楷体_GB2312"/>
          <w:b/>
          <w:bCs/>
          <w:color w:val="000000" w:themeColor="text1"/>
          <w:kern w:val="0"/>
          <w:szCs w:val="32"/>
          <w14:textFill>
            <w14:solidFill>
              <w14:schemeClr w14:val="tx1"/>
            </w14:solidFill>
          </w14:textFill>
        </w:rPr>
        <w:t>第三节　全面深化改革创新</w:t>
      </w:r>
      <w:bookmarkEnd w:id="94"/>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一、探索园区管理新体制</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推行“管委会＋服务中心＋公司”的运作模式</w:t>
      </w:r>
      <w:r>
        <w:rPr>
          <w:color w:val="000000" w:themeColor="text1"/>
          <w:szCs w:val="32"/>
          <w14:textFill>
            <w14:solidFill>
              <w14:schemeClr w14:val="tx1"/>
            </w14:solidFill>
          </w14:textFill>
        </w:rPr>
        <w:t>。推进政府购买服务改革，在融资、招商、开发、建设、政务服务、社会事务等领域探索推行公司化运作，推行公司化管理机制。建立事权集中、权责明确、运行高效的运行模式，构筑起“小政府、大服务”的精简高效管理体制。</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整合优化提升“大部制”</w:t>
      </w:r>
      <w:r>
        <w:rPr>
          <w:b/>
          <w:color w:val="000000" w:themeColor="text1"/>
          <w:szCs w:val="32"/>
          <w14:textFill>
            <w14:solidFill>
              <w14:schemeClr w14:val="tx1"/>
            </w14:solidFill>
          </w14:textFill>
        </w:rPr>
        <w:t>。</w:t>
      </w:r>
      <w:r>
        <w:rPr>
          <w:color w:val="000000" w:themeColor="text1"/>
          <w:szCs w:val="32"/>
          <w14:textFill>
            <w14:solidFill>
              <w14:schemeClr w14:val="tx1"/>
            </w14:solidFill>
          </w14:textFill>
        </w:rPr>
        <w:t>按照改变理念、提升功能的原则，在当前“大部制”“大局制”机构改革的基础上，结合未来发展需要，进一步优化部门和相关机构的职能设置，推进机构设置和职能配置优化协同高效，优化经济运行和对企服务。深化财政预算管理、投融资体制、事业单位改革，基本形成适应高水平开放的地方政府管理体制，率先在省内建成法治政府、高效政府和诚信政府。</w:t>
      </w:r>
    </w:p>
    <w:p>
      <w:pPr>
        <w:spacing w:line="560" w:lineRule="atLeas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推进重大决策科学化、民主化、效能化。</w:t>
      </w:r>
      <w:r>
        <w:rPr>
          <w:color w:val="000000" w:themeColor="text1"/>
          <w:szCs w:val="32"/>
          <w14:textFill>
            <w14:solidFill>
              <w14:schemeClr w14:val="tx1"/>
            </w14:solidFill>
          </w14:textFill>
        </w:rPr>
        <w:t>建立“专家咨询委员会”，定期就全区发展进程中面临的战略决策进行研讨，开展重大发展规划、重要政策以及重点问题研究。遵循“科学决策、民主决策、依法决策”的原则，着力提升决策的科学化、民主化、法治化水平。进一步明确重大行政决策事项范围，强化决策法定程序的刚性约束。在确保决策效率的前提下按照科学决策原则建立“科学决策咨询机制”，对重大决策和行政行为，做到重大事项先咨询、后决策，重大项目先论证、后立项，重要工作先评估、后验收，试行重大决策听证制度和政务信息公开制度，全面推进决策科学化、民主化、效能化。加强重大行政决策监督，落实行政决策终身责任追究制度和责任倒查机制。</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二、深化国企改革</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结合国企改革三年行动计划，以国有企业功能分类为出发点，聚焦建立完善中国特色现代化国有企业制度，以管资本为主，完善国有资产管理体制，推进混合所有制改革，进一步完善现代企业制度，着力将</w:t>
      </w:r>
      <w:r>
        <w:rPr>
          <w:rFonts w:hint="eastAsia"/>
          <w:color w:val="000000" w:themeColor="text1"/>
          <w:szCs w:val="32"/>
          <w14:textFill>
            <w14:solidFill>
              <w14:schemeClr w14:val="tx1"/>
            </w14:solidFill>
          </w14:textFill>
        </w:rPr>
        <w:t>昆明经济技术开发区</w:t>
      </w:r>
      <w:r>
        <w:rPr>
          <w:color w:val="000000" w:themeColor="text1"/>
          <w:szCs w:val="32"/>
          <w14:textFill>
            <w14:solidFill>
              <w14:schemeClr w14:val="tx1"/>
            </w14:solidFill>
          </w14:textFill>
        </w:rPr>
        <w:t>投资开发（集团）有限公司打造成为管理规范、运转协调的集团化公司，不断增强国有企业活力、竞争力和影响力，形成适应自贸区特点、具有经开区特色的国资国企发展格局。</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三、深化人事制度改革</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进一步强化党政领导干部队伍建设。</w:t>
      </w:r>
      <w:r>
        <w:rPr>
          <w:color w:val="000000" w:themeColor="text1"/>
          <w:szCs w:val="32"/>
          <w14:textFill>
            <w14:solidFill>
              <w14:schemeClr w14:val="tx1"/>
            </w14:solidFill>
          </w14:textFill>
        </w:rPr>
        <w:t>始终把不断提高各级党政领导干部政治能力作为队伍建设的核心任务，有效加强政治能力训练和政治实践历练。全面加强和规范党内政治生活，严格执行民主集中制，落实集体领导和个人分工负责相结合的制度。提高各级党政领导干部队伍专业化水平，实施“领导干部专业能力提升工程”。认真执行巡视巡察、经济责任审计、重大事项请示报告等制度，强化对权力集中、资金密集、资源富集部门领导班子的监督。持续开展作风专项整治行动，着力解决文山会海、督查检查考核过多过频和过度留痕、问责不力和问责泛化简单化等问题。</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创新尽职免责机制。</w:t>
      </w:r>
      <w:r>
        <w:rPr>
          <w:color w:val="000000" w:themeColor="text1"/>
          <w:szCs w:val="32"/>
          <w14:textFill>
            <w14:solidFill>
              <w14:schemeClr w14:val="tx1"/>
            </w14:solidFill>
          </w14:textFill>
        </w:rPr>
        <w:t>坚持严管厚爱，按照“三个区分开来”的要求构建真心关爱干部的良好氛围。对改革创新过程中出现的一些偏差失误，只要不违反党的纪律和国家法律法规，勤勉尽责、未谋私利，能够及时纠错改正的，不作负面评价，免除相关责任或从轻减轻处理。坚持民主公开，经确认符合尽职免责条件的，要从制度上消除个人在考核、职务职级晋升、评先树优、名誉声誉等方面的负面影响。主动帮助当事人制定挽回损失、应对更大风险的方案，激励其放下包袱、轻装上阵，以更大的责任心和上进心干事创业，创造一流业绩。</w:t>
      </w:r>
    </w:p>
    <w:p>
      <w:pPr>
        <w:spacing w:line="560" w:lineRule="atLeast"/>
        <w:ind w:firstLine="643"/>
        <w:rPr>
          <w:color w:val="000000" w:themeColor="text1"/>
          <w:szCs w:val="32"/>
          <w14:textFill>
            <w14:solidFill>
              <w14:schemeClr w14:val="tx1"/>
            </w14:solidFill>
          </w14:textFill>
        </w:rPr>
      </w:pPr>
      <w:r>
        <w:rPr>
          <w:b/>
          <w:color w:val="000000" w:themeColor="text1"/>
          <w:szCs w:val="32"/>
          <w14:textFill>
            <w14:solidFill>
              <w14:schemeClr w14:val="tx1"/>
            </w14:solidFill>
          </w14:textFill>
        </w:rPr>
        <w:t>建立开放灵活用人机制。</w:t>
      </w:r>
      <w:r>
        <w:rPr>
          <w:color w:val="000000" w:themeColor="text1"/>
          <w:szCs w:val="32"/>
          <w14:textFill>
            <w14:solidFill>
              <w14:schemeClr w14:val="tx1"/>
            </w14:solidFill>
          </w14:textFill>
        </w:rPr>
        <w:t>对专业性较强的公务员职位试行聘任制，实行协议年薪，一职一薪，并进一步探索更大力度的激励措施。采取顾问指导、挂职、兼职、技术咨询、退休特聘等多种形式柔性引进专业化干部队伍，在交通补贴、探亲、休假、生活住宿等方面提供保障。制定差异化绩效评价办法，合理确定人员薪酬水平、分配办法，实行以岗定薪、优绩优酬，薪酬水平与高质量发展、高水平开放以及制度创新等挂钩。研究解决聘用人员执法资格问题。</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四、创新招商引资体制机制</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把招商引资作为经济工作的“生命线”，坚持主要领导带头招商、用主要精力抓招商，招重大项目、品牌项目，推动优质项目早签约、早落地。坚持市场化招商，以云南自由贸易试验区招商服务有限公司为抓手，开启政企合作招商模式，用基金、股权投资等市场化的手段撬动招商，实现政府主导招商与市场化招商双轮驱动。坚持专业化招商，选聘一批高水平的招商顾问、招商大使、招商中介、招商人员，提升招商队伍素质。优化项目入区评审制度，成立装备制造、数字经济、金融服务、科技创新等专业评审小组，做好企业尽调、业务尽调和项目尽调，选出符合产业导向、经济效益最优、科技含量较高、带动作用较强的优质项目。坚持精准化招商，强化产业发展研究，做实项目前期工作，做到拜访企业精准、产业定位精准、洽谈项目精准、项目地块精准。立足主导产业、围绕存量企业，实施产业链招商。坚持招大引强，加大对大企业、大集团的定点精准招商力度，力争引进世界500强和中国500强企业、注册资金10亿元以上企业不少于30家、注册资金1亿元以上企业不少于150家。实行联合招商、合作招商，探索设立境外招商点，以跨境贸易合作为突破口，与红河、德宏片区联动，探索开展区域“联合招商”，建设运营“园中园”，形成“资源互补、利益共享”的招商格局。提高招商项目签约率、落地率、建成率，强化招商引资考核，力争在谈项目签约率不低于50%，签约项目落地率不低于70%。</w:t>
      </w:r>
    </w:p>
    <w:p>
      <w:pPr>
        <w:spacing w:before="240" w:beforeLines="100" w:after="120" w:afterLines="50"/>
        <w:ind w:firstLine="0" w:firstLineChars="0"/>
        <w:jc w:val="center"/>
        <w:rPr>
          <w:rFonts w:eastAsia="黑体"/>
          <w:bCs/>
          <w:color w:val="000000" w:themeColor="text1"/>
          <w:kern w:val="0"/>
          <w:szCs w:val="32"/>
          <w:lang w:val="zh-CN"/>
          <w14:textFill>
            <w14:solidFill>
              <w14:schemeClr w14:val="tx1"/>
            </w14:solidFill>
          </w14:textFill>
        </w:rPr>
      </w:pPr>
      <w:r>
        <w:rPr>
          <w:rFonts w:eastAsia="黑体"/>
          <w:bCs/>
          <w:color w:val="000000" w:themeColor="text1"/>
          <w:kern w:val="0"/>
          <w:szCs w:val="32"/>
          <w:lang w:val="zh-CN"/>
          <w14:textFill>
            <w14:solidFill>
              <w14:schemeClr w14:val="tx1"/>
            </w14:solidFill>
          </w14:textFill>
        </w:rPr>
        <w:t>专栏</w:t>
      </w:r>
      <w:r>
        <w:rPr>
          <w:rFonts w:eastAsia="黑体"/>
          <w:bCs/>
          <w:color w:val="000000" w:themeColor="text1"/>
          <w:kern w:val="0"/>
          <w:szCs w:val="32"/>
          <w14:textFill>
            <w14:solidFill>
              <w14:schemeClr w14:val="tx1"/>
            </w14:solidFill>
          </w14:textFill>
        </w:rPr>
        <w:t>2</w:t>
      </w:r>
      <w:r>
        <w:rPr>
          <w:rFonts w:eastAsia="黑体"/>
          <w:bCs/>
          <w:color w:val="000000" w:themeColor="text1"/>
          <w:kern w:val="0"/>
          <w:szCs w:val="32"/>
          <w:lang w:val="zh-CN"/>
          <w14:textFill>
            <w14:solidFill>
              <w14:schemeClr w14:val="tx1"/>
            </w14:solidFill>
          </w14:textFill>
        </w:rPr>
        <w:t xml:space="preserve">  招商引资市场化、专业化、公司化路径选择</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298" w:type="dxa"/>
            <w:vAlign w:val="center"/>
          </w:tcPr>
          <w:p>
            <w:pPr>
              <w:spacing w:line="440" w:lineRule="atLeast"/>
              <w:ind w:firstLine="560"/>
              <w:rPr>
                <w:caps/>
                <w:color w:val="000000" w:themeColor="text1"/>
                <w:kern w:val="0"/>
                <w:sz w:val="28"/>
                <w:szCs w:val="28"/>
                <w:lang w:val="zh-CN"/>
                <w14:textFill>
                  <w14:solidFill>
                    <w14:schemeClr w14:val="tx1"/>
                  </w14:solidFill>
                </w14:textFill>
              </w:rPr>
            </w:pPr>
            <w:r>
              <w:rPr>
                <w:caps/>
                <w:color w:val="000000" w:themeColor="text1"/>
                <w:kern w:val="0"/>
                <w:sz w:val="28"/>
                <w:szCs w:val="28"/>
                <w:lang w:val="zh-CN"/>
                <w14:textFill>
                  <w14:solidFill>
                    <w14:schemeClr w14:val="tx1"/>
                  </w14:solidFill>
                </w14:textFill>
              </w:rPr>
              <w:t>中国（云南）自贸区昆明片区（昆明经开区）招商引资市场化、专业化、公司化模式改革路径为建立“政府引导+强企业化”招商引资模式，具体对策和措施高度概括为“一块基石、两大抓手、三个整合、四项机制、五种方法”（“12345”）：</w:t>
            </w:r>
          </w:p>
          <w:p>
            <w:pPr>
              <w:spacing w:line="440" w:lineRule="atLeast"/>
              <w:ind w:firstLine="562"/>
              <w:rPr>
                <w:caps/>
                <w:color w:val="000000" w:themeColor="text1"/>
                <w:kern w:val="0"/>
                <w:sz w:val="28"/>
                <w:szCs w:val="28"/>
                <w:lang w:val="zh-CN"/>
                <w14:textFill>
                  <w14:solidFill>
                    <w14:schemeClr w14:val="tx1"/>
                  </w14:solidFill>
                </w14:textFill>
              </w:rPr>
            </w:pPr>
            <w:r>
              <w:rPr>
                <w:b/>
                <w:bCs/>
                <w:caps/>
                <w:color w:val="000000" w:themeColor="text1"/>
                <w:kern w:val="0"/>
                <w:sz w:val="28"/>
                <w:szCs w:val="28"/>
                <w:lang w:val="zh-CN"/>
                <w14:textFill>
                  <w14:solidFill>
                    <w14:schemeClr w14:val="tx1"/>
                  </w14:solidFill>
                </w14:textFill>
              </w:rPr>
              <w:t>1、一块基石：</w:t>
            </w:r>
            <w:r>
              <w:rPr>
                <w:caps/>
                <w:color w:val="000000" w:themeColor="text1"/>
                <w:kern w:val="0"/>
                <w:sz w:val="28"/>
                <w:szCs w:val="28"/>
                <w:lang w:val="zh-CN"/>
                <w14:textFill>
                  <w14:solidFill>
                    <w14:schemeClr w14:val="tx1"/>
                  </w14:solidFill>
                </w14:textFill>
              </w:rPr>
              <w:t>制度创新是招商引资体制改革的基石。包括：政府职能转变、平台公司战略转型、成立专业化招商公司、市场化、专业化招商方式的创新改革。</w:t>
            </w:r>
          </w:p>
          <w:p>
            <w:pPr>
              <w:spacing w:line="440" w:lineRule="atLeast"/>
              <w:ind w:firstLine="562"/>
              <w:rPr>
                <w:caps/>
                <w:color w:val="000000" w:themeColor="text1"/>
                <w:kern w:val="0"/>
                <w:sz w:val="28"/>
                <w:szCs w:val="28"/>
                <w:lang w:val="zh-CN"/>
                <w14:textFill>
                  <w14:solidFill>
                    <w14:schemeClr w14:val="tx1"/>
                  </w14:solidFill>
                </w14:textFill>
              </w:rPr>
            </w:pPr>
            <w:r>
              <w:rPr>
                <w:b/>
                <w:bCs/>
                <w:caps/>
                <w:color w:val="000000" w:themeColor="text1"/>
                <w:kern w:val="0"/>
                <w:sz w:val="28"/>
                <w:szCs w:val="28"/>
                <w:lang w:val="zh-CN"/>
                <w14:textFill>
                  <w14:solidFill>
                    <w14:schemeClr w14:val="tx1"/>
                  </w14:solidFill>
                </w14:textFill>
              </w:rPr>
              <w:t>2、两大抓手：</w:t>
            </w:r>
            <w:r>
              <w:rPr>
                <w:caps/>
                <w:color w:val="000000" w:themeColor="text1"/>
                <w:kern w:val="0"/>
                <w:sz w:val="28"/>
                <w:szCs w:val="28"/>
                <w:lang w:val="zh-CN"/>
                <w14:textFill>
                  <w14:solidFill>
                    <w14:schemeClr w14:val="tx1"/>
                  </w14:solidFill>
                </w14:textFill>
              </w:rPr>
              <w:t>一手抓硬件基础设施（抓集约化经营土地；抓降低要素成本）；一手抓软件环境建设（持续进行放管服改革，大力发展第三产业，腾笼换鸟）。</w:t>
            </w:r>
          </w:p>
          <w:p>
            <w:pPr>
              <w:spacing w:line="440" w:lineRule="atLeast"/>
              <w:ind w:firstLine="562"/>
              <w:rPr>
                <w:caps/>
                <w:color w:val="000000" w:themeColor="text1"/>
                <w:kern w:val="0"/>
                <w:sz w:val="28"/>
                <w:szCs w:val="28"/>
                <w:lang w:val="zh-CN"/>
                <w14:textFill>
                  <w14:solidFill>
                    <w14:schemeClr w14:val="tx1"/>
                  </w14:solidFill>
                </w14:textFill>
              </w:rPr>
            </w:pPr>
            <w:r>
              <w:rPr>
                <w:b/>
                <w:bCs/>
                <w:caps/>
                <w:color w:val="000000" w:themeColor="text1"/>
                <w:kern w:val="0"/>
                <w:sz w:val="28"/>
                <w:szCs w:val="28"/>
                <w:lang w:val="zh-CN"/>
                <w14:textFill>
                  <w14:solidFill>
                    <w14:schemeClr w14:val="tx1"/>
                  </w14:solidFill>
                </w14:textFill>
              </w:rPr>
              <w:t>3、三个整合：</w:t>
            </w:r>
            <w:r>
              <w:rPr>
                <w:caps/>
                <w:color w:val="000000" w:themeColor="text1"/>
                <w:kern w:val="0"/>
                <w:sz w:val="28"/>
                <w:szCs w:val="28"/>
                <w:lang w:val="zh-CN"/>
                <w14:textFill>
                  <w14:solidFill>
                    <w14:schemeClr w14:val="tx1"/>
                  </w14:solidFill>
                </w14:textFill>
              </w:rPr>
              <w:t>以市场化的方式，整合金融、技术、人才三个生产要素服务实体经济，切换新旧发展动力，实现招商引资革命性突破，以及产业发展弯道超车。</w:t>
            </w:r>
          </w:p>
          <w:p>
            <w:pPr>
              <w:spacing w:line="440" w:lineRule="atLeast"/>
              <w:ind w:firstLine="562"/>
              <w:rPr>
                <w:caps/>
                <w:color w:val="000000" w:themeColor="text1"/>
                <w:kern w:val="0"/>
                <w:sz w:val="28"/>
                <w:szCs w:val="28"/>
                <w:lang w:val="zh-CN"/>
                <w14:textFill>
                  <w14:solidFill>
                    <w14:schemeClr w14:val="tx1"/>
                  </w14:solidFill>
                </w14:textFill>
              </w:rPr>
            </w:pPr>
            <w:r>
              <w:rPr>
                <w:b/>
                <w:bCs/>
                <w:caps/>
                <w:color w:val="000000" w:themeColor="text1"/>
                <w:kern w:val="0"/>
                <w:sz w:val="28"/>
                <w:szCs w:val="28"/>
                <w:lang w:val="zh-CN"/>
                <w14:textFill>
                  <w14:solidFill>
                    <w14:schemeClr w14:val="tx1"/>
                  </w14:solidFill>
                </w14:textFill>
              </w:rPr>
              <w:t>4、四项机制：</w:t>
            </w:r>
            <w:r>
              <w:rPr>
                <w:caps/>
                <w:color w:val="000000" w:themeColor="text1"/>
                <w:kern w:val="0"/>
                <w:sz w:val="28"/>
                <w:szCs w:val="28"/>
                <w:lang w:val="zh-CN"/>
                <w14:textFill>
                  <w14:solidFill>
                    <w14:schemeClr w14:val="tx1"/>
                  </w14:solidFill>
                </w14:textFill>
              </w:rPr>
              <w:t>探索在管委会和国企内部建立激励机制、牵引机制、约束机制和竞争淘汰机制，激活现有人力资源存量。</w:t>
            </w:r>
          </w:p>
          <w:p>
            <w:pPr>
              <w:spacing w:line="440" w:lineRule="atLeast"/>
              <w:ind w:firstLine="562"/>
              <w:rPr>
                <w:caps/>
                <w:color w:val="000000" w:themeColor="text1"/>
                <w:sz w:val="28"/>
                <w:szCs w:val="28"/>
                <w14:textFill>
                  <w14:solidFill>
                    <w14:schemeClr w14:val="tx1"/>
                  </w14:solidFill>
                </w14:textFill>
              </w:rPr>
            </w:pPr>
            <w:r>
              <w:rPr>
                <w:b/>
                <w:bCs/>
                <w:caps/>
                <w:color w:val="000000" w:themeColor="text1"/>
                <w:kern w:val="0"/>
                <w:sz w:val="28"/>
                <w:szCs w:val="28"/>
                <w:lang w:val="zh-CN"/>
                <w14:textFill>
                  <w14:solidFill>
                    <w14:schemeClr w14:val="tx1"/>
                  </w14:solidFill>
                </w14:textFill>
              </w:rPr>
              <w:t>5、五种方法：</w:t>
            </w:r>
            <w:r>
              <w:rPr>
                <w:caps/>
                <w:color w:val="000000" w:themeColor="text1"/>
                <w:kern w:val="0"/>
                <w:sz w:val="28"/>
                <w:szCs w:val="28"/>
                <w:lang w:val="zh-CN"/>
                <w14:textFill>
                  <w14:solidFill>
                    <w14:schemeClr w14:val="tx1"/>
                  </w14:solidFill>
                </w14:textFill>
              </w:rPr>
              <w:t>即大数据招商、产业链招商、基金招商、中介招商与境外招商、投资营商模式。</w:t>
            </w:r>
          </w:p>
        </w:tc>
      </w:tr>
      <w:bookmarkEnd w:id="90"/>
    </w:tbl>
    <w:p>
      <w:pPr>
        <w:ind w:firstLine="640"/>
        <w:rPr>
          <w:color w:val="000000" w:themeColor="text1"/>
          <w14:textFill>
            <w14:solidFill>
              <w14:schemeClr w14:val="tx1"/>
            </w14:solidFill>
          </w14:textFill>
        </w:rPr>
      </w:pPr>
      <w:bookmarkStart w:id="95" w:name="_Toc65069773"/>
      <w:bookmarkStart w:id="96" w:name="_Toc29709"/>
      <w:bookmarkStart w:id="97" w:name="_Toc28062"/>
      <w:bookmarkStart w:id="98" w:name="_Toc1895"/>
      <w:bookmarkStart w:id="99" w:name="_Toc56452563"/>
      <w:bookmarkStart w:id="100" w:name="_Toc16975"/>
      <w:bookmarkStart w:id="101" w:name="_Toc19455"/>
      <w:r>
        <w:rPr>
          <w:color w:val="000000" w:themeColor="text1"/>
          <w14:textFill>
            <w14:solidFill>
              <w14:schemeClr w14:val="tx1"/>
            </w14:solidFill>
          </w14:textFill>
        </w:rPr>
        <w:br w:type="page"/>
      </w:r>
    </w:p>
    <w:p>
      <w:pPr>
        <w:ind w:firstLine="640"/>
        <w:rPr>
          <w:color w:val="000000" w:themeColor="text1"/>
          <w14:textFill>
            <w14:solidFill>
              <w14:schemeClr w14:val="tx1"/>
            </w14:solidFill>
          </w14:textFill>
        </w:rPr>
      </w:pPr>
    </w:p>
    <w:p>
      <w:pPr>
        <w:spacing w:line="700" w:lineRule="atLeast"/>
        <w:ind w:firstLine="0" w:firstLineChars="0"/>
        <w:jc w:val="center"/>
        <w:outlineLvl w:val="0"/>
        <w:rPr>
          <w:rFonts w:eastAsia="方正小标宋_GBK"/>
          <w:bCs/>
          <w:color w:val="000000" w:themeColor="text1"/>
          <w:kern w:val="44"/>
          <w:sz w:val="44"/>
          <w:szCs w:val="32"/>
          <w14:textFill>
            <w14:solidFill>
              <w14:schemeClr w14:val="tx1"/>
            </w14:solidFill>
          </w14:textFill>
        </w:rPr>
      </w:pPr>
      <w:bookmarkStart w:id="102" w:name="_Toc22102"/>
      <w:r>
        <w:rPr>
          <w:rFonts w:eastAsia="方正小标宋_GBK"/>
          <w:bCs/>
          <w:color w:val="000000" w:themeColor="text1"/>
          <w:kern w:val="44"/>
          <w:sz w:val="44"/>
          <w:szCs w:val="32"/>
          <w14:textFill>
            <w14:solidFill>
              <w14:schemeClr w14:val="tx1"/>
            </w14:solidFill>
          </w14:textFill>
        </w:rPr>
        <w:t>第四章  营造创新创业新环境</w:t>
      </w:r>
      <w:bookmarkEnd w:id="102"/>
    </w:p>
    <w:p>
      <w:pPr>
        <w:ind w:firstLine="640"/>
        <w:rPr>
          <w:color w:val="000000" w:themeColor="text1"/>
          <w14:textFill>
            <w14:solidFill>
              <w14:schemeClr w14:val="tx1"/>
            </w14:solidFill>
          </w14:textFill>
        </w:rPr>
      </w:pP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以国家大众创业万众创新示范基地为支撑，以建设高水平“科创特区”为目标，以提升各类市场主体创新活力和创业动力为导向，持续优化创新创业生态，努力成为全市国际科技创新服务中心和创新创业资源要素的重要集聚地。</w:t>
      </w:r>
    </w:p>
    <w:p>
      <w:pPr>
        <w:spacing w:before="240" w:beforeLines="100" w:after="240" w:afterLines="100" w:line="560" w:lineRule="atLeast"/>
        <w:ind w:firstLine="0" w:firstLineChars="0"/>
        <w:jc w:val="center"/>
        <w:outlineLvl w:val="1"/>
        <w:rPr>
          <w:rFonts w:eastAsia="楷体_GB2312"/>
          <w:b/>
          <w:bCs/>
          <w:color w:val="000000" w:themeColor="text1"/>
          <w:kern w:val="0"/>
          <w:szCs w:val="32"/>
          <w14:textFill>
            <w14:solidFill>
              <w14:schemeClr w14:val="tx1"/>
            </w14:solidFill>
          </w14:textFill>
        </w:rPr>
      </w:pPr>
      <w:bookmarkStart w:id="103" w:name="_Toc15909"/>
      <w:r>
        <w:rPr>
          <w:rFonts w:eastAsia="楷体_GB2312"/>
          <w:b/>
          <w:bCs/>
          <w:color w:val="000000" w:themeColor="text1"/>
          <w:kern w:val="0"/>
          <w:szCs w:val="32"/>
          <w14:textFill>
            <w14:solidFill>
              <w14:schemeClr w14:val="tx1"/>
            </w14:solidFill>
          </w14:textFill>
        </w:rPr>
        <w:t>第一节　有效提升科技创新能力</w:t>
      </w:r>
      <w:bookmarkEnd w:id="103"/>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一、着力培育科技创新主体</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积极培育科技创新型企业。</w:t>
      </w:r>
      <w:r>
        <w:rPr>
          <w:color w:val="000000" w:themeColor="text1"/>
          <w:szCs w:val="32"/>
          <w14:textFill>
            <w14:solidFill>
              <w14:schemeClr w14:val="tx1"/>
            </w14:solidFill>
          </w14:textFill>
        </w:rPr>
        <w:t>实施“高新技术企业培育工程”，力争培育新增120家以上国家级高新技术企业，积极培育若干专精特新“小巨人”企业和制造业单项冠军企业，努力实现瞪羚企业、独角兽企业零的突破。支持行业领军企业围绕共性技术创新需求组织联合攻关，支持高新技术企业参与国家、云南省重大科技研发专项和重点研发计划，支持生物医药企业联合建立开放型现代化中药研发平台，整合创新资源创建国家产业创新中心和国家制造业创新中心。</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积极培育新型研发机构。</w:t>
      </w:r>
      <w:r>
        <w:rPr>
          <w:color w:val="000000" w:themeColor="text1"/>
          <w:szCs w:val="32"/>
          <w14:textFill>
            <w14:solidFill>
              <w14:schemeClr w14:val="tx1"/>
            </w14:solidFill>
          </w14:textFill>
        </w:rPr>
        <w:t>在高端装备制造、数字经济、生物医药等领域积极探索打造若干由科技创新领军人才领衔、采取与国际接轨的科研机构法人治理模式和运行机制、协同多方资源从事共性关键技术研发的事业单位性质或科技类民办非企业法人（社会服务机构）性质的新型研发机构，力争“十四五”期间</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新增省级及以上研发机构10家。鼓励企业加大研发投入，力争2025年</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R&amp;D经费投入占GDP比重达3.8%以上。建立“昆明高校院所联盟”示范点，积极引进一批知名高校二级学院（研发中心）、科研院所分支机构（育成中心）。</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二、深化科技开放合作</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推进大中小企业融通创新。</w:t>
      </w:r>
      <w:r>
        <w:rPr>
          <w:color w:val="000000" w:themeColor="text1"/>
          <w:szCs w:val="32"/>
          <w14:textFill>
            <w14:solidFill>
              <w14:schemeClr w14:val="tx1"/>
            </w14:solidFill>
          </w14:textFill>
        </w:rPr>
        <w:t>实施大中小企业融通创新专项行动计划，推动区内骨干企业向中小企业特别是科技型中小企业开放资源、场景、应用等。鼓励行业领军企业开展仪器设备所有权和经营权分离试点，通过建立开放式平台为中小微企业开展中试熟化与产业化开发提供检测检验、二次开发等有偿服务。在装备制造、数字经济、生物医药、工业大麻等重点领域培育形成若干“大中小企业科技创新联盟”，支持中小科技企业与国内产业链标杆企业联合开展科技攻关，推动行业上下游企业共建协同创新共同体。细化政府采购政策，定期发布政府项目“机会清单”，加大对区内科技型中小企业的采购支持力度。力争“十四五”期间</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新增科技型中小企业200家以上。</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加大科技国际合作力度</w:t>
      </w:r>
      <w:r>
        <w:rPr>
          <w:color w:val="000000" w:themeColor="text1"/>
          <w:szCs w:val="32"/>
          <w14:textFill>
            <w14:solidFill>
              <w14:schemeClr w14:val="tx1"/>
            </w14:solidFill>
          </w14:textFill>
        </w:rPr>
        <w:t>。充分发挥中国-南亚技术转移中心、中国-东盟创新中心、金砖国家技术转移中心、中国昆明南亚东南亚科技服务业合作中心等国际化科技创新合作平台的辐射带动效应，围绕生物医药、现代农业、环境保护、矿业和新材料等领域，全面提升与南亚东南亚国家、东盟国家、金砖国家在应用基础研究、关键核心技术联合攻关、跨境科研成果转移转化、人才交流与培训、重点项目展示路演等方面的合作水平。加快布局一批离岸科技合作基地、海外创新中心、国际技术转移网络，派出一批“科技大使”。</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深化国家“双创”示范基地间合作</w:t>
      </w:r>
      <w:r>
        <w:rPr>
          <w:color w:val="000000" w:themeColor="text1"/>
          <w:szCs w:val="32"/>
          <w14:textFill>
            <w14:solidFill>
              <w14:schemeClr w14:val="tx1"/>
            </w14:solidFill>
          </w14:textFill>
        </w:rPr>
        <w:t>。加强与企业、高校科研院所等不同类型国家大众创业万众创新示范基地之间的深度合作，依托国家大众创业万众创新示范基地日常联系协调机制和西部大众创业万众创新示范基地联盟搭建常态化双创示范基地间跨区域合作交流平台，探索科研成果跨区域梯次流动和落地转化，在资源共享、产业协同、知识产权保护和运营等方面开展跨区域融通合作。</w:t>
      </w:r>
    </w:p>
    <w:p>
      <w:pPr>
        <w:spacing w:before="240" w:beforeLines="100" w:after="240" w:afterLines="100" w:line="560" w:lineRule="atLeast"/>
        <w:ind w:firstLine="0" w:firstLineChars="0"/>
        <w:jc w:val="center"/>
        <w:outlineLvl w:val="1"/>
        <w:rPr>
          <w:rFonts w:eastAsia="楷体_GB2312"/>
          <w:b/>
          <w:bCs/>
          <w:color w:val="000000" w:themeColor="text1"/>
          <w:szCs w:val="32"/>
          <w14:textFill>
            <w14:solidFill>
              <w14:schemeClr w14:val="tx1"/>
            </w14:solidFill>
          </w14:textFill>
        </w:rPr>
      </w:pPr>
      <w:bookmarkStart w:id="104" w:name="_Toc31282"/>
      <w:r>
        <w:rPr>
          <w:rFonts w:eastAsia="楷体_GB2312"/>
          <w:b/>
          <w:bCs/>
          <w:color w:val="000000" w:themeColor="text1"/>
          <w:szCs w:val="32"/>
          <w14:textFill>
            <w14:solidFill>
              <w14:schemeClr w14:val="tx1"/>
            </w14:solidFill>
          </w14:textFill>
        </w:rPr>
        <w:t>第二节　不断优化创新创业生态</w:t>
      </w:r>
      <w:bookmarkEnd w:id="104"/>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一、提升创业创新平台发展水平</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推进平台多元化发展。</w:t>
      </w:r>
      <w:r>
        <w:rPr>
          <w:bCs/>
          <w:color w:val="000000" w:themeColor="text1"/>
          <w:szCs w:val="32"/>
          <w14:textFill>
            <w14:solidFill>
              <w14:schemeClr w14:val="tx1"/>
            </w14:solidFill>
          </w14:textFill>
        </w:rPr>
        <w:t>合理布局创新创业平台，优化创新创业平台功能，</w:t>
      </w:r>
      <w:r>
        <w:rPr>
          <w:color w:val="000000" w:themeColor="text1"/>
          <w:szCs w:val="32"/>
          <w14:textFill>
            <w14:solidFill>
              <w14:schemeClr w14:val="tx1"/>
            </w14:solidFill>
          </w14:textFill>
        </w:rPr>
        <w:t>构建“创业苗圃—众创空间—孵化器—加速器”的全链条双创载体平台服务体系。依托基层社区构建若干公益性创业苗圃为创业者提供基础咨询服务。依托特色服务和商业模式，打造一批高水平众创空间品牌。发挥孵化器的中坚作用，建立健全梯度合理、接力促进的市场化孵化机制。鼓励各类社会主体围绕初创企业高成长性需要，打造若干企业总部型、技术中试型、专业园区型科技企业加速器。力争“十四五”</w:t>
      </w:r>
      <w:r>
        <w:rPr>
          <w:rFonts w:hint="eastAsia"/>
          <w:color w:val="000000" w:themeColor="text1"/>
          <w:szCs w:val="32"/>
          <w14:textFill>
            <w14:solidFill>
              <w14:schemeClr w14:val="tx1"/>
            </w14:solidFill>
          </w14:textFill>
        </w:rPr>
        <w:t>期间，</w:t>
      </w:r>
      <w:r>
        <w:rPr>
          <w:color w:val="000000" w:themeColor="text1"/>
          <w:szCs w:val="32"/>
          <w14:textFill>
            <w14:solidFill>
              <w14:schemeClr w14:val="tx1"/>
            </w14:solidFill>
          </w14:textFill>
        </w:rPr>
        <w:t>国家级和省级各类优质创新创业平台达80家。</w:t>
      </w:r>
    </w:p>
    <w:p>
      <w:pPr>
        <w:spacing w:line="560" w:lineRule="atLeast"/>
        <w:ind w:firstLine="643"/>
        <w:rPr>
          <w:color w:val="000000" w:themeColor="text1"/>
          <w:szCs w:val="32"/>
          <w:u w:val="single"/>
          <w14:textFill>
            <w14:solidFill>
              <w14:schemeClr w14:val="tx1"/>
            </w14:solidFill>
          </w14:textFill>
        </w:rPr>
      </w:pPr>
      <w:r>
        <w:rPr>
          <w:b/>
          <w:bCs/>
          <w:color w:val="000000" w:themeColor="text1"/>
          <w:szCs w:val="32"/>
          <w14:textFill>
            <w14:solidFill>
              <w14:schemeClr w14:val="tx1"/>
            </w14:solidFill>
          </w14:textFill>
        </w:rPr>
        <w:t>推动平台精益化发展。</w:t>
      </w:r>
      <w:r>
        <w:rPr>
          <w:color w:val="000000" w:themeColor="text1"/>
          <w:szCs w:val="32"/>
          <w14:textFill>
            <w14:solidFill>
              <w14:schemeClr w14:val="tx1"/>
            </w14:solidFill>
          </w14:textFill>
        </w:rPr>
        <w:t>大力支持以科创园孵化器、创新生物孵化器等为代表的一系列特色鲜明的载体平台精益化发展。鼓励载体平台与生产力促进、技术转移、知识产权、科技情报、科技金融等科技服务机构组建孵化服务联盟，促进创新创业服务资源向孵化平台聚集。加强各类孵化平台与区内行业领军型企业的深度合作，围绕支柱产业重点构建以行业领军企业为核心、以产业链为纽带的垂直孵化体系。支持区内各类载体平台与国内知名互联网平台合作打造线上虚拟孵化和精准服务平台。</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推动平台可持续发展。</w:t>
      </w:r>
      <w:r>
        <w:rPr>
          <w:color w:val="000000" w:themeColor="text1"/>
          <w:szCs w:val="32"/>
          <w14:textFill>
            <w14:solidFill>
              <w14:schemeClr w14:val="tx1"/>
            </w14:solidFill>
          </w14:textFill>
        </w:rPr>
        <w:t>鼓励各类孵化平台探索形成政府采购服务、场地租金、定制化增值服务、股权投资收益等相结合的多元收入模式。建立载体平台经营状况和服务质量监测机制，坚决淘汰一批服务质量低下、空置率高、长期无法盈利、靠政府补贴为继的载体平台，切实将针对载体平台的财政性补贴转变为与经营效益和服务质量挂钩的政府采购服务支出。鼓励各类载体平台进一步加强探索促进创业资源整合、提升专业服务和投融资链接能力的新路径和新模式，鼓励不同类型载体平台开展股权合作实现规模化发展。</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二、加强知识产权保护与应用</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优化知识产权创造环境。</w:t>
      </w:r>
      <w:r>
        <w:rPr>
          <w:color w:val="000000" w:themeColor="text1"/>
          <w:szCs w:val="32"/>
          <w14:textFill>
            <w14:solidFill>
              <w14:schemeClr w14:val="tx1"/>
            </w14:solidFill>
          </w14:textFill>
        </w:rPr>
        <w:t>建立自主知识产权创造激励制度，进一步优化知识产权环境，完善专利资助、专利大户培育等激励政策，重点向技术含量高的发明专利、境外新获核准注册商标、PCT国际专利申请和企业参与制定国际标准倾斜。围绕重点产业、重点企业，以核心技术知识产权为纽带，以掌握关键技术自主知识产权的企业为龙头，推动建立重点行业和产业的知识产权战略联盟。加大对知识产权人才的支持力度，建立国际化知识产权人才培育机制。</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构建知识产权管理体系。</w:t>
      </w:r>
      <w:r>
        <w:rPr>
          <w:color w:val="000000" w:themeColor="text1"/>
          <w:szCs w:val="32"/>
          <w14:textFill>
            <w14:solidFill>
              <w14:schemeClr w14:val="tx1"/>
            </w14:solidFill>
          </w14:textFill>
        </w:rPr>
        <w:t>构建与国际接轨的集知识产权综合管理和联合执法于一体的知识产权管理体系。充分利用“互联网+”等技术手段创新知识产权保护方式。建立包含行政执法、仲裁、调解在内的多元化知识产权争端解决机制，建立跨部门协同、信息共享、案情通报、执法联动等工作制度，推进重点产业、重点领域知识产权综合执法和快速维权，推动区内建设知识产权法庭巡回审判庭。加强园区内企业特别是规模以上企业知识产权管理工作体系建设，逐步建立和完善覆盖全部企业的知识产权管理工作体系。探索建立国际化的知识产权服务机制，培育和引进一批高端和国际化知识产权服务机构，稳步推进知识产权服务集聚区建设。</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提升知识产权运用能力。</w:t>
      </w:r>
      <w:r>
        <w:rPr>
          <w:color w:val="000000" w:themeColor="text1"/>
          <w:szCs w:val="32"/>
          <w14:textFill>
            <w14:solidFill>
              <w14:schemeClr w14:val="tx1"/>
            </w14:solidFill>
          </w14:textFill>
        </w:rPr>
        <w:t>提升知识产权支撑服务产业发展的能力，建立重点产业知识产权风险预警和联合应对机制，实施一批产业规划类和企业运营类专利导航项目。提高中小微科技型企业的知识产权运用能力，鼓励专业机构为中小微科技型企业提供知识产权集中托管、专利导航等服务。建设知识产权投融资服务平台，积极培育多元化的知识产权金融服务市场，探索知识产权证券化工作机制。依托知识产权运营服务中心，构建一体化知识产权信息公共服务体系，努力打造形成面向南亚东南亚的国际知识产权运营中心，提供专利申请、维权援助、运营、交易、展示并在语言、支付等实操环节支持国际业务的“一站式”国际化综合服务。促进区内企业与区域全面经济伙伴关系（RCEP）成员国企业的知识产权合作。力争“十四五”末</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实现转化运用重大科技成果50项以上。</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三、大力发展金融服务</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大力发展创业投资。</w:t>
      </w:r>
      <w:r>
        <w:rPr>
          <w:color w:val="000000" w:themeColor="text1"/>
          <w:szCs w:val="32"/>
          <w14:textFill>
            <w14:solidFill>
              <w14:schemeClr w14:val="tx1"/>
            </w14:solidFill>
          </w14:textFill>
        </w:rPr>
        <w:t>发挥政府性引导基金作用，在高端装备制造、数字经济、生物医药、新能源汽车等领域设立政府引导产业投资和创业投资基金。鼓励行业骨干企业、创业孵化器、产业创新中心、创业服务中心、保险资产管理等机构按照“依法合规、风险可控、商业可持续”的原则建立创投基金。大力发展创投孵化，培育孵化一批既具备较高创投资本管理能力又熟悉园区创新环境和产业特点的天使投资、风险投资和私募股权投资机构和投资人。积极争取国家级战略性新兴产业发展基金、国家新兴产业创业投资引导基金、国家中小企业发展基金等国家级产业发展母基金在区内投资创投子基金。全面落实创业投资企业和天使投资个人有关税收试点政策，探索设立专项资金对符合条件的天使投资机构按规定给予一定的风险投资损失补偿。</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不断创新债权型科技金融产品和服务</w:t>
      </w:r>
      <w:r>
        <w:rPr>
          <w:color w:val="000000" w:themeColor="text1"/>
          <w:szCs w:val="32"/>
          <w14:textFill>
            <w14:solidFill>
              <w14:schemeClr w14:val="tx1"/>
            </w14:solidFill>
          </w14:textFill>
        </w:rPr>
        <w:t>。鼓励科技型中小微企业用好用足“财园助企贷”“惠企贷”“银园助企贷”等政策性信贷产品。创新财政性信贷风险补偿机制，依托全国性担保基金和履约保险有效放大政府性融资担保机构支持范围。通过“政府引导、银企互动、投贷联动”模式，支持金融机构为科技型中小微企业提供股权和债权相结合的融资服务方式。支持符合条件的企业发行双创孵化专项债券、创业投资基金类债券、创新创业公司债券等与双创相关的债务融资工具。支持银行业金融机构积极稳妥开展并购贷款业务。稳步推进专利权质押融资贷款和知识产权证券化工作，建立健全知识产权评估机制、质押融资风险分担机制和方便快捷的质物处置机制。</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充分用好股权交易平台。</w:t>
      </w:r>
      <w:r>
        <w:rPr>
          <w:color w:val="000000" w:themeColor="text1"/>
          <w:szCs w:val="32"/>
          <w14:textFill>
            <w14:solidFill>
              <w14:schemeClr w14:val="tx1"/>
            </w14:solidFill>
          </w14:textFill>
        </w:rPr>
        <w:t>支持符合条件的科技型企业在主板、创业板、新三板、科创板、青创板上市或挂牌。充分发挥区域性股权交易平台作用，为已完成股份制改造的双创企业提供区域性融资服务。</w:t>
      </w:r>
    </w:p>
    <w:p>
      <w:pPr>
        <w:spacing w:before="240" w:beforeLines="100" w:after="240" w:afterLines="100" w:line="560" w:lineRule="atLeast"/>
        <w:ind w:firstLine="0" w:firstLineChars="0"/>
        <w:jc w:val="center"/>
        <w:outlineLvl w:val="1"/>
        <w:rPr>
          <w:rFonts w:eastAsia="楷体_GB2312"/>
          <w:b/>
          <w:bCs/>
          <w:color w:val="000000" w:themeColor="text1"/>
          <w:kern w:val="0"/>
          <w:szCs w:val="32"/>
          <w14:textFill>
            <w14:solidFill>
              <w14:schemeClr w14:val="tx1"/>
            </w14:solidFill>
          </w14:textFill>
        </w:rPr>
      </w:pPr>
      <w:bookmarkStart w:id="105" w:name="_Toc12689"/>
      <w:r>
        <w:rPr>
          <w:rFonts w:eastAsia="楷体_GB2312"/>
          <w:b/>
          <w:bCs/>
          <w:color w:val="000000" w:themeColor="text1"/>
          <w:kern w:val="0"/>
          <w:szCs w:val="32"/>
          <w14:textFill>
            <w14:solidFill>
              <w14:schemeClr w14:val="tx1"/>
            </w14:solidFill>
          </w14:textFill>
        </w:rPr>
        <w:t>第三节　有效激发各类人才创新创业活力</w:t>
      </w:r>
      <w:bookmarkEnd w:id="105"/>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一、做好人才引进服务</w:t>
      </w:r>
    </w:p>
    <w:p>
      <w:pPr>
        <w:spacing w:line="56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推进多层次人才队伍建设。</w:t>
      </w:r>
      <w:r>
        <w:rPr>
          <w:color w:val="000000" w:themeColor="text1"/>
          <w:szCs w:val="32"/>
          <w14:textFill>
            <w14:solidFill>
              <w14:schemeClr w14:val="tx1"/>
            </w14:solidFill>
          </w14:textFill>
        </w:rPr>
        <w:t>以提高创新能力和专业水平为核心，统筹科技、产业、服务领域人才建设，造就一支高素质的专业技术人才队伍。适应产业结构优化升级和实施“走出去”战略需要，以提高现代经营管理水平和国内国际市场竞争能力为重点，加快建设职业化的企业经营管理人才队伍。重点引进符合产业需要的、具备“工匠精神”的急需紧缺高技能人才。到2025年，力争区内专业技术人才队伍、经营管理人才队伍、高技能人才队伍分别达到1.5万人、1.2万人和1.2万人。</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大力引进海外高层次人才。</w:t>
      </w:r>
      <w:r>
        <w:rPr>
          <w:color w:val="000000" w:themeColor="text1"/>
          <w:szCs w:val="32"/>
          <w14:textFill>
            <w14:solidFill>
              <w14:schemeClr w14:val="tx1"/>
            </w14:solidFill>
          </w14:textFill>
        </w:rPr>
        <w:t>充分发挥各类海外人才工作站、外国留学生联谊会、外国华人社团等机构的桥梁作用，广泛收集、及时发布引才引智信息，建立海外高层次人才精准引进机制，开辟重点产业“高精尖缺”人才引进专门通道。探索建立职业资格国际互认试点，支持引进国际化专业技术执业资格培训项目。适当延长外籍高端人才、产业发展急需紧缺外籍技能型人才工作许可年限。放宽服务业</w:t>
      </w:r>
      <w:r>
        <w:rPr>
          <w:rFonts w:hint="eastAsia"/>
          <w:color w:val="000000" w:themeColor="text1"/>
          <w:szCs w:val="32"/>
          <w14:textFill>
            <w14:solidFill>
              <w14:schemeClr w14:val="tx1"/>
            </w14:solidFill>
          </w14:textFill>
        </w:rPr>
        <w:t>聘任</w:t>
      </w:r>
      <w:r>
        <w:rPr>
          <w:color w:val="000000" w:themeColor="text1"/>
          <w:szCs w:val="32"/>
          <w14:textFill>
            <w14:solidFill>
              <w14:schemeClr w14:val="tx1"/>
            </w14:solidFill>
          </w14:textFill>
        </w:rPr>
        <w:t>高层次和急需紧缺外国专业人才条件限制。“十四五”期间</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力争引进海内外高层次创新创业人才100人。</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加大高校、院所科技人才引进力度。</w:t>
      </w:r>
      <w:r>
        <w:rPr>
          <w:color w:val="000000" w:themeColor="text1"/>
          <w:szCs w:val="32"/>
          <w14:textFill>
            <w14:solidFill>
              <w14:schemeClr w14:val="tx1"/>
            </w14:solidFill>
          </w14:textFill>
        </w:rPr>
        <w:t>推动与高校、科研院所类国家大众创业万众创新示范基地建立常态化人才引进机制，支持科研人员携科研项目、成果到园区内从事科技研发、成果转化或创办企业。吸引国家、云南省“高层次人才引进计划”“高层次人才培养支持计划”“春城计划”等高层次人才到园区内企业或管委会任职兼职。大力实施针对在外滇籍留学生和滇籍博士（后）返乡创业的支持计划。支持新设立博士后科研流动站、科研工作站及分站和创新实践基地，积极探索“柔性引才”等新型人才引进模式。继续发挥大学生创新创业生力军作用，依托与高校共建创业创新人才培养和实践基地吸引高校毕业生在区内创业。</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二、优化人才服务体系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创新人才评价激励机制。</w:t>
      </w:r>
      <w:r>
        <w:rPr>
          <w:color w:val="000000" w:themeColor="text1"/>
          <w:szCs w:val="32"/>
          <w14:textFill>
            <w14:solidFill>
              <w14:schemeClr w14:val="tx1"/>
            </w14:solidFill>
          </w14:textFill>
        </w:rPr>
        <w:t>根据不同类别、职业、行业特点，突出用人单位人才评价的主体作用，逐步建立科学化、社会化的人才评价机制。按照产业需求和区域实际，对人才实行分层管理和服务，形成分类分层相结合的纵横人才管理格局。进一步加大财政性资金对“高精尖缺”人才的激励力度，建立以政府奖励为引导、用人单位和社会力量奖励为主体的人才奖励体系，鼓励和引导企业推行年薪制、期权股权、养老保险年金、特殊贡献分红等多元化人才激励机制。</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强化政府市场协同的人才服务体系。</w:t>
      </w:r>
      <w:r>
        <w:rPr>
          <w:color w:val="000000" w:themeColor="text1"/>
          <w:szCs w:val="32"/>
          <w14:textFill>
            <w14:solidFill>
              <w14:schemeClr w14:val="tx1"/>
            </w14:solidFill>
          </w14:textFill>
        </w:rPr>
        <w:t>推动人才管理部门简政放权，建立政府人才管理服务权力清单和责任清单。健全市场化、社会化的人才管理服务体系，加快建立统一、规范的人才市场体系，完善人才供求、价格和竞争机制。推动政府人才公共服务与经营性服务分离，支持人力资源服务产业发展，大力引进国际人才中介服务机构，有序承接政府转移的人才服务功能。</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进一步优化人才工作生活环境。</w:t>
      </w:r>
      <w:r>
        <w:rPr>
          <w:color w:val="000000" w:themeColor="text1"/>
          <w:szCs w:val="32"/>
          <w14:textFill>
            <w14:solidFill>
              <w14:schemeClr w14:val="tx1"/>
            </w14:solidFill>
          </w14:textFill>
        </w:rPr>
        <w:t>健全完善“1+1+N”人才政策体系，推进高层次人才服务管理改革试点，进一步完善“专人+专题+专业”的高层次人才服务体系。推动建立引进人才“绿卡”制度，设立海内外高层次人才“一站式”服务窗口，拓展“一部手机办事通”一网通办功能，在出入境和居留、户籍办理、市场监督、税务、金融、住房、海关、配偶随迁、子女就学、社会保障、职称评定等方面提供优质服务。加大“昆明经开区人才服务建设工程”支持力度，采取多种方式筹集人才用房，开通人才交通专线，为人才提供舒适便利的公共服务环境。</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三、推动创业带动就业</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深化产教融合。</w:t>
      </w:r>
      <w:r>
        <w:rPr>
          <w:color w:val="000000" w:themeColor="text1"/>
          <w:szCs w:val="32"/>
          <w14:textFill>
            <w14:solidFill>
              <w14:schemeClr w14:val="tx1"/>
            </w14:solidFill>
          </w14:textFill>
        </w:rPr>
        <w:t>支持引导区内企业深度参与全市职业技术院校和专业的教育教学改革，促进企业需求融入人才培养环节，推行面向企业真实生产环境的任务式培养模式。健全学生到企业实习实训制度。探索采用引企驻校、引校进企、校企一体等方式推动龙头骨干企业与职业学校共建共享生产性实训基地，推进实习实训规范化。推进产教协同育人，大力发展校企双制、工学一体的技工教育，推动学校招生与企业招工相衔接，校企育人“双重主体”，学生学徒“双重身份”，学校、企业和学生三方权利义务关系明晰。建设澜湄职业教育培训基地。</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加大对重点人群创业的支持力度。</w:t>
      </w:r>
      <w:r>
        <w:rPr>
          <w:color w:val="000000" w:themeColor="text1"/>
          <w:szCs w:val="32"/>
          <w14:textFill>
            <w14:solidFill>
              <w14:schemeClr w14:val="tx1"/>
            </w14:solidFill>
          </w14:textFill>
        </w:rPr>
        <w:t>支持农民工返乡创业，采取财政贴息、融资担保、扩大抵押物范围等综合措施解决返乡创业融资难问题。深入开展“云岭大学生创业引领计划”，加大“泛海扬帆昆明大学生创业行动”公益项目资金投入。完善退役军人自主创业支持政策和服务体系，支持退役军人参加各类创新创业大会和比赛。实施“巾帼星火创业培训计划”，有针对性地开展女性创业意识教育、创业素质培养、创业项目指导、开业指导、企业经营管理等培训。</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大力培养技术骨干和管理精英。</w:t>
      </w:r>
      <w:r>
        <w:rPr>
          <w:color w:val="000000" w:themeColor="text1"/>
          <w:szCs w:val="32"/>
          <w14:textFill>
            <w14:solidFill>
              <w14:schemeClr w14:val="tx1"/>
            </w14:solidFill>
          </w14:textFill>
        </w:rPr>
        <w:t>以高级工和中级工为重点，深入实施高技能人才“工匠”培养工程，组织开展技能大师工作室、首席技师、金牌工人认定工作，积极建设高技能人才培训基地、技能大师工作室、技师工作站和世界技能大赛训练基地。引进培养一批精通现代管理知识、现代科技专业知识和经营管理能力的高级管理人才，完善以市场和出资人认可为核心的企业经营管理人才评价体系，加快推进企业经营管理人才职业化、市场化、专业化和国际化。</w:t>
      </w:r>
    </w:p>
    <w:p>
      <w:pPr>
        <w:spacing w:before="240" w:beforeLines="100" w:after="120" w:afterLines="50"/>
        <w:ind w:firstLine="0" w:firstLineChars="0"/>
        <w:jc w:val="center"/>
        <w:rPr>
          <w:rFonts w:eastAsia="黑体"/>
          <w:bCs/>
          <w:color w:val="000000" w:themeColor="text1"/>
          <w:kern w:val="0"/>
          <w:szCs w:val="32"/>
          <w:lang w:val="zh-CN"/>
          <w14:textFill>
            <w14:solidFill>
              <w14:schemeClr w14:val="tx1"/>
            </w14:solidFill>
          </w14:textFill>
        </w:rPr>
      </w:pPr>
      <w:r>
        <w:rPr>
          <w:rFonts w:eastAsia="黑体"/>
          <w:bCs/>
          <w:color w:val="000000" w:themeColor="text1"/>
          <w:kern w:val="0"/>
          <w:szCs w:val="32"/>
          <w:lang w:val="zh-CN"/>
          <w14:textFill>
            <w14:solidFill>
              <w14:schemeClr w14:val="tx1"/>
            </w14:solidFill>
          </w14:textFill>
        </w:rPr>
        <w:t>专栏</w:t>
      </w:r>
      <w:r>
        <w:rPr>
          <w:rFonts w:eastAsia="黑体"/>
          <w:bCs/>
          <w:color w:val="000000" w:themeColor="text1"/>
          <w:kern w:val="0"/>
          <w:szCs w:val="32"/>
          <w14:textFill>
            <w14:solidFill>
              <w14:schemeClr w14:val="tx1"/>
            </w14:solidFill>
          </w14:textFill>
        </w:rPr>
        <w:t>3</w:t>
      </w:r>
      <w:r>
        <w:rPr>
          <w:rFonts w:eastAsia="黑体"/>
          <w:bCs/>
          <w:color w:val="000000" w:themeColor="text1"/>
          <w:kern w:val="0"/>
          <w:szCs w:val="32"/>
          <w:lang w:val="zh-CN"/>
          <w14:textFill>
            <w14:solidFill>
              <w14:schemeClr w14:val="tx1"/>
            </w14:solidFill>
          </w14:textFill>
        </w:rPr>
        <w:t xml:space="preserve">  “双创”领域重点工程</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298" w:type="dxa"/>
            <w:vAlign w:val="center"/>
          </w:tcPr>
          <w:p>
            <w:pPr>
              <w:spacing w:line="440" w:lineRule="atLeast"/>
              <w:ind w:firstLine="562"/>
              <w:rPr>
                <w:caps/>
                <w:color w:val="000000" w:themeColor="text1"/>
                <w:kern w:val="0"/>
                <w:sz w:val="28"/>
                <w:szCs w:val="28"/>
                <w:lang w:val="zh-CN"/>
                <w14:textFill>
                  <w14:solidFill>
                    <w14:schemeClr w14:val="tx1"/>
                  </w14:solidFill>
                </w14:textFill>
              </w:rPr>
            </w:pPr>
            <w:r>
              <w:rPr>
                <w:b/>
                <w:caps/>
                <w:color w:val="000000" w:themeColor="text1"/>
                <w:kern w:val="0"/>
                <w:sz w:val="28"/>
                <w:szCs w:val="28"/>
                <w:lang w:val="zh-CN"/>
                <w14:textFill>
                  <w14:solidFill>
                    <w14:schemeClr w14:val="tx1"/>
                  </w14:solidFill>
                </w14:textFill>
              </w:rPr>
              <w:t>高新技术企业培育工程。</w:t>
            </w:r>
            <w:r>
              <w:rPr>
                <w:caps/>
                <w:color w:val="000000" w:themeColor="text1"/>
                <w:kern w:val="0"/>
                <w:sz w:val="28"/>
                <w:szCs w:val="28"/>
                <w:lang w:val="zh-CN"/>
                <w14:textFill>
                  <w14:solidFill>
                    <w14:schemeClr w14:val="tx1"/>
                  </w14:solidFill>
                </w14:textFill>
              </w:rPr>
              <w:t>围绕高端装备制造、电子信息、新能源汽车、生物医药等制造业重点领域和产业热点，进一步出台包括降低企业研发成本、加大培育资金投入力度、提升企业创新能力、推动企业创新性产品应用推广、落实企业股权激励等一系列政策措施，有效培育一批制造业高新技术企业，力争“十四五”期间</w:t>
            </w:r>
            <w:r>
              <w:rPr>
                <w:rFonts w:hint="eastAsia"/>
                <w:caps/>
                <w:color w:val="000000" w:themeColor="text1"/>
                <w:kern w:val="0"/>
                <w:sz w:val="28"/>
                <w:szCs w:val="28"/>
                <w:lang w:val="zh-CN"/>
                <w14:textFill>
                  <w14:solidFill>
                    <w14:schemeClr w14:val="tx1"/>
                  </w14:solidFill>
                </w14:textFill>
              </w:rPr>
              <w:t>，</w:t>
            </w:r>
            <w:r>
              <w:rPr>
                <w:caps/>
                <w:color w:val="000000" w:themeColor="text1"/>
                <w:kern w:val="0"/>
                <w:sz w:val="28"/>
                <w:szCs w:val="28"/>
                <w:lang w:val="zh-CN"/>
                <w14:textFill>
                  <w14:solidFill>
                    <w14:schemeClr w14:val="tx1"/>
                  </w14:solidFill>
                </w14:textFill>
              </w:rPr>
              <w:t>新认定国家级高新技术企业1</w:t>
            </w:r>
            <w:r>
              <w:rPr>
                <w:caps/>
                <w:color w:val="000000" w:themeColor="text1"/>
                <w:kern w:val="0"/>
                <w:sz w:val="28"/>
                <w:szCs w:val="28"/>
                <w14:textFill>
                  <w14:solidFill>
                    <w14:schemeClr w14:val="tx1"/>
                  </w14:solidFill>
                </w14:textFill>
              </w:rPr>
              <w:t>2</w:t>
            </w:r>
            <w:r>
              <w:rPr>
                <w:caps/>
                <w:color w:val="000000" w:themeColor="text1"/>
                <w:kern w:val="0"/>
                <w:sz w:val="28"/>
                <w:szCs w:val="28"/>
                <w:lang w:val="zh-CN"/>
                <w14:textFill>
                  <w14:solidFill>
                    <w14:schemeClr w14:val="tx1"/>
                  </w14:solidFill>
                </w14:textFill>
              </w:rPr>
              <w:t>0家</w:t>
            </w:r>
            <w:r>
              <w:rPr>
                <w:rFonts w:hint="eastAsia"/>
                <w:caps/>
                <w:color w:val="000000" w:themeColor="text1"/>
                <w:kern w:val="0"/>
                <w:sz w:val="28"/>
                <w:szCs w:val="28"/>
                <w:lang w:val="zh-CN"/>
                <w14:textFill>
                  <w14:solidFill>
                    <w14:schemeClr w14:val="tx1"/>
                  </w14:solidFill>
                </w14:textFill>
              </w:rPr>
              <w:t>以上</w:t>
            </w:r>
            <w:r>
              <w:rPr>
                <w:caps/>
                <w:color w:val="000000" w:themeColor="text1"/>
                <w:kern w:val="0"/>
                <w:sz w:val="28"/>
                <w:szCs w:val="28"/>
                <w:lang w:val="zh-CN"/>
                <w14:textFill>
                  <w14:solidFill>
                    <w14:schemeClr w14:val="tx1"/>
                  </w14:solidFill>
                </w14:textFill>
              </w:rPr>
              <w:t>。</w:t>
            </w:r>
          </w:p>
          <w:p>
            <w:pPr>
              <w:spacing w:line="440" w:lineRule="atLeast"/>
              <w:ind w:firstLine="562"/>
              <w:rPr>
                <w:caps/>
                <w:color w:val="000000" w:themeColor="text1"/>
                <w:kern w:val="0"/>
                <w:sz w:val="28"/>
                <w:szCs w:val="28"/>
                <w:lang w:val="zh-CN"/>
                <w14:textFill>
                  <w14:solidFill>
                    <w14:schemeClr w14:val="tx1"/>
                  </w14:solidFill>
                </w14:textFill>
              </w:rPr>
            </w:pPr>
            <w:r>
              <w:rPr>
                <w:b/>
                <w:caps/>
                <w:color w:val="000000" w:themeColor="text1"/>
                <w:kern w:val="0"/>
                <w:sz w:val="28"/>
                <w:szCs w:val="28"/>
                <w:lang w:val="zh-CN"/>
                <w14:textFill>
                  <w14:solidFill>
                    <w14:schemeClr w14:val="tx1"/>
                  </w14:solidFill>
                </w14:textFill>
              </w:rPr>
              <w:t>专业化载体平台倍增工程。</w:t>
            </w:r>
            <w:r>
              <w:rPr>
                <w:caps/>
                <w:color w:val="000000" w:themeColor="text1"/>
                <w:kern w:val="0"/>
                <w:sz w:val="28"/>
                <w:szCs w:val="28"/>
                <w:lang w:val="zh-CN"/>
                <w14:textFill>
                  <w14:solidFill>
                    <w14:schemeClr w14:val="tx1"/>
                  </w14:solidFill>
                </w14:textFill>
              </w:rPr>
              <w:t>引入一批国内外一流的孵化器、众创空间，推动形成品牌化双创载体平台集聚区。按照国家关于依托专业化众创空间推动实体经济转型升级要求，打造形成有效服务区内支柱产业转型升级的以行业领军企业为核心的产业链纵向孵化体系，力争“十四五”末</w:t>
            </w:r>
            <w:r>
              <w:rPr>
                <w:rFonts w:hint="eastAsia"/>
                <w:caps/>
                <w:color w:val="000000" w:themeColor="text1"/>
                <w:kern w:val="0"/>
                <w:sz w:val="28"/>
                <w:szCs w:val="28"/>
                <w:lang w:val="zh-CN"/>
                <w14:textFill>
                  <w14:solidFill>
                    <w14:schemeClr w14:val="tx1"/>
                  </w14:solidFill>
                </w14:textFill>
              </w:rPr>
              <w:t>，</w:t>
            </w:r>
            <w:r>
              <w:rPr>
                <w:caps/>
                <w:color w:val="000000" w:themeColor="text1"/>
                <w:kern w:val="0"/>
                <w:sz w:val="28"/>
                <w:szCs w:val="28"/>
                <w:lang w:val="zh-CN"/>
                <w14:textFill>
                  <w14:solidFill>
                    <w14:schemeClr w14:val="tx1"/>
                  </w14:solidFill>
                </w14:textFill>
              </w:rPr>
              <w:t>全区双创孵化载体数量翻一番。</w:t>
            </w:r>
          </w:p>
          <w:p>
            <w:pPr>
              <w:spacing w:line="440" w:lineRule="atLeast"/>
              <w:ind w:firstLine="562"/>
              <w:rPr>
                <w:caps/>
                <w:color w:val="000000" w:themeColor="text1"/>
                <w:kern w:val="0"/>
                <w:sz w:val="28"/>
                <w:szCs w:val="28"/>
                <w:lang w:val="zh-CN"/>
                <w14:textFill>
                  <w14:solidFill>
                    <w14:schemeClr w14:val="tx1"/>
                  </w14:solidFill>
                </w14:textFill>
              </w:rPr>
            </w:pPr>
            <w:r>
              <w:rPr>
                <w:b/>
                <w:caps/>
                <w:color w:val="000000" w:themeColor="text1"/>
                <w:kern w:val="0"/>
                <w:sz w:val="28"/>
                <w:szCs w:val="28"/>
                <w:lang w:val="zh-CN"/>
                <w14:textFill>
                  <w14:solidFill>
                    <w14:schemeClr w14:val="tx1"/>
                  </w14:solidFill>
                </w14:textFill>
              </w:rPr>
              <w:t>新型研发机构培育工程。</w:t>
            </w:r>
            <w:r>
              <w:rPr>
                <w:caps/>
                <w:color w:val="000000" w:themeColor="text1"/>
                <w:kern w:val="0"/>
                <w:sz w:val="28"/>
                <w:szCs w:val="28"/>
                <w:lang w:val="zh-CN"/>
                <w14:textFill>
                  <w14:solidFill>
                    <w14:schemeClr w14:val="tx1"/>
                  </w14:solidFill>
                </w14:textFill>
              </w:rPr>
              <w:t>依托国家双创示范基地横向协作机制，推动一批高校科研院所双创示范基地与区内标杆企业深度合作，以共建市场化研发中心形式落地园区，构建服务昆明市乃至西南地区的知识产权交易中心和辐射南亚东南亚地区的国际技术转移中心。力争“十四五”期间</w:t>
            </w:r>
            <w:r>
              <w:rPr>
                <w:rFonts w:hint="eastAsia"/>
                <w:caps/>
                <w:color w:val="000000" w:themeColor="text1"/>
                <w:kern w:val="0"/>
                <w:sz w:val="28"/>
                <w:szCs w:val="28"/>
                <w:lang w:val="zh-CN"/>
                <w14:textFill>
                  <w14:solidFill>
                    <w14:schemeClr w14:val="tx1"/>
                  </w14:solidFill>
                </w14:textFill>
              </w:rPr>
              <w:t>，</w:t>
            </w:r>
            <w:r>
              <w:rPr>
                <w:caps/>
                <w:color w:val="000000" w:themeColor="text1"/>
                <w:kern w:val="0"/>
                <w:sz w:val="28"/>
                <w:szCs w:val="28"/>
                <w:lang w:val="zh-CN"/>
                <w14:textFill>
                  <w14:solidFill>
                    <w14:schemeClr w14:val="tx1"/>
                  </w14:solidFill>
                </w14:textFill>
              </w:rPr>
              <w:t>新建1家以上国家级新型研发机构。</w:t>
            </w:r>
          </w:p>
          <w:p>
            <w:pPr>
              <w:spacing w:line="440" w:lineRule="atLeast"/>
              <w:ind w:firstLine="562"/>
              <w:rPr>
                <w:caps/>
                <w:color w:val="000000" w:themeColor="text1"/>
                <w:kern w:val="0"/>
                <w:sz w:val="28"/>
                <w:szCs w:val="28"/>
                <w:lang w:val="zh-CN"/>
                <w14:textFill>
                  <w14:solidFill>
                    <w14:schemeClr w14:val="tx1"/>
                  </w14:solidFill>
                </w14:textFill>
              </w:rPr>
            </w:pPr>
            <w:r>
              <w:rPr>
                <w:b/>
                <w:caps/>
                <w:color w:val="000000" w:themeColor="text1"/>
                <w:kern w:val="0"/>
                <w:sz w:val="28"/>
                <w:szCs w:val="28"/>
                <w:lang w:val="zh-CN"/>
                <w14:textFill>
                  <w14:solidFill>
                    <w14:schemeClr w14:val="tx1"/>
                  </w14:solidFill>
                </w14:textFill>
              </w:rPr>
              <w:t>大中小企业融通创新工程。</w:t>
            </w:r>
            <w:r>
              <w:rPr>
                <w:caps/>
                <w:color w:val="000000" w:themeColor="text1"/>
                <w:kern w:val="0"/>
                <w:sz w:val="28"/>
                <w:szCs w:val="28"/>
                <w:lang w:val="zh-CN"/>
                <w14:textFill>
                  <w14:solidFill>
                    <w14:schemeClr w14:val="tx1"/>
                  </w14:solidFill>
                </w14:textFill>
              </w:rPr>
              <w:t>以构建大企业与中小企业协同创新、共享资源、融合发展的产业生态为目标，着力发挥大企业引领支撑作用，提高中小企业专业化水平，积极探索符合园区特点的融通发展模式。力求到“十四五”末</w:t>
            </w:r>
            <w:r>
              <w:rPr>
                <w:rFonts w:hint="eastAsia"/>
                <w:caps/>
                <w:color w:val="000000" w:themeColor="text1"/>
                <w:kern w:val="0"/>
                <w:sz w:val="28"/>
                <w:szCs w:val="28"/>
                <w:lang w:val="zh-CN"/>
                <w14:textFill>
                  <w14:solidFill>
                    <w14:schemeClr w14:val="tx1"/>
                  </w14:solidFill>
                </w14:textFill>
              </w:rPr>
              <w:t>，</w:t>
            </w:r>
            <w:r>
              <w:rPr>
                <w:caps/>
                <w:color w:val="000000" w:themeColor="text1"/>
                <w:kern w:val="0"/>
                <w:sz w:val="28"/>
                <w:szCs w:val="28"/>
                <w:lang w:val="zh-CN"/>
                <w14:textFill>
                  <w14:solidFill>
                    <w14:schemeClr w14:val="tx1"/>
                  </w14:solidFill>
                </w14:textFill>
              </w:rPr>
              <w:t>形成大企业带动中小企业发展、中小企业为大企业注入活力的融通发展新格局。</w:t>
            </w:r>
          </w:p>
          <w:p>
            <w:pPr>
              <w:spacing w:line="440" w:lineRule="atLeast"/>
              <w:ind w:firstLine="562"/>
              <w:rPr>
                <w:caps/>
                <w:color w:val="000000" w:themeColor="text1"/>
                <w:kern w:val="0"/>
                <w:sz w:val="28"/>
                <w:szCs w:val="28"/>
                <w:lang w:val="zh-CN"/>
                <w14:textFill>
                  <w14:solidFill>
                    <w14:schemeClr w14:val="tx1"/>
                  </w14:solidFill>
                </w14:textFill>
              </w:rPr>
            </w:pPr>
            <w:r>
              <w:rPr>
                <w:b/>
                <w:caps/>
                <w:color w:val="000000" w:themeColor="text1"/>
                <w:kern w:val="0"/>
                <w:sz w:val="28"/>
                <w:szCs w:val="28"/>
                <w:lang w:val="zh-CN"/>
                <w14:textFill>
                  <w14:solidFill>
                    <w14:schemeClr w14:val="tx1"/>
                  </w14:solidFill>
                </w14:textFill>
              </w:rPr>
              <w:t>创投主体培育工程。</w:t>
            </w:r>
            <w:r>
              <w:rPr>
                <w:caps/>
                <w:color w:val="000000" w:themeColor="text1"/>
                <w:kern w:val="0"/>
                <w:sz w:val="28"/>
                <w:szCs w:val="28"/>
                <w:lang w:val="zh-CN"/>
                <w14:textFill>
                  <w14:solidFill>
                    <w14:schemeClr w14:val="tx1"/>
                  </w14:solidFill>
                </w14:textFill>
              </w:rPr>
              <w:t>通过引入一流的创投孵化器，有效培育孵化一批既具备较高创投资本管理能力又熟悉本地创业环境和产业特点的创投基金投资人。依托区内行业领军企业、商业银行、证券基金、保险公司等各类机构投资者资源，以政府引导方式设立一批聚焦细分行业的创投基金，申请国家新兴产业创业投资引导基金。建立面向国内顶尖创投机构和投资人的常态化路演和大赛机制。力争到“十四五”末</w:t>
            </w:r>
            <w:r>
              <w:rPr>
                <w:rFonts w:hint="eastAsia"/>
                <w:caps/>
                <w:color w:val="000000" w:themeColor="text1"/>
                <w:kern w:val="0"/>
                <w:sz w:val="28"/>
                <w:szCs w:val="28"/>
                <w:lang w:val="zh-CN"/>
                <w14:textFill>
                  <w14:solidFill>
                    <w14:schemeClr w14:val="tx1"/>
                  </w14:solidFill>
                </w14:textFill>
              </w:rPr>
              <w:t>，</w:t>
            </w:r>
            <w:r>
              <w:rPr>
                <w:caps/>
                <w:color w:val="000000" w:themeColor="text1"/>
                <w:kern w:val="0"/>
                <w:sz w:val="28"/>
                <w:szCs w:val="28"/>
                <w:lang w:val="zh-CN"/>
                <w14:textFill>
                  <w14:solidFill>
                    <w14:schemeClr w14:val="tx1"/>
                  </w14:solidFill>
                </w14:textFill>
              </w:rPr>
              <w:t>构建在西南地区具有较高知名度的创业投资生态体系。</w:t>
            </w:r>
          </w:p>
          <w:p>
            <w:pPr>
              <w:spacing w:line="440" w:lineRule="atLeast"/>
              <w:ind w:firstLine="562"/>
              <w:rPr>
                <w:caps/>
                <w:color w:val="000000" w:themeColor="text1"/>
                <w:sz w:val="28"/>
                <w:szCs w:val="28"/>
                <w14:textFill>
                  <w14:solidFill>
                    <w14:schemeClr w14:val="tx1"/>
                  </w14:solidFill>
                </w14:textFill>
              </w:rPr>
            </w:pPr>
            <w:r>
              <w:rPr>
                <w:b/>
                <w:caps/>
                <w:color w:val="000000" w:themeColor="text1"/>
                <w:kern w:val="0"/>
                <w:sz w:val="28"/>
                <w:szCs w:val="28"/>
                <w:lang w:val="zh-CN"/>
                <w14:textFill>
                  <w14:solidFill>
                    <w14:schemeClr w14:val="tx1"/>
                  </w14:solidFill>
                </w14:textFill>
              </w:rPr>
              <w:t>高层次人才引进工程。</w:t>
            </w:r>
            <w:r>
              <w:rPr>
                <w:caps/>
                <w:color w:val="000000" w:themeColor="text1"/>
                <w:kern w:val="0"/>
                <w:sz w:val="28"/>
                <w:szCs w:val="28"/>
                <w:lang w:val="zh-CN"/>
                <w14:textFill>
                  <w14:solidFill>
                    <w14:schemeClr w14:val="tx1"/>
                  </w14:solidFill>
                </w14:textFill>
              </w:rPr>
              <w:t>适应创新驱动发展、产业优化升级要求，以高层次创新创业人才为重点，努力引进高水平科学家、科技领军人才、工程师、企业家、复合型人才和创新创业团队，建设一支高层次创新创业人才队伍，加快人才发展国际化步伐。力争“十四五”期间</w:t>
            </w:r>
            <w:r>
              <w:rPr>
                <w:rFonts w:hint="eastAsia"/>
                <w:caps/>
                <w:color w:val="000000" w:themeColor="text1"/>
                <w:kern w:val="0"/>
                <w:sz w:val="28"/>
                <w:szCs w:val="28"/>
                <w:lang w:val="zh-CN"/>
                <w14:textFill>
                  <w14:solidFill>
                    <w14:schemeClr w14:val="tx1"/>
                  </w14:solidFill>
                </w14:textFill>
              </w:rPr>
              <w:t>，</w:t>
            </w:r>
            <w:r>
              <w:rPr>
                <w:caps/>
                <w:color w:val="000000" w:themeColor="text1"/>
                <w:kern w:val="0"/>
                <w:sz w:val="28"/>
                <w:szCs w:val="28"/>
                <w:lang w:val="zh-CN"/>
                <w14:textFill>
                  <w14:solidFill>
                    <w14:schemeClr w14:val="tx1"/>
                  </w14:solidFill>
                </w14:textFill>
              </w:rPr>
              <w:t>引进海内</w:t>
            </w:r>
            <w:r>
              <w:rPr>
                <w:caps/>
                <w:color w:val="000000" w:themeColor="text1"/>
                <w:kern w:val="0"/>
                <w:sz w:val="28"/>
                <w:szCs w:val="28"/>
                <w14:textFill>
                  <w14:solidFill>
                    <w14:schemeClr w14:val="tx1"/>
                  </w14:solidFill>
                </w14:textFill>
              </w:rPr>
              <w:t>外</w:t>
            </w:r>
            <w:r>
              <w:rPr>
                <w:caps/>
                <w:color w:val="000000" w:themeColor="text1"/>
                <w:kern w:val="0"/>
                <w:sz w:val="28"/>
                <w:szCs w:val="28"/>
                <w:lang w:val="zh-CN"/>
                <w14:textFill>
                  <w14:solidFill>
                    <w14:schemeClr w14:val="tx1"/>
                  </w14:solidFill>
                </w14:textFill>
              </w:rPr>
              <w:t>高层次人才100人。</w:t>
            </w:r>
          </w:p>
        </w:tc>
      </w:tr>
    </w:tbl>
    <w:p>
      <w:pPr>
        <w:pStyle w:val="2"/>
        <w:ind w:firstLine="646"/>
        <w:rPr>
          <w:color w:val="000000" w:themeColor="text1"/>
          <w14:textFill>
            <w14:solidFill>
              <w14:schemeClr w14:val="tx1"/>
            </w14:solidFill>
          </w14:textFill>
        </w:rPr>
      </w:pPr>
    </w:p>
    <w:bookmarkEnd w:id="95"/>
    <w:bookmarkEnd w:id="96"/>
    <w:bookmarkEnd w:id="97"/>
    <w:bookmarkEnd w:id="98"/>
    <w:bookmarkEnd w:id="99"/>
    <w:bookmarkEnd w:id="100"/>
    <w:bookmarkEnd w:id="101"/>
    <w:p>
      <w:pPr>
        <w:pStyle w:val="33"/>
        <w:spacing w:line="560" w:lineRule="atLeast"/>
        <w:ind w:firstLine="640"/>
        <w:rPr>
          <w:color w:val="000000" w:themeColor="text1"/>
          <w:szCs w:val="32"/>
          <w14:textFill>
            <w14:solidFill>
              <w14:schemeClr w14:val="tx1"/>
            </w14:solidFill>
          </w14:textFill>
        </w:rPr>
        <w:sectPr>
          <w:pgSz w:w="11906" w:h="16838"/>
          <w:pgMar w:top="2041" w:right="1418" w:bottom="1701" w:left="1418" w:header="851" w:footer="1361" w:gutter="0"/>
          <w:cols w:space="720" w:num="1"/>
          <w:docGrid w:linePitch="312" w:charSpace="0"/>
        </w:sectPr>
      </w:pPr>
      <w:bookmarkStart w:id="106" w:name="_Toc5587"/>
      <w:bookmarkStart w:id="107" w:name="_Toc19261"/>
      <w:bookmarkStart w:id="108" w:name="_Toc54533656"/>
      <w:bookmarkStart w:id="109" w:name="_Toc56452567"/>
      <w:bookmarkStart w:id="110" w:name="_Toc6255"/>
      <w:bookmarkStart w:id="111" w:name="_Toc17824"/>
      <w:bookmarkStart w:id="112" w:name="_Toc13995"/>
    </w:p>
    <w:bookmarkEnd w:id="106"/>
    <w:bookmarkEnd w:id="107"/>
    <w:bookmarkEnd w:id="108"/>
    <w:bookmarkEnd w:id="109"/>
    <w:bookmarkEnd w:id="110"/>
    <w:bookmarkEnd w:id="111"/>
    <w:bookmarkEnd w:id="112"/>
    <w:p>
      <w:pPr>
        <w:ind w:firstLine="640"/>
        <w:rPr>
          <w:color w:val="000000" w:themeColor="text1"/>
          <w14:textFill>
            <w14:solidFill>
              <w14:schemeClr w14:val="tx1"/>
            </w14:solidFill>
          </w14:textFill>
        </w:rPr>
      </w:pPr>
      <w:bookmarkStart w:id="113" w:name="_Toc13339"/>
      <w:bookmarkStart w:id="114" w:name="_Toc65069777"/>
    </w:p>
    <w:p>
      <w:pPr>
        <w:spacing w:line="700" w:lineRule="atLeast"/>
        <w:ind w:firstLine="0" w:firstLineChars="0"/>
        <w:jc w:val="center"/>
        <w:outlineLvl w:val="0"/>
        <w:rPr>
          <w:rFonts w:eastAsia="方正小标宋_GBK"/>
          <w:bCs/>
          <w:color w:val="000000" w:themeColor="text1"/>
          <w:kern w:val="44"/>
          <w:sz w:val="44"/>
          <w:szCs w:val="32"/>
          <w14:textFill>
            <w14:solidFill>
              <w14:schemeClr w14:val="tx1"/>
            </w14:solidFill>
          </w14:textFill>
        </w:rPr>
      </w:pPr>
      <w:bookmarkStart w:id="115" w:name="_Toc14097"/>
      <w:r>
        <w:rPr>
          <w:rFonts w:eastAsia="方正小标宋_GBK"/>
          <w:bCs/>
          <w:color w:val="000000" w:themeColor="text1"/>
          <w:kern w:val="44"/>
          <w:sz w:val="44"/>
          <w:szCs w:val="32"/>
          <w14:textFill>
            <w14:solidFill>
              <w14:schemeClr w14:val="tx1"/>
            </w14:solidFill>
          </w14:textFill>
        </w:rPr>
        <w:t>第五章  构建现代产业新体系</w:t>
      </w:r>
      <w:bookmarkEnd w:id="115"/>
    </w:p>
    <w:p>
      <w:pPr>
        <w:spacing w:line="560" w:lineRule="atLeast"/>
        <w:ind w:firstLine="640"/>
        <w:rPr>
          <w:color w:val="000000" w:themeColor="text1"/>
          <w:szCs w:val="32"/>
          <w14:textFill>
            <w14:solidFill>
              <w14:schemeClr w14:val="tx1"/>
            </w14:solidFill>
          </w14:textFill>
        </w:rPr>
      </w:pP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坚持产业立区、工业强区，强化制造业的支撑作用，大力实施产业提升“241”工程，巩固提升建筑业、</w:t>
      </w:r>
      <w:r>
        <w:rPr>
          <w:rFonts w:hint="eastAsia"/>
          <w:color w:val="000000" w:themeColor="text1"/>
          <w:szCs w:val="32"/>
          <w14:textFill>
            <w14:solidFill>
              <w14:schemeClr w14:val="tx1"/>
            </w14:solidFill>
          </w14:textFill>
        </w:rPr>
        <w:t>商贸</w:t>
      </w:r>
      <w:r>
        <w:rPr>
          <w:color w:val="000000" w:themeColor="text1"/>
          <w:szCs w:val="32"/>
          <w14:textFill>
            <w14:solidFill>
              <w14:schemeClr w14:val="tx1"/>
            </w14:solidFill>
          </w14:textFill>
        </w:rPr>
        <w:t>物流</w:t>
      </w:r>
      <w:r>
        <w:rPr>
          <w:rFonts w:hint="eastAsia"/>
          <w:color w:val="000000" w:themeColor="text1"/>
          <w:szCs w:val="32"/>
          <w14:textFill>
            <w14:solidFill>
              <w14:schemeClr w14:val="tx1"/>
            </w14:solidFill>
          </w14:textFill>
        </w:rPr>
        <w:t>2个千亿级产业</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做大做强装备制造、烟草及配套、新材料、生物医药及健康产品4个支柱产业</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把握数字化赋能经济社会发展的大趋势</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培育壮大1个以上新兴产业，</w:t>
      </w:r>
      <w:r>
        <w:rPr>
          <w:color w:val="000000" w:themeColor="text1"/>
          <w:szCs w:val="32"/>
          <w14:textFill>
            <w14:solidFill>
              <w14:schemeClr w14:val="tx1"/>
            </w14:solidFill>
          </w14:textFill>
        </w:rPr>
        <w:t>建立起比较完备、较强竞争力、辐射带动能力和地方特色的现代产业体系。</w:t>
      </w:r>
    </w:p>
    <w:p>
      <w:pPr>
        <w:spacing w:before="240" w:beforeLines="100" w:after="240" w:afterLines="100" w:line="560" w:lineRule="atLeast"/>
        <w:ind w:firstLine="0" w:firstLineChars="0"/>
        <w:jc w:val="center"/>
        <w:outlineLvl w:val="1"/>
        <w:rPr>
          <w:rFonts w:eastAsia="楷体_GB2312"/>
          <w:b/>
          <w:bCs/>
          <w:color w:val="000000" w:themeColor="text1"/>
          <w:szCs w:val="32"/>
          <w14:textFill>
            <w14:solidFill>
              <w14:schemeClr w14:val="tx1"/>
            </w14:solidFill>
          </w14:textFill>
        </w:rPr>
      </w:pPr>
      <w:bookmarkStart w:id="116" w:name="_Toc6439"/>
      <w:r>
        <w:rPr>
          <w:rFonts w:eastAsia="楷体_GB2312"/>
          <w:b/>
          <w:bCs/>
          <w:color w:val="000000" w:themeColor="text1"/>
          <w:szCs w:val="32"/>
          <w14:textFill>
            <w14:solidFill>
              <w14:schemeClr w14:val="tx1"/>
            </w14:solidFill>
          </w14:textFill>
        </w:rPr>
        <w:t>第一节　做大做强支柱产业</w:t>
      </w:r>
      <w:bookmarkEnd w:id="116"/>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一、大力发展高端制造</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装备制造业。</w:t>
      </w:r>
      <w:r>
        <w:rPr>
          <w:rFonts w:hint="eastAsia"/>
          <w:color w:val="000000" w:themeColor="text1"/>
          <w:szCs w:val="32"/>
          <w14:textFill>
            <w14:solidFill>
              <w14:schemeClr w14:val="tx1"/>
            </w14:solidFill>
          </w14:textFill>
        </w:rPr>
        <w:t>支持</w:t>
      </w:r>
      <w:r>
        <w:rPr>
          <w:color w:val="000000" w:themeColor="text1"/>
          <w:szCs w:val="32"/>
          <w14:textFill>
            <w14:solidFill>
              <w14:schemeClr w14:val="tx1"/>
            </w14:solidFill>
          </w14:textFill>
        </w:rPr>
        <w:t>云内动力丰富产品类别，增强市场竞争力</w:t>
      </w:r>
      <w:r>
        <w:rPr>
          <w:rFonts w:hint="eastAsia"/>
          <w:color w:val="000000" w:themeColor="text1"/>
          <w:szCs w:val="32"/>
          <w14:textFill>
            <w14:solidFill>
              <w14:schemeClr w14:val="tx1"/>
            </w14:solidFill>
          </w14:textFill>
        </w:rPr>
        <w:t>，加快</w:t>
      </w:r>
      <w:r>
        <w:rPr>
          <w:color w:val="000000" w:themeColor="text1"/>
          <w:szCs w:val="32"/>
          <w14:textFill>
            <w14:solidFill>
              <w14:schemeClr w14:val="tx1"/>
            </w14:solidFill>
          </w14:textFill>
        </w:rPr>
        <w:t>完成G系列节能环保轻型商用汽油机产业化及研发平台项目建设，开工D25/D30国六柴油机缸体缸盖年产10万件智能化生产线产能扩建、G系列节能环保轻型商用汽油机20万台产能提升等项目。加快云南绿色能源产业园建设，发展新能源汽车整车产业。引进一批新能源汽车零部件企业，培育新能源汽车装置配件制造、发动机、电机、电池等新能源汽车零部件制造产业。支持昆船智能、云南CY集团、嘉和科技、昆钢重装等重点企业发展壮大。加强设计制造综合性机械与精密部件的关键技术的引进和研发，积极发展高端模具、精密铸件等精密制造产业。</w:t>
      </w:r>
      <w:r>
        <w:rPr>
          <w:rFonts w:hint="eastAsia"/>
          <w:color w:val="000000" w:themeColor="text1"/>
          <w:szCs w:val="32"/>
          <w14:textFill>
            <w14:solidFill>
              <w14:schemeClr w14:val="tx1"/>
            </w14:solidFill>
          </w14:textFill>
        </w:rPr>
        <w:t>依托</w:t>
      </w:r>
      <w:r>
        <w:rPr>
          <w:color w:val="000000" w:themeColor="text1"/>
          <w:szCs w:val="32"/>
          <w14:textFill>
            <w14:solidFill>
              <w14:schemeClr w14:val="tx1"/>
            </w14:solidFill>
          </w14:textFill>
        </w:rPr>
        <w:t>普洛斯昆明环普产业园、能投装备制造产业园等园区</w:t>
      </w:r>
      <w:r>
        <w:rPr>
          <w:rFonts w:hint="eastAsia"/>
          <w:color w:val="000000" w:themeColor="text1"/>
          <w:szCs w:val="32"/>
          <w14:textFill>
            <w14:solidFill>
              <w14:schemeClr w14:val="tx1"/>
            </w14:solidFill>
          </w14:textFill>
        </w:rPr>
        <w:t>重点</w:t>
      </w:r>
      <w:r>
        <w:rPr>
          <w:color w:val="000000" w:themeColor="text1"/>
          <w:szCs w:val="32"/>
          <w14:textFill>
            <w14:solidFill>
              <w14:schemeClr w14:val="tx1"/>
            </w14:solidFill>
          </w14:textFill>
        </w:rPr>
        <w:t>引进一批全国装备行业</w:t>
      </w:r>
      <w:r>
        <w:rPr>
          <w:rFonts w:hint="eastAsia"/>
          <w:color w:val="000000" w:themeColor="text1"/>
          <w:szCs w:val="32"/>
          <w14:textFill>
            <w14:solidFill>
              <w14:schemeClr w14:val="tx1"/>
            </w14:solidFill>
          </w14:textFill>
        </w:rPr>
        <w:t>领军</w:t>
      </w:r>
      <w:r>
        <w:rPr>
          <w:color w:val="000000" w:themeColor="text1"/>
          <w:szCs w:val="32"/>
          <w14:textFill>
            <w14:solidFill>
              <w14:schemeClr w14:val="tx1"/>
            </w14:solidFill>
          </w14:textFill>
        </w:rPr>
        <w:t>企业。力争到2025年，装备制造业产值</w:t>
      </w:r>
      <w:r>
        <w:rPr>
          <w:rFonts w:hint="eastAsia"/>
          <w:color w:val="000000" w:themeColor="text1"/>
          <w:szCs w:val="32"/>
          <w14:textFill>
            <w14:solidFill>
              <w14:schemeClr w14:val="tx1"/>
            </w14:solidFill>
          </w14:textFill>
        </w:rPr>
        <w:t>接近</w:t>
      </w:r>
      <w:r>
        <w:rPr>
          <w:color w:val="000000" w:themeColor="text1"/>
          <w:szCs w:val="32"/>
          <w14:textFill>
            <w14:solidFill>
              <w14:schemeClr w14:val="tx1"/>
            </w14:solidFill>
          </w14:textFill>
        </w:rPr>
        <w:t>300亿元。</w:t>
      </w:r>
    </w:p>
    <w:p>
      <w:pPr>
        <w:spacing w:before="240" w:beforeLines="100" w:after="120" w:afterLines="50"/>
        <w:ind w:firstLine="0" w:firstLineChars="0"/>
        <w:jc w:val="center"/>
        <w:rPr>
          <w:rFonts w:eastAsia="黑体"/>
          <w:bCs/>
          <w:color w:val="000000" w:themeColor="text1"/>
          <w:szCs w:val="32"/>
          <w14:textFill>
            <w14:solidFill>
              <w14:schemeClr w14:val="tx1"/>
            </w14:solidFill>
          </w14:textFill>
        </w:rPr>
      </w:pPr>
      <w:r>
        <w:rPr>
          <w:rFonts w:eastAsia="黑体"/>
          <w:bCs/>
          <w:color w:val="000000" w:themeColor="text1"/>
          <w:kern w:val="0"/>
          <w:szCs w:val="32"/>
          <w:lang w:val="zh-CN"/>
          <w14:textFill>
            <w14:solidFill>
              <w14:schemeClr w14:val="tx1"/>
            </w14:solidFill>
          </w14:textFill>
        </w:rPr>
        <w:t>专栏</w:t>
      </w:r>
      <w:r>
        <w:rPr>
          <w:rFonts w:eastAsia="黑体"/>
          <w:bCs/>
          <w:color w:val="000000" w:themeColor="text1"/>
          <w:kern w:val="0"/>
          <w:szCs w:val="32"/>
          <w14:textFill>
            <w14:solidFill>
              <w14:schemeClr w14:val="tx1"/>
            </w14:solidFill>
          </w14:textFill>
        </w:rPr>
        <w:t xml:space="preserve">4  </w:t>
      </w:r>
      <w:r>
        <w:rPr>
          <w:rFonts w:eastAsia="黑体"/>
          <w:bCs/>
          <w:color w:val="000000" w:themeColor="text1"/>
          <w:kern w:val="0"/>
          <w:szCs w:val="32"/>
          <w:lang w:val="zh-CN"/>
          <w14:textFill>
            <w14:solidFill>
              <w14:schemeClr w14:val="tx1"/>
            </w14:solidFill>
          </w14:textFill>
        </w:rPr>
        <w:t>政府支持引导新技术、新装备推广应用途径</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298" w:type="dxa"/>
            <w:tcBorders>
              <w:top w:val="single" w:color="auto" w:sz="4" w:space="0"/>
              <w:left w:val="single" w:color="auto" w:sz="4" w:space="0"/>
              <w:bottom w:val="single" w:color="auto" w:sz="4" w:space="0"/>
              <w:right w:val="single" w:color="auto" w:sz="4" w:space="0"/>
            </w:tcBorders>
            <w:vAlign w:val="center"/>
          </w:tcPr>
          <w:p>
            <w:pPr>
              <w:spacing w:line="440" w:lineRule="atLeast"/>
              <w:ind w:firstLine="562"/>
              <w:rPr>
                <w:caps/>
                <w:color w:val="000000" w:themeColor="text1"/>
                <w:kern w:val="0"/>
                <w:sz w:val="28"/>
                <w:szCs w:val="28"/>
                <w:lang w:val="zh-CN"/>
                <w14:textFill>
                  <w14:solidFill>
                    <w14:schemeClr w14:val="tx1"/>
                  </w14:solidFill>
                </w14:textFill>
              </w:rPr>
            </w:pPr>
            <w:r>
              <w:rPr>
                <w:b/>
                <w:bCs/>
                <w:caps/>
                <w:color w:val="000000" w:themeColor="text1"/>
                <w:kern w:val="0"/>
                <w:sz w:val="28"/>
                <w:szCs w:val="28"/>
                <w:lang w:val="zh-CN"/>
                <w14:textFill>
                  <w14:solidFill>
                    <w14:schemeClr w14:val="tx1"/>
                  </w14:solidFill>
                </w14:textFill>
              </w:rPr>
              <w:t>财政支持智能制造新技术示范推广。</w:t>
            </w:r>
            <w:r>
              <w:rPr>
                <w:caps/>
                <w:color w:val="000000" w:themeColor="text1"/>
                <w:kern w:val="0"/>
                <w:sz w:val="28"/>
                <w:szCs w:val="28"/>
                <w:lang w:val="zh-CN"/>
                <w14:textFill>
                  <w14:solidFill>
                    <w14:schemeClr w14:val="tx1"/>
                  </w14:solidFill>
                </w14:textFill>
              </w:rPr>
              <w:t>完善智能制造、高端装备、工业互联网、工业软件等领域的政府专项扶持计划，对申报成功的重大装备自主创新示范项目、工业强基示范工程、制造业升级改造重大工程包、首台（套）重大技术装备等项目的企业，区级财政按一定比例给予企业配套补助或贷款贴息。</w:t>
            </w:r>
          </w:p>
          <w:p>
            <w:pPr>
              <w:spacing w:line="440" w:lineRule="atLeast"/>
              <w:ind w:firstLine="562"/>
              <w:rPr>
                <w:caps/>
                <w:color w:val="000000" w:themeColor="text1"/>
                <w:kern w:val="0"/>
                <w:sz w:val="28"/>
                <w:szCs w:val="28"/>
                <w:lang w:val="zh-CN"/>
                <w14:textFill>
                  <w14:solidFill>
                    <w14:schemeClr w14:val="tx1"/>
                  </w14:solidFill>
                </w14:textFill>
              </w:rPr>
            </w:pPr>
            <w:r>
              <w:rPr>
                <w:b/>
                <w:bCs/>
                <w:caps/>
                <w:color w:val="000000" w:themeColor="text1"/>
                <w:kern w:val="0"/>
                <w:sz w:val="28"/>
                <w:szCs w:val="28"/>
                <w:lang w:val="zh-CN"/>
                <w14:textFill>
                  <w14:solidFill>
                    <w14:schemeClr w14:val="tx1"/>
                  </w14:solidFill>
                </w14:textFill>
              </w:rPr>
              <w:t>政府工程项目等政府采购倾斜支持。</w:t>
            </w:r>
            <w:r>
              <w:rPr>
                <w:caps/>
                <w:color w:val="000000" w:themeColor="text1"/>
                <w:kern w:val="0"/>
                <w:sz w:val="28"/>
                <w:szCs w:val="28"/>
                <w:lang w:val="zh-CN"/>
                <w14:textFill>
                  <w14:solidFill>
                    <w14:schemeClr w14:val="tx1"/>
                  </w14:solidFill>
                </w14:textFill>
              </w:rPr>
              <w:t>围绕基础设施建设、重点产业园建设等重大工程，积极推动5G、自动驾驶、智慧城市、工业互联网等应用场景建设，为创新企业、创新产品拓展市场空间。落实首台（套）政府采购等政策，完善单一来源采购政策，依法通过单一来源采购等方式优先采用首台套产品。通过政府工程、政府采购带动新技术、新装备推广应用。</w:t>
            </w:r>
          </w:p>
          <w:p>
            <w:pPr>
              <w:spacing w:line="440" w:lineRule="atLeast"/>
              <w:ind w:firstLine="562"/>
              <w:rPr>
                <w:caps/>
                <w:color w:val="000000" w:themeColor="text1"/>
                <w:sz w:val="28"/>
                <w:szCs w:val="28"/>
                <w14:textFill>
                  <w14:solidFill>
                    <w14:schemeClr w14:val="tx1"/>
                  </w14:solidFill>
                </w14:textFill>
              </w:rPr>
            </w:pPr>
            <w:r>
              <w:rPr>
                <w:b/>
                <w:bCs/>
                <w:caps/>
                <w:color w:val="000000" w:themeColor="text1"/>
                <w:kern w:val="0"/>
                <w:sz w:val="28"/>
                <w:szCs w:val="28"/>
                <w:lang w:val="zh-CN"/>
                <w14:textFill>
                  <w14:solidFill>
                    <w14:schemeClr w14:val="tx1"/>
                  </w14:solidFill>
                </w14:textFill>
              </w:rPr>
              <w:t>推动城市公共服务领域的示范应用。</w:t>
            </w:r>
            <w:r>
              <w:rPr>
                <w:caps/>
                <w:color w:val="000000" w:themeColor="text1"/>
                <w:kern w:val="0"/>
                <w:sz w:val="28"/>
                <w:szCs w:val="28"/>
                <w:lang w:val="zh-CN"/>
                <w14:textFill>
                  <w14:solidFill>
                    <w14:schemeClr w14:val="tx1"/>
                  </w14:solidFill>
                </w14:textFill>
              </w:rPr>
              <w:t>优化城市充电设备和充电桩的布局，适度布局加氢站、氢气储运等配套设施建设，在城市公交、出租、物流等领域率先鼓励应用纯电动、氢燃料电池汽车，加速新能源汽车推广应用，加快新能源汽车产业基地建设。</w:t>
            </w:r>
          </w:p>
        </w:tc>
      </w:tr>
    </w:tbl>
    <w:p>
      <w:pPr>
        <w:tabs>
          <w:tab w:val="left" w:pos="2240"/>
        </w:tabs>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烟草及配套产业。</w:t>
      </w:r>
      <w:r>
        <w:rPr>
          <w:color w:val="000000" w:themeColor="text1"/>
          <w:szCs w:val="32"/>
          <w14:textFill>
            <w14:solidFill>
              <w14:schemeClr w14:val="tx1"/>
            </w14:solidFill>
          </w14:textFill>
        </w:rPr>
        <w:t>鼓励云南省烟叶烟草公司等企业加强新型烟草制品原料研究与开发，用现代科学技术改造烟草生产</w:t>
      </w:r>
      <w:r>
        <w:rPr>
          <w:rFonts w:hint="eastAsia"/>
          <w:color w:val="000000" w:themeColor="text1"/>
          <w:szCs w:val="32"/>
          <w14:textFill>
            <w14:solidFill>
              <w14:schemeClr w14:val="tx1"/>
            </w14:solidFill>
          </w14:textFill>
        </w:rPr>
        <w:t>工艺</w:t>
      </w:r>
      <w:r>
        <w:rPr>
          <w:color w:val="000000" w:themeColor="text1"/>
          <w:szCs w:val="32"/>
          <w14:textFill>
            <w14:solidFill>
              <w14:schemeClr w14:val="tx1"/>
            </w14:solidFill>
          </w14:textFill>
        </w:rPr>
        <w:t>，研究攻克一批关键性技术，超前研发储备一批战略性产品，实现新型烟草制品技术、产品、装备全产业链发展。支持昆岭薄膜、华红印刷等企业提升改造，持续推进昆明醋酸纤维有限公司整体搬迁、昆明华能绿色包装印刷产业园、云南养瑞集团生产基地等项目，支持烟叶复烤、烟用香精、烟用醋酸纤丝、烟用包装机械、烟叶密封罩生产、烟标印刷、纸箱生产及加工、装潢设计等烟草配套企业进行技术改造。鼓励企业开拓国际市场，打造新型烟草制品竞争新优势。力争到2025年，烟草及配套产业产值</w:t>
      </w:r>
      <w:r>
        <w:rPr>
          <w:rFonts w:hint="eastAsia"/>
          <w:color w:val="000000" w:themeColor="text1"/>
          <w:szCs w:val="32"/>
          <w14:textFill>
            <w14:solidFill>
              <w14:schemeClr w14:val="tx1"/>
            </w14:solidFill>
          </w14:textFill>
        </w:rPr>
        <w:t>接近</w:t>
      </w:r>
      <w:r>
        <w:rPr>
          <w:color w:val="000000" w:themeColor="text1"/>
          <w:szCs w:val="32"/>
          <w14:textFill>
            <w14:solidFill>
              <w14:schemeClr w14:val="tx1"/>
            </w14:solidFill>
          </w14:textFill>
        </w:rPr>
        <w:t>200亿元。</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新材料产业。</w:t>
      </w:r>
      <w:r>
        <w:rPr>
          <w:color w:val="000000" w:themeColor="text1"/>
          <w:szCs w:val="32"/>
          <w14:textFill>
            <w14:solidFill>
              <w14:schemeClr w14:val="tx1"/>
            </w14:solidFill>
          </w14:textFill>
        </w:rPr>
        <w:t>支持云南锡业锡材等企业壮大规模，积极引入滇金公司黄金产业园建设项目，做大做强比较优势</w:t>
      </w:r>
      <w:r>
        <w:rPr>
          <w:rFonts w:hint="eastAsia"/>
          <w:color w:val="000000" w:themeColor="text1"/>
          <w:szCs w:val="32"/>
          <w14:textFill>
            <w14:solidFill>
              <w14:schemeClr w14:val="tx1"/>
            </w14:solidFill>
          </w14:textFill>
        </w:rPr>
        <w:t>明显</w:t>
      </w:r>
      <w:r>
        <w:rPr>
          <w:color w:val="000000" w:themeColor="text1"/>
          <w:szCs w:val="32"/>
          <w14:textFill>
            <w14:solidFill>
              <w14:schemeClr w14:val="tx1"/>
            </w14:solidFill>
          </w14:textFill>
        </w:rPr>
        <w:t>的稀贵金属新材料产业。强化与国内半导体产业融合，进入华为等</w:t>
      </w:r>
      <w:r>
        <w:rPr>
          <w:rFonts w:hint="eastAsia"/>
          <w:color w:val="000000" w:themeColor="text1"/>
          <w:szCs w:val="32"/>
          <w14:textFill>
            <w14:solidFill>
              <w14:schemeClr w14:val="tx1"/>
            </w14:solidFill>
          </w14:textFill>
        </w:rPr>
        <w:t>领军</w:t>
      </w:r>
      <w:r>
        <w:rPr>
          <w:color w:val="000000" w:themeColor="text1"/>
          <w:szCs w:val="32"/>
          <w14:textFill>
            <w14:solidFill>
              <w14:schemeClr w14:val="tx1"/>
            </w14:solidFill>
          </w14:textFill>
        </w:rPr>
        <w:t>企业供应链体系，着力培育半导体和光电子新材料，重点引进电极浆料、封装材料、新型无机功能材料等半导体材料，以及传感探测、新型元器件等光电子新材料产品，延伸新材料产业链条。力争到2025年，新材料产业产值</w:t>
      </w:r>
      <w:r>
        <w:rPr>
          <w:rFonts w:hint="eastAsia"/>
          <w:color w:val="000000" w:themeColor="text1"/>
          <w:szCs w:val="32"/>
          <w14:textFill>
            <w14:solidFill>
              <w14:schemeClr w14:val="tx1"/>
            </w14:solidFill>
          </w14:textFill>
        </w:rPr>
        <w:t>接近</w:t>
      </w:r>
      <w:r>
        <w:rPr>
          <w:color w:val="000000" w:themeColor="text1"/>
          <w:szCs w:val="32"/>
          <w14:textFill>
            <w14:solidFill>
              <w14:schemeClr w14:val="tx1"/>
            </w14:solidFill>
          </w14:textFill>
        </w:rPr>
        <w:t>100亿元。</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生物医药及健康产品产业</w:t>
      </w:r>
      <w:r>
        <w:rPr>
          <w:b/>
          <w:color w:val="000000" w:themeColor="text1"/>
          <w:szCs w:val="32"/>
          <w14:textFill>
            <w14:solidFill>
              <w14:schemeClr w14:val="tx1"/>
            </w14:solidFill>
          </w14:textFill>
        </w:rPr>
        <w:t>。</w:t>
      </w:r>
      <w:r>
        <w:rPr>
          <w:bCs/>
          <w:color w:val="000000" w:themeColor="text1"/>
          <w:szCs w:val="32"/>
          <w14:textFill>
            <w14:solidFill>
              <w14:schemeClr w14:val="tx1"/>
            </w14:solidFill>
          </w14:textFill>
        </w:rPr>
        <w:t>支持云南白药健康产品丰富产品类别</w:t>
      </w:r>
      <w:r>
        <w:rPr>
          <w:rFonts w:hint="eastAsia"/>
          <w:bCs/>
          <w:color w:val="000000" w:themeColor="text1"/>
          <w:szCs w:val="32"/>
          <w14:textFill>
            <w14:solidFill>
              <w14:schemeClr w14:val="tx1"/>
            </w14:solidFill>
          </w14:textFill>
        </w:rPr>
        <w:t>，</w:t>
      </w:r>
      <w:r>
        <w:rPr>
          <w:bCs/>
          <w:color w:val="000000" w:themeColor="text1"/>
          <w:szCs w:val="32"/>
          <w14:textFill>
            <w14:solidFill>
              <w14:schemeClr w14:val="tx1"/>
            </w14:solidFill>
          </w14:textFill>
        </w:rPr>
        <w:t>提高市场占有率，</w:t>
      </w:r>
      <w:r>
        <w:rPr>
          <w:color w:val="000000" w:themeColor="text1"/>
          <w:szCs w:val="32"/>
          <w14:textFill>
            <w14:solidFill>
              <w14:schemeClr w14:val="tx1"/>
            </w14:solidFill>
          </w14:textFill>
        </w:rPr>
        <w:t>加快推进华润圣火药业产能提升、赛诺制药中药原料药提取基地等项目，建设生物医药产业园，引进一批全国知名生物医药企业。加强三七、天麻等中药材的深度开发，</w:t>
      </w:r>
      <w:r>
        <w:rPr>
          <w:rFonts w:hint="eastAsia"/>
          <w:color w:val="000000" w:themeColor="text1"/>
          <w:szCs w:val="32"/>
          <w14:textFill>
            <w14:solidFill>
              <w14:schemeClr w14:val="tx1"/>
            </w14:solidFill>
          </w14:textFill>
        </w:rPr>
        <w:t>在</w:t>
      </w:r>
      <w:r>
        <w:rPr>
          <w:color w:val="000000" w:themeColor="text1"/>
          <w:szCs w:val="32"/>
          <w14:textFill>
            <w14:solidFill>
              <w14:schemeClr w14:val="tx1"/>
            </w14:solidFill>
          </w14:textFill>
        </w:rPr>
        <w:t>植物萃取物深加工、生物酶、保健品、营养膳食及功能食品</w:t>
      </w:r>
      <w:r>
        <w:rPr>
          <w:rFonts w:hint="eastAsia"/>
          <w:color w:val="000000" w:themeColor="text1"/>
          <w:szCs w:val="32"/>
          <w14:textFill>
            <w14:solidFill>
              <w14:schemeClr w14:val="tx1"/>
            </w14:solidFill>
          </w14:textFill>
        </w:rPr>
        <w:t>等领域开发一批新</w:t>
      </w:r>
      <w:r>
        <w:rPr>
          <w:color w:val="000000" w:themeColor="text1"/>
          <w:szCs w:val="32"/>
          <w14:textFill>
            <w14:solidFill>
              <w14:schemeClr w14:val="tx1"/>
            </w14:solidFill>
          </w14:textFill>
        </w:rPr>
        <w:t>产品。加强中药民族药研发，推动中药饮片加工、中药颗粒配方以及中药提取合成技术标准化。发展医学影像设备、体外诊断设备、理疗按摩设备、养生保健设备、智能养老监护设备等医疗器械，建立健全生物医药产业链。力争到2025年，生物医药及健康产品产值</w:t>
      </w:r>
      <w:r>
        <w:rPr>
          <w:rFonts w:hint="eastAsia"/>
          <w:color w:val="000000" w:themeColor="text1"/>
          <w:szCs w:val="32"/>
          <w14:textFill>
            <w14:solidFill>
              <w14:schemeClr w14:val="tx1"/>
            </w14:solidFill>
          </w14:textFill>
        </w:rPr>
        <w:t>突破</w:t>
      </w:r>
      <w:r>
        <w:rPr>
          <w:color w:val="000000" w:themeColor="text1"/>
          <w:szCs w:val="32"/>
          <w14:textFill>
            <w14:solidFill>
              <w14:schemeClr w14:val="tx1"/>
            </w14:solidFill>
          </w14:textFill>
        </w:rPr>
        <w:t>120亿元。</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电子信息产业。</w:t>
      </w:r>
      <w:r>
        <w:rPr>
          <w:color w:val="000000" w:themeColor="text1"/>
          <w:szCs w:val="32"/>
          <w14:textFill>
            <w14:solidFill>
              <w14:schemeClr w14:val="tx1"/>
            </w14:solidFill>
          </w14:textFill>
        </w:rPr>
        <w:t>支持北方奥雷德、南天信息设备等企业做大做强，推进北方夜视、北方红外等重点企业转型升级，提升红外热成像、微光夜视领域、光电探测器、光学望远镜、特殊光学材料、金融电子等光电产业核心技术，大力发展光电子信息材料、半导体照明、有机发光二极管、新型显示器等新兴产业。加大与华为、阿里巴巴、海康威视等企业合作力度，引进国内领先5G行业龙头企业，建设5G应用产业园、创新中心等平台，研发推广5G产业领域重点产品和服务。推进银河之星、科创园、海归创业园、紫云青鸟等园区信息化、智能化提升改造，着力引进一批电子信息制造类企业。</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二、大力发展现代物流业</w:t>
      </w:r>
    </w:p>
    <w:p>
      <w:pPr>
        <w:spacing w:line="560" w:lineRule="atLeast"/>
        <w:ind w:firstLine="643"/>
        <w:rPr>
          <w:color w:val="000000" w:themeColor="text1"/>
          <w:szCs w:val="32"/>
          <w:lang w:val="zh-CN"/>
          <w14:textFill>
            <w14:solidFill>
              <w14:schemeClr w14:val="tx1"/>
            </w14:solidFill>
          </w14:textFill>
        </w:rPr>
      </w:pPr>
      <w:r>
        <w:rPr>
          <w:b/>
          <w:bCs/>
          <w:color w:val="000000" w:themeColor="text1"/>
          <w:szCs w:val="32"/>
          <w14:textFill>
            <w14:solidFill>
              <w14:schemeClr w14:val="tx1"/>
            </w14:solidFill>
          </w14:textFill>
        </w:rPr>
        <w:t>航空物流。</w:t>
      </w:r>
      <w:r>
        <w:rPr>
          <w:color w:val="000000" w:themeColor="text1"/>
          <w:szCs w:val="32"/>
          <w14:textFill>
            <w14:solidFill>
              <w14:schemeClr w14:val="tx1"/>
            </w14:solidFill>
          </w14:textFill>
        </w:rPr>
        <w:t>协同空港经济区发展航空物流，争取</w:t>
      </w:r>
      <w:r>
        <w:rPr>
          <w:color w:val="000000" w:themeColor="text1"/>
          <w:szCs w:val="32"/>
          <w:lang w:val="zh-CN"/>
          <w14:textFill>
            <w14:solidFill>
              <w14:schemeClr w14:val="tx1"/>
            </w14:solidFill>
          </w14:textFill>
        </w:rPr>
        <w:t>引</w:t>
      </w:r>
      <w:r>
        <w:rPr>
          <w:color w:val="000000" w:themeColor="text1"/>
          <w:szCs w:val="32"/>
          <w14:textFill>
            <w14:solidFill>
              <w14:schemeClr w14:val="tx1"/>
            </w14:solidFill>
          </w14:textFill>
        </w:rPr>
        <w:t>入</w:t>
      </w:r>
      <w:r>
        <w:rPr>
          <w:color w:val="000000" w:themeColor="text1"/>
          <w:szCs w:val="32"/>
          <w:lang w:val="zh-CN"/>
          <w14:textFill>
            <w14:solidFill>
              <w14:schemeClr w14:val="tx1"/>
            </w14:solidFill>
          </w14:textFill>
        </w:rPr>
        <w:t>DHL、</w:t>
      </w:r>
      <w:r>
        <w:rPr>
          <w:color w:val="000000" w:themeColor="text1"/>
          <w:szCs w:val="32"/>
          <w14:textFill>
            <w14:solidFill>
              <w14:schemeClr w14:val="tx1"/>
            </w14:solidFill>
          </w14:textFill>
        </w:rPr>
        <w:t>FedEx</w:t>
      </w:r>
      <w:r>
        <w:rPr>
          <w:color w:val="000000" w:themeColor="text1"/>
          <w:szCs w:val="32"/>
          <w:lang w:val="zh-CN"/>
          <w14:textFill>
            <w14:solidFill>
              <w14:schemeClr w14:val="tx1"/>
            </w14:solidFill>
          </w14:textFill>
        </w:rPr>
        <w:t>等国际知名航空物流企业，开展跨境航空运输，发展国际货物中转物流，积极争取第五航权开放，</w:t>
      </w:r>
      <w:r>
        <w:rPr>
          <w:color w:val="000000" w:themeColor="text1"/>
          <w:szCs w:val="32"/>
          <w14:textFill>
            <w14:solidFill>
              <w14:schemeClr w14:val="tx1"/>
            </w14:solidFill>
          </w14:textFill>
        </w:rPr>
        <w:t>试点航空快件国际中转集拼业务，打造航空物流枢纽。依托昆明综保区，推进航空物流与保税仓储、保税贸易、保税加工、保税维修、保税研发、保税展示、保税服务等业务融合发展。争取在昆明经开区设立虚拟空港口岸，推动昆明机场航空口岸功能延伸，建设新型材料、云花云药、玉石珠宝等一批航空物流集散中心。支持航空公司拓展国际航线布局，提升航空服务水平，建设客转货、集拼货、跨境电商、配送等综合物流体系，发展全货机航班、腹舱货运等航空物流业务。</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多式联运。</w:t>
      </w:r>
      <w:r>
        <w:rPr>
          <w:color w:val="000000" w:themeColor="text1"/>
          <w:szCs w:val="32"/>
          <w14:textFill>
            <w14:solidFill>
              <w14:schemeClr w14:val="tx1"/>
            </w14:solidFill>
          </w14:textFill>
        </w:rPr>
        <w:t>建立健全航空、铁路、公路多式联运统筹协调机制，构建多式联运物流网络。提升昆明综合保税区功能，建设国际合作物流园区。加强王家营物流片区国家级商贸物流枢纽功能建设，加强与腾俊陆港联动，融入国家西部陆海大通道，力推云南中欧国际班列、西部陆海新通道班列以及面向南亚东南亚的国际多式联运班列。</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第三方物流。</w:t>
      </w:r>
      <w:r>
        <w:rPr>
          <w:color w:val="000000" w:themeColor="text1"/>
          <w:szCs w:val="32"/>
          <w14:textFill>
            <w14:solidFill>
              <w14:schemeClr w14:val="tx1"/>
            </w14:solidFill>
          </w14:textFill>
        </w:rPr>
        <w:t>吸引顺丰、韵达、中远海运、中铁物流等全国知名物流企业在昆明经开区设立西南总部和南亚、东南亚总部。支持企业开展第三方物流，发展农产品及冷链物流配送、药品物流服务以及城市商品物流服务等。鼓励京东物流、金韵快递、顺丰速递等企业在我区建立组装中心和研发中心，不断延伸物流产业链条，提高物流含金量和附加值。</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智慧物流</w:t>
      </w:r>
      <w:r>
        <w:rPr>
          <w:color w:val="000000" w:themeColor="text1"/>
          <w:szCs w:val="32"/>
          <w14:textFill>
            <w14:solidFill>
              <w14:schemeClr w14:val="tx1"/>
            </w14:solidFill>
          </w14:textFill>
        </w:rPr>
        <w:t>。支持企业建设智慧供应链云平台，加快企业买家、个人用户、采购商用户集聚，推动物流、建材、生鲜、冷链等多产业协同发展。依托天地汇云南物流大数据中心、天地汇昆明结算中心，完善“物流+支付”平台，建设物流供应链结算中心。加强专业性供应链管理平台建设，提升物流供应、配货、空车信息、全过程管理、供应链金融、支付等服务质量和水平。</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三、</w:t>
      </w:r>
      <w:r>
        <w:rPr>
          <w:rFonts w:eastAsia="黑体"/>
          <w:bCs/>
          <w:color w:val="000000" w:themeColor="text1"/>
          <w:sz w:val="30"/>
          <w:szCs w:val="30"/>
          <w14:textFill>
            <w14:solidFill>
              <w14:schemeClr w14:val="tx1"/>
            </w14:solidFill>
          </w14:textFill>
        </w:rPr>
        <w:t>大</w:t>
      </w:r>
      <w:r>
        <w:rPr>
          <w:rFonts w:eastAsia="黑体"/>
          <w:bCs/>
          <w:color w:val="000000" w:themeColor="text1"/>
          <w:szCs w:val="32"/>
          <w14:textFill>
            <w14:solidFill>
              <w14:schemeClr w14:val="tx1"/>
            </w14:solidFill>
          </w14:textFill>
        </w:rPr>
        <w:t>力发展数字经济</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大数据产业。</w:t>
      </w:r>
      <w:r>
        <w:rPr>
          <w:color w:val="000000" w:themeColor="text1"/>
          <w:szCs w:val="32"/>
          <w14:textFill>
            <w14:solidFill>
              <w14:schemeClr w14:val="tx1"/>
            </w14:solidFill>
          </w14:textFill>
        </w:rPr>
        <w:t>推动华为智慧城市项目、</w:t>
      </w:r>
      <w:r>
        <w:rPr>
          <w:color w:val="000000" w:themeColor="text1"/>
          <w14:textFill>
            <w14:solidFill>
              <w14:schemeClr w14:val="tx1"/>
            </w14:solidFill>
          </w14:textFill>
        </w:rPr>
        <w:t>东方国信数据基地</w:t>
      </w:r>
      <w:r>
        <w:rPr>
          <w:color w:val="000000" w:themeColor="text1"/>
          <w:szCs w:val="32"/>
          <w14:textFill>
            <w14:solidFill>
              <w14:schemeClr w14:val="tx1"/>
            </w14:solidFill>
          </w14:textFill>
        </w:rPr>
        <w:t>等项目建设，争取吸引阿里巴巴、腾讯、浪潮等大数据龙头企业进驻，开展数据采集、清洗、存储、加工、分析和行业应用等大数据关键技术研发，培育大数据产业集群。建设跨境商贸物流、动植物基因库等大数据中心，开拓工业大数据市场。鼓励建设国际离岸数据中心，探索开展数据国际流通相关政策、产业、技术和应用研究。</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人工智能</w:t>
      </w:r>
      <w:r>
        <w:rPr>
          <w:color w:val="000000" w:themeColor="text1"/>
          <w:szCs w:val="32"/>
          <w14:textFill>
            <w14:solidFill>
              <w14:schemeClr w14:val="tx1"/>
            </w14:solidFill>
          </w14:textFill>
        </w:rPr>
        <w:t>。推动建设人工智能产业园、人工智能产业创新示范基地，加强以深度学习为核心的计算机视觉、自然语言处理、生物特征识别、新型人机交互等人工智能关键核心技术的研发创新，推动人工智能在政务、产业、民生、</w:t>
      </w:r>
      <w:r>
        <w:rPr>
          <w:rFonts w:hint="eastAsia"/>
          <w:color w:val="000000" w:themeColor="text1"/>
          <w:szCs w:val="32"/>
          <w14:textFill>
            <w14:solidFill>
              <w14:schemeClr w14:val="tx1"/>
            </w14:solidFill>
          </w14:textFill>
        </w:rPr>
        <w:t>社会</w:t>
      </w:r>
      <w:r>
        <w:rPr>
          <w:color w:val="000000" w:themeColor="text1"/>
          <w:szCs w:val="32"/>
          <w14:textFill>
            <w14:solidFill>
              <w14:schemeClr w14:val="tx1"/>
            </w14:solidFill>
          </w14:textFill>
        </w:rPr>
        <w:t>治理等领域的</w:t>
      </w:r>
      <w:r>
        <w:rPr>
          <w:rFonts w:hint="eastAsia"/>
          <w:color w:val="000000" w:themeColor="text1"/>
          <w:szCs w:val="32"/>
          <w14:textFill>
            <w14:solidFill>
              <w14:schemeClr w14:val="tx1"/>
            </w14:solidFill>
          </w14:textFill>
        </w:rPr>
        <w:t>深度</w:t>
      </w:r>
      <w:r>
        <w:rPr>
          <w:color w:val="000000" w:themeColor="text1"/>
          <w:szCs w:val="32"/>
          <w14:textFill>
            <w14:solidFill>
              <w14:schemeClr w14:val="tx1"/>
            </w14:solidFill>
          </w14:textFill>
        </w:rPr>
        <w:t>应用，以规模化应用促进人工智能技术的迭代升级。建设区块链产品开发和集成测试平台，重点在政务数据共享、跨境商贸物流、农产品交易溯源、供应链金融、电子票据等</w:t>
      </w:r>
      <w:r>
        <w:rPr>
          <w:rFonts w:hint="eastAsia"/>
          <w:color w:val="000000" w:themeColor="text1"/>
          <w:szCs w:val="32"/>
          <w14:textFill>
            <w14:solidFill>
              <w14:schemeClr w14:val="tx1"/>
            </w14:solidFill>
          </w14:textFill>
        </w:rPr>
        <w:t>场景</w:t>
      </w:r>
      <w:r>
        <w:rPr>
          <w:color w:val="000000" w:themeColor="text1"/>
          <w:szCs w:val="32"/>
          <w14:textFill>
            <w14:solidFill>
              <w14:schemeClr w14:val="tx1"/>
            </w14:solidFill>
          </w14:textFill>
        </w:rPr>
        <w:t>推动</w:t>
      </w:r>
      <w:r>
        <w:rPr>
          <w:rFonts w:hint="eastAsia"/>
          <w:color w:val="000000" w:themeColor="text1"/>
          <w:szCs w:val="32"/>
          <w14:textFill>
            <w14:solidFill>
              <w14:schemeClr w14:val="tx1"/>
            </w14:solidFill>
          </w14:textFill>
        </w:rPr>
        <w:t>应用</w:t>
      </w:r>
      <w:r>
        <w:rPr>
          <w:color w:val="000000" w:themeColor="text1"/>
          <w:szCs w:val="32"/>
          <w14:textFill>
            <w14:solidFill>
              <w14:schemeClr w14:val="tx1"/>
            </w14:solidFill>
          </w14:textFill>
        </w:rPr>
        <w:t>。</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工业互联网和物联网</w:t>
      </w:r>
      <w:r>
        <w:rPr>
          <w:color w:val="000000" w:themeColor="text1"/>
          <w:szCs w:val="32"/>
          <w14:textFill>
            <w14:solidFill>
              <w14:schemeClr w14:val="tx1"/>
            </w14:solidFill>
          </w14:textFill>
        </w:rPr>
        <w:t>。推进工业数字化赋能、数字经济创新平台等方面的项目建设，提升数字经济平台赋能能力。积极引进5G通信基础设施第三方运营项目。加强智能装备、新能源汽车、电子信息等重点产业集群的工业互联网平台建设，加快布局形成一批工业互联网及智能制造系统解决方案服务产业，打造一批面向特定工业场景的工业微服务、工业APP。</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数字商务平台。</w:t>
      </w:r>
      <w:r>
        <w:rPr>
          <w:color w:val="000000" w:themeColor="text1"/>
          <w:szCs w:val="32"/>
          <w14:textFill>
            <w14:solidFill>
              <w14:schemeClr w14:val="tx1"/>
            </w14:solidFill>
          </w14:textFill>
        </w:rPr>
        <w:t>采用现代电子信息技术，建设集信息、展示、拍卖、结算、仓储、物流、融资等为一体的商务交易平台，培育数字化、网络化、智能化的交易市场新模式。创新发展现代供应链，搭建数字化物流、智能化供应链管理平台，提升涵盖物流、资金流、信息流、商流的供应链管理服务水平。</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打造软件技术服务产业集群。</w:t>
      </w:r>
      <w:r>
        <w:rPr>
          <w:color w:val="000000" w:themeColor="text1"/>
          <w:szCs w:val="32"/>
          <w14:textFill>
            <w14:solidFill>
              <w14:schemeClr w14:val="tx1"/>
            </w14:solidFill>
          </w14:textFill>
        </w:rPr>
        <w:t>发展新兴软件和新型信息技术服务业，</w:t>
      </w:r>
      <w:r>
        <w:rPr>
          <w:rFonts w:hint="eastAsia"/>
          <w:color w:val="000000" w:themeColor="text1"/>
          <w:szCs w:val="32"/>
          <w14:textFill>
            <w14:solidFill>
              <w14:schemeClr w14:val="tx1"/>
            </w14:solidFill>
          </w14:textFill>
        </w:rPr>
        <w:t>培育</w:t>
      </w:r>
      <w:r>
        <w:rPr>
          <w:color w:val="000000" w:themeColor="text1"/>
          <w:szCs w:val="32"/>
          <w14:textFill>
            <w14:solidFill>
              <w14:schemeClr w14:val="tx1"/>
            </w14:solidFill>
          </w14:textFill>
        </w:rPr>
        <w:t>涵盖基础软件开发、中间件开发、应用软件开发、网络与信息安全软件开发、信息系统集成服务等一系列软件开发产业，嵌入国内主流软件产业生态。发挥昆明泛亚语种人才优势，建设泛亚</w:t>
      </w:r>
      <w:r>
        <w:rPr>
          <w:rFonts w:hint="eastAsia"/>
          <w:color w:val="000000" w:themeColor="text1"/>
          <w:szCs w:val="32"/>
          <w14:textFill>
            <w14:solidFill>
              <w14:schemeClr w14:val="tx1"/>
            </w14:solidFill>
          </w14:textFill>
        </w:rPr>
        <w:t>多</w:t>
      </w:r>
      <w:r>
        <w:rPr>
          <w:color w:val="000000" w:themeColor="text1"/>
          <w:szCs w:val="32"/>
          <w14:textFill>
            <w14:solidFill>
              <w14:schemeClr w14:val="tx1"/>
            </w14:solidFill>
          </w14:textFill>
        </w:rPr>
        <w:t>语种操作系统、数据库管理、开发工具、系统管理等基础软件研发基地。努力打造软件服务外包产业集群，吸引国内外一批软件外包企业，扩大软件外包和小语种特色应用等产业规模，建设离岸信息技术服务外包、离岸软件外包、离岸数据外包等服务外包业务基地。</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推动实体经济与数字经济融合发展。</w:t>
      </w:r>
      <w:r>
        <w:rPr>
          <w:color w:val="000000" w:themeColor="text1"/>
          <w:szCs w:val="32"/>
          <w14:textFill>
            <w14:solidFill>
              <w14:schemeClr w14:val="tx1"/>
            </w14:solidFill>
          </w14:textFill>
        </w:rPr>
        <w:t>把实体经济与数字经济有机结合起来，加快推进实体产业、实体企业智能化提升改造，建设智能工厂、数字化车间，</w:t>
      </w:r>
      <w:r>
        <w:rPr>
          <w:color w:val="000000" w:themeColor="text1"/>
          <w14:textFill>
            <w14:solidFill>
              <w14:schemeClr w14:val="tx1"/>
            </w14:solidFill>
          </w14:textFill>
        </w:rPr>
        <w:t>推进昆船智能数字化转型升级、嘉和科技智能化泵站大数据中心平台等项目实施，</w:t>
      </w:r>
      <w:r>
        <w:rPr>
          <w:color w:val="000000" w:themeColor="text1"/>
          <w:szCs w:val="32"/>
          <w14:textFill>
            <w14:solidFill>
              <w14:schemeClr w14:val="tx1"/>
            </w14:solidFill>
          </w14:textFill>
        </w:rPr>
        <w:t>打造企业数字化转型标杆。加强以自动控制、工业软件、工业云平台等为重点的智能制造信息基础设施建设，促进重点产业与新一代信息技术融合发展。完成城市智能运行中心（IOC二期）、雪亮工程等项目建设，推进智慧政务、智慧交通、数字公安、数字医疗、数字环保等重点领域数字化。</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四、大力发展总部经济</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着力打造总部基地。</w:t>
      </w:r>
      <w:r>
        <w:rPr>
          <w:rFonts w:hint="eastAsia"/>
          <w:color w:val="000000" w:themeColor="text1"/>
          <w:szCs w:val="32"/>
          <w14:textFill>
            <w14:solidFill>
              <w14:schemeClr w14:val="tx1"/>
            </w14:solidFill>
          </w14:textFill>
        </w:rPr>
        <w:t>力争推动</w:t>
      </w:r>
      <w:r>
        <w:rPr>
          <w:color w:val="000000" w:themeColor="text1"/>
          <w:szCs w:val="32"/>
          <w14:textFill>
            <w14:solidFill>
              <w14:schemeClr w14:val="tx1"/>
            </w14:solidFill>
          </w14:textFill>
        </w:rPr>
        <w:t>世界500强、中国500强、中国民营500强企业</w:t>
      </w:r>
      <w:r>
        <w:rPr>
          <w:rFonts w:hint="eastAsia"/>
          <w:color w:val="000000" w:themeColor="text1"/>
          <w:szCs w:val="32"/>
          <w14:textFill>
            <w14:solidFill>
              <w14:schemeClr w14:val="tx1"/>
            </w14:solidFill>
          </w14:textFill>
        </w:rPr>
        <w:t>在园区内设立区域总部</w:t>
      </w:r>
      <w:r>
        <w:rPr>
          <w:color w:val="000000" w:themeColor="text1"/>
          <w:szCs w:val="32"/>
          <w14:textFill>
            <w14:solidFill>
              <w14:schemeClr w14:val="tx1"/>
            </w14:solidFill>
          </w14:textFill>
        </w:rPr>
        <w:t>，吸引一批引领行业发展的独角兽企业的区域总部和研发中心，引进和培育研发、设计、物流、结算、营销等大型企业功能总部落地。推动天地方舟、果林广场、云台国际产业园、云望广场等总部型项目建设，支持云南工投集团、一心堂药业等企业做大体量。不断提高总部企业能级和规模，形成总部经济聚集效应。大力发展楼宇经济，推动总部经济集聚。“十四五”期间，新增亿元楼宇5幢、千万元楼宇10幢以上。</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着力培育金融总部</w:t>
      </w:r>
      <w:r>
        <w:rPr>
          <w:color w:val="000000" w:themeColor="text1"/>
          <w:szCs w:val="32"/>
          <w14:textFill>
            <w14:solidFill>
              <w14:schemeClr w14:val="tx1"/>
            </w14:solidFill>
          </w14:textFill>
        </w:rPr>
        <w:t>。积极培育金融企业总部群，引入大型金融总部功能，形成以银行类金融机构为龙头引领，保险类、证券类、互联网金融等新兴金融机构有力支撑的金融服务企业总部集群，重点引进私募基金、并购金融、支付结算等新兴金融总部企业，推动形成区域性资金结算中心。</w:t>
      </w:r>
    </w:p>
    <w:p>
      <w:pPr>
        <w:spacing w:before="240" w:beforeLines="100" w:after="120" w:afterLines="50"/>
        <w:ind w:firstLine="0" w:firstLineChars="0"/>
        <w:jc w:val="center"/>
        <w:rPr>
          <w:rFonts w:eastAsia="宋体"/>
          <w:b/>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表2  “十四五”时期产业</w:t>
      </w:r>
      <w:r>
        <w:rPr>
          <w:rFonts w:eastAsia="宋体"/>
          <w:b/>
          <w:bCs/>
          <w:color w:val="000000" w:themeColor="text1"/>
          <w:szCs w:val="32"/>
          <w14:textFill>
            <w14:solidFill>
              <w14:schemeClr w14:val="tx1"/>
            </w14:solidFill>
          </w14:textFill>
        </w:rPr>
        <w:t>培育重点</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84"/>
        <w:gridCol w:w="2031"/>
        <w:gridCol w:w="6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67" w:hRule="atLeast"/>
          <w:tblHeader/>
          <w:jc w:val="center"/>
        </w:trPr>
        <w:tc>
          <w:tcPr>
            <w:tcW w:w="78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黑体"/>
                <w:caps/>
                <w:color w:val="000000" w:themeColor="text1"/>
                <w:sz w:val="24"/>
                <w14:textFill>
                  <w14:solidFill>
                    <w14:schemeClr w14:val="tx1"/>
                  </w14:solidFill>
                </w14:textFill>
              </w:rPr>
            </w:pPr>
            <w:r>
              <w:rPr>
                <w:rFonts w:eastAsia="黑体"/>
                <w:caps/>
                <w:color w:val="000000" w:themeColor="text1"/>
                <w:sz w:val="24"/>
                <w14:textFill>
                  <w14:solidFill>
                    <w14:schemeClr w14:val="tx1"/>
                  </w14:solidFill>
                </w14:textFill>
              </w:rPr>
              <w:t>产业</w:t>
            </w: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黑体"/>
                <w:caps/>
                <w:color w:val="000000" w:themeColor="text1"/>
                <w:sz w:val="24"/>
                <w14:textFill>
                  <w14:solidFill>
                    <w14:schemeClr w14:val="tx1"/>
                  </w14:solidFill>
                </w14:textFill>
              </w:rPr>
            </w:pPr>
            <w:r>
              <w:rPr>
                <w:rFonts w:eastAsia="黑体"/>
                <w:caps/>
                <w:color w:val="000000" w:themeColor="text1"/>
                <w:sz w:val="24"/>
                <w14:textFill>
                  <w14:solidFill>
                    <w14:schemeClr w14:val="tx1"/>
                  </w14:solidFill>
                </w14:textFill>
              </w:rPr>
              <w:t>细分领域</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黑体"/>
                <w:caps/>
                <w:color w:val="000000" w:themeColor="text1"/>
                <w:sz w:val="24"/>
                <w14:textFill>
                  <w14:solidFill>
                    <w14:schemeClr w14:val="tx1"/>
                  </w14:solidFill>
                </w14:textFill>
              </w:rPr>
            </w:pPr>
            <w:r>
              <w:rPr>
                <w:rFonts w:eastAsia="黑体"/>
                <w:caps/>
                <w:color w:val="000000" w:themeColor="text1"/>
                <w:sz w:val="24"/>
                <w14:textFill>
                  <w14:solidFill>
                    <w14:schemeClr w14:val="tx1"/>
                  </w14:solidFill>
                </w14:textFill>
              </w:rPr>
              <w:t>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8" w:hRule="atLeast"/>
          <w:jc w:val="center"/>
        </w:trPr>
        <w:tc>
          <w:tcPr>
            <w:tcW w:w="784" w:type="dxa"/>
            <w:vMerge w:val="restart"/>
            <w:tcBorders>
              <w:top w:val="single" w:color="auto" w:sz="4" w:space="0"/>
              <w:left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制造业</w:t>
            </w: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装备制造</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机器人、数控机床、高精度、多功能、柔性化数控设备、特高压传输设备及配电设备、铁路养路机械、高端模具、实验分析仪器、精密光学仪器、钟表配件、医疗诊断监护及治疗设备、智能康养器械等、叉车、AGV等为重点的物流自动化输运系统；纯电动汽车、氢燃料电池汽车、混合动力汽车、充电桩等；新能源汽车装置配件制造、新能源发动机、新能源电机、锂离子电池、氢燃料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6" w:hRule="atLeast"/>
          <w:jc w:val="center"/>
        </w:trPr>
        <w:tc>
          <w:tcPr>
            <w:tcW w:w="784" w:type="dxa"/>
            <w:vMerge w:val="continue"/>
            <w:tcBorders>
              <w:left w:val="single" w:color="auto" w:sz="4" w:space="0"/>
              <w:right w:val="single" w:color="auto" w:sz="4" w:space="0"/>
            </w:tcBorders>
            <w:vAlign w:val="center"/>
          </w:tcPr>
          <w:p>
            <w:pPr>
              <w:ind w:firstLine="48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烟草及配套</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新型烟草制品原料、制品技术、产品、装备，烟叶复烤、烟用香精、烟用醋酸纤丝、烟用包装机械、烟叶密封罩、烟标印刷、纸箱生产及加工、装潢设计等。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8" w:hRule="atLeast"/>
          <w:jc w:val="center"/>
        </w:trPr>
        <w:tc>
          <w:tcPr>
            <w:tcW w:w="784" w:type="dxa"/>
            <w:vMerge w:val="continue"/>
            <w:tcBorders>
              <w:left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新材料</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电子锡焊料、稀贵金属精密合金、溅射靶材、电极浆料、封装材料、新型无机功能材料、传感探测材料、新型元器件材料、稀土磁性材料、光电催化材料等。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46" w:hRule="atLeast"/>
          <w:jc w:val="center"/>
        </w:trPr>
        <w:tc>
          <w:tcPr>
            <w:tcW w:w="784" w:type="dxa"/>
            <w:vMerge w:val="continue"/>
            <w:tcBorders>
              <w:left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生物医药及健康</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现代化中药研发平台、中药民族药研发，中药饮片加工、中药</w:t>
            </w:r>
            <w:r>
              <w:rPr>
                <w:caps/>
                <w:color w:val="000000" w:themeColor="text1"/>
                <w:spacing w:val="6"/>
                <w:sz w:val="24"/>
                <w14:textFill>
                  <w14:solidFill>
                    <w14:schemeClr w14:val="tx1"/>
                  </w14:solidFill>
                </w14:textFill>
              </w:rPr>
              <w:t>颗粒配方、中医药对外贸易等；生物新药、新型生物制品及制剂、基因检测、细胞治疗；医学影像设备、体外诊断设备、健康监测设备、家用养生保健器械和智能养老监护设备等。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60" w:hRule="atLeast"/>
          <w:jc w:val="center"/>
        </w:trPr>
        <w:tc>
          <w:tcPr>
            <w:tcW w:w="784" w:type="dxa"/>
            <w:vMerge w:val="continue"/>
            <w:tcBorders>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电子信息</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可穿戴设备、红外热成像、微光夜视领域、光电探测器、光学望远镜、特殊光学材料、金融电子、高端光通信产品、光电子信息材料、半导体照明、有机发光二极管、新型显示等。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62"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现代</w:t>
            </w:r>
          </w:p>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航空</w:t>
            </w:r>
          </w:p>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物流</w:t>
            </w: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航空物流</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全货机航班、腹舱货运、货物中转集拼、跨境电商配送、航空物流集散中心、航空快件国际中转集拼等。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1"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多式联运</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空铁联运、国际货物集疏运中心、多式联运物流网络等。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4"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第三方物流</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农产品及冷链物流配送、药品物流服务以及城市商品物流服务等，配送中心、组装中心和物流研发中心等。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0"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智慧物流</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“物流+支付”平台、物流供应链结算中心、供应链管理平台建设等。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数字</w:t>
            </w:r>
          </w:p>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经济</w:t>
            </w: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大数据</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数据采集、清洗、存储、加工、分析和行业应用、数据中心、国际离岸数据中心等。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人工智能</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人工智能、区块链等。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23"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工业互联网和物联网</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工业感知、自动控制、工业核心软件、工业互联网、工业云平台、工业微服务、工业APP等。智慧政务、智慧城市、智慧交通、数字公安、数字医疗、数字环保等。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2"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数字商务平台</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特色产业工业互联网平台、数字商务交易平台、数字供应链管理平台等。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9"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软件技术服务</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基础软件开发、中间件开发、应用软件开发、网络与信息安全软件开发、信息系统集成服务等。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实体经济和数字经济融合</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智能化改造、智能工厂、数字车间、自动控制、工业软件、工业云平台、智慧政务等。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7"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总部</w:t>
            </w:r>
          </w:p>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经济</w:t>
            </w: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大型企业总部</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大型企业研发设计、物流、结算、营销等大型企业企业功能总部、独角兽企业的区域总部和研发中心等。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金融总部</w:t>
            </w:r>
          </w:p>
        </w:tc>
        <w:tc>
          <w:tcPr>
            <w:tcW w:w="6257"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保险类、证券类、互联网金融等金融服务企业总部集群等。</w:t>
            </w:r>
          </w:p>
        </w:tc>
      </w:tr>
    </w:tbl>
    <w:p>
      <w:pPr>
        <w:spacing w:before="240" w:beforeLines="100" w:after="240" w:afterLines="100" w:line="560" w:lineRule="atLeast"/>
        <w:ind w:firstLine="0" w:firstLineChars="0"/>
        <w:jc w:val="center"/>
        <w:outlineLvl w:val="1"/>
        <w:rPr>
          <w:rFonts w:eastAsia="楷体_GB2312"/>
          <w:b/>
          <w:bCs/>
          <w:color w:val="000000" w:themeColor="text1"/>
          <w:szCs w:val="32"/>
          <w14:textFill>
            <w14:solidFill>
              <w14:schemeClr w14:val="tx1"/>
            </w14:solidFill>
          </w14:textFill>
        </w:rPr>
      </w:pPr>
      <w:bookmarkStart w:id="117" w:name="_Toc31448"/>
      <w:r>
        <w:rPr>
          <w:rFonts w:eastAsia="楷体_GB2312"/>
          <w:b/>
          <w:bCs/>
          <w:color w:val="000000" w:themeColor="text1"/>
          <w:szCs w:val="32"/>
          <w14:textFill>
            <w14:solidFill>
              <w14:schemeClr w14:val="tx1"/>
            </w14:solidFill>
          </w14:textFill>
        </w:rPr>
        <w:t>第二节　培育壮大新兴产业</w:t>
      </w:r>
      <w:bookmarkEnd w:id="117"/>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一、支持工业大麻产业提速发展</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依托云南资源独特、政策先行的优势，按照差异化、特色化、优势化的产业发展方向积极发展工业大麻产业，支持工业大麻产业加速发展和全面升级，</w:t>
      </w:r>
      <w:r>
        <w:rPr>
          <w:color w:val="000000" w:themeColor="text1"/>
          <w14:textFill>
            <w14:solidFill>
              <w14:schemeClr w14:val="tx1"/>
            </w14:solidFill>
          </w14:textFill>
        </w:rPr>
        <w:t>打造全产业链体系，</w:t>
      </w:r>
      <w:r>
        <w:rPr>
          <w:color w:val="000000" w:themeColor="text1"/>
          <w:szCs w:val="32"/>
          <w14:textFill>
            <w14:solidFill>
              <w14:schemeClr w14:val="tx1"/>
            </w14:solidFill>
          </w14:textFill>
        </w:rPr>
        <w:t>力争到2025年，成为全球领先的工业大麻产业高地。</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做强昆明国际工业大麻产业园。</w:t>
      </w:r>
      <w:r>
        <w:rPr>
          <w:color w:val="000000" w:themeColor="text1"/>
          <w:szCs w:val="32"/>
          <w14:textFill>
            <w14:solidFill>
              <w14:schemeClr w14:val="tx1"/>
            </w14:solidFill>
          </w14:textFill>
        </w:rPr>
        <w:t>高标准建设科技研发中心、有益大麻素提取合成中心、企业总部中心、科技成果转化中心、产品展示体验中心、检测检验中心和交易中心，推动工业大麻企业集中聚集。规划建设昆明国际工业大麻产业园二期，壮大产业规模。“十四五”期间，培育发展20家以上工业大麻规模以上企业。</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加快工业大麻产品开发。</w:t>
      </w:r>
      <w:r>
        <w:rPr>
          <w:color w:val="000000" w:themeColor="text1"/>
          <w:szCs w:val="32"/>
          <w14:textFill>
            <w14:solidFill>
              <w14:schemeClr w14:val="tx1"/>
            </w14:solidFill>
          </w14:textFill>
        </w:rPr>
        <w:t>引进工业大麻产业研究机构、企业技术中心，支持国内外相关科研院所建立工作站，加强工业大麻高科技转化应用领域研究，推动工业大麻的培育、种植、加工、销售和医疗用大麻的研发以及高纯度大麻素的萃取、分离、提纯技术研发及其多领域的商业化应用。支持省工投、康恩贝、西草、海德康、北京通盈集等一批企业在区内发展，培育提取、加工、运用、销售、出口于一体的工业大麻全产业链。</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加强工业大麻领域国际合作。</w:t>
      </w:r>
      <w:r>
        <w:rPr>
          <w:color w:val="000000" w:themeColor="text1"/>
          <w:szCs w:val="32"/>
          <w14:textFill>
            <w14:solidFill>
              <w14:schemeClr w14:val="tx1"/>
            </w14:solidFill>
          </w14:textFill>
        </w:rPr>
        <w:t>引进国外工业大麻种子资源，开展纤维用、籽用、杆芯用种子选育工作，改进育种技术，引领制定工业大麻品种认定办法及标准。搭建检测认证、技术转移服务、创业孵化、技术培训等科技服务平台，加强与国外相关机构开展在工业大麻高科技转化和应用领域的合作。</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二、积极发展仿制药产业</w:t>
      </w:r>
    </w:p>
    <w:p>
      <w:pPr>
        <w:spacing w:line="560" w:lineRule="atLeast"/>
        <w:ind w:firstLine="640"/>
        <w:rPr>
          <w:b/>
          <w:bCs/>
          <w:color w:val="000000" w:themeColor="text1"/>
          <w:szCs w:val="32"/>
          <w14:textFill>
            <w14:solidFill>
              <w14:schemeClr w14:val="tx1"/>
            </w14:solidFill>
          </w14:textFill>
        </w:rPr>
      </w:pPr>
      <w:r>
        <w:rPr>
          <w:color w:val="000000" w:themeColor="text1"/>
          <w:szCs w:val="32"/>
          <w14:textFill>
            <w14:solidFill>
              <w14:schemeClr w14:val="tx1"/>
            </w14:solidFill>
          </w14:textFill>
        </w:rPr>
        <w:t>把握国家医药产业发展机遇，积极发展仿制药产业，利用自主创新及国际合作，提高创新水平。</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培育仿制药产业。</w:t>
      </w:r>
      <w:r>
        <w:rPr>
          <w:color w:val="000000" w:themeColor="text1"/>
          <w:szCs w:val="32"/>
          <w14:textFill>
            <w14:solidFill>
              <w14:schemeClr w14:val="tx1"/>
            </w14:solidFill>
          </w14:textFill>
        </w:rPr>
        <w:t>加大对仿制药政策支持力度，加快中印国际医药产业园落地建设，大力引进仿制药项目落地生产，鼓励仿制临床必需、疗效确切、供应短缺的药品，大力支持企业加强仿制药质量和疗效一致性评价工作，推动仿制药走品牌化、高端化之路。聚焦重点市场加大推广力度，巩固培育国内市场，大力开拓南亚东南亚市场，提升仿制药品牌的影响力和市场份额。</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促进仿制药研发创新。</w:t>
      </w:r>
      <w:r>
        <w:rPr>
          <w:color w:val="000000" w:themeColor="text1"/>
          <w:szCs w:val="32"/>
          <w14:textFill>
            <w14:solidFill>
              <w14:schemeClr w14:val="tx1"/>
            </w14:solidFill>
          </w14:textFill>
        </w:rPr>
        <w:t>鼓励建设仿制药研发公共平台，建立仿制药技术攻关联盟，发挥企业的主导作用和医院、科研机构、高等院校的基础支撑作用，突破提纯、质量控制等关键技术，提高关键设备的研究制造能力和设备性能，推广应用新技术，优化和改进工艺生产管理，强化全面质量控制。加强药用原辅料、包装材料和制剂研发联动，促进药品研发链和产业链有机衔接。</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加强仿制药产业国际合作。</w:t>
      </w:r>
      <w:r>
        <w:rPr>
          <w:color w:val="000000" w:themeColor="text1"/>
          <w:szCs w:val="32"/>
          <w14:textFill>
            <w14:solidFill>
              <w14:schemeClr w14:val="tx1"/>
            </w14:solidFill>
          </w14:textFill>
        </w:rPr>
        <w:t>支持引进境外仿制药技术和人员，支持企业开展国际产能合作，建立跨境研发合作平台。积极引进先进管理经验和关键工艺技术，鼓励境外企业建立研发中心和生产基地。加快药品研发、注册、上市销售的国际化步伐。</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三、创新发展金融服务业</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结合金融改革创新，完善金融服务配套，完善金融组织体系、市场体系，促进资本、金融、产业融合发展。</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普惠金融。</w:t>
      </w:r>
      <w:r>
        <w:rPr>
          <w:color w:val="000000" w:themeColor="text1"/>
          <w:szCs w:val="32"/>
          <w14:textFill>
            <w14:solidFill>
              <w14:schemeClr w14:val="tx1"/>
            </w14:solidFill>
          </w14:textFill>
        </w:rPr>
        <w:t>促进银行、证券、保险等金融机构协同发展，鼓励民营银行、直销银行等小微金融机构创新发展。强化金融服务功能，大力发展普惠金融，加大股权融资</w:t>
      </w:r>
      <w:r>
        <w:rPr>
          <w:rFonts w:hint="eastAsia"/>
          <w:color w:val="000000" w:themeColor="text1"/>
          <w:szCs w:val="32"/>
          <w14:textFill>
            <w14:solidFill>
              <w14:schemeClr w14:val="tx1"/>
            </w14:solidFill>
          </w14:textFill>
        </w:rPr>
        <w:t>等直接融资</w:t>
      </w:r>
      <w:r>
        <w:rPr>
          <w:color w:val="000000" w:themeColor="text1"/>
          <w:szCs w:val="32"/>
          <w14:textFill>
            <w14:solidFill>
              <w14:schemeClr w14:val="tx1"/>
            </w14:solidFill>
          </w14:textFill>
        </w:rPr>
        <w:t>，加强金融服务和产品创新，提高金融服务的覆盖率、可得性和满意度。</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现代金融</w:t>
      </w:r>
      <w:r>
        <w:rPr>
          <w:color w:val="000000" w:themeColor="text1"/>
          <w:szCs w:val="32"/>
          <w14:textFill>
            <w14:solidFill>
              <w14:schemeClr w14:val="tx1"/>
            </w14:solidFill>
          </w14:textFill>
        </w:rPr>
        <w:t>。积极发展投资基金、信托基金、融资担保、融资租赁、保理等现代金融业态，鼓励发展财务公司、消费金融、供应链金融等新型金融机构。建立区域性产业金融服务机构、园区产业金融服务中心等，为区域性产业集群协同发展提供专业化、定制化金融服务。</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跨境金融。</w:t>
      </w:r>
      <w:r>
        <w:rPr>
          <w:color w:val="000000" w:themeColor="text1"/>
          <w:szCs w:val="32"/>
          <w14:textFill>
            <w14:solidFill>
              <w14:schemeClr w14:val="tx1"/>
            </w14:solidFill>
          </w14:textFill>
        </w:rPr>
        <w:t>稳步推进经开国际金融中心建设，支持银行业金融机构按规定发展跨境人民币金融、跨境资本市场服务、跨境保险服务等产业，建设区域性跨境人民币服务中心、面向南亚东南亚的跨境保险产业集聚区，打造辐射南亚东南亚的跨境金融中心。支持符合条件的南亚东南亚等国家金融机构设立外资金融分支机构。鼓励建立沿边跨境金融合作交流平台，推进企业跨境财务结算中心集聚发展，探索跨境财务结算中心进入境内银行间外汇市场交易。</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四、大力发展跨境电商产业</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积极发展跨境电子商务产业，推动园区产业转型升级和对外贸易水平提升，培育园区外贸稳定增长的新动力。</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建设跨境电商平台。</w:t>
      </w:r>
      <w:r>
        <w:rPr>
          <w:color w:val="000000" w:themeColor="text1"/>
          <w:szCs w:val="32"/>
          <w14:textFill>
            <w14:solidFill>
              <w14:schemeClr w14:val="tx1"/>
            </w14:solidFill>
          </w14:textFill>
        </w:rPr>
        <w:t>加快中国昆明跨境电商综试区综合服务平台项目建设，完善中国（昆明）跨境电子商务综合试验区载体功能，吸引阿里巴巴、亚马逊、FedEx等跨境电子商务龙头企业投资，围绕跨境业务供应链和共享生态圈，打造贸易、运营、清关、服务、创业“五位一体”的高质量跨境电商平台。</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打通跨境电商通道。</w:t>
      </w:r>
      <w:r>
        <w:rPr>
          <w:color w:val="000000" w:themeColor="text1"/>
          <w:szCs w:val="32"/>
          <w14:textFill>
            <w14:solidFill>
              <w14:schemeClr w14:val="tx1"/>
            </w14:solidFill>
          </w14:textFill>
        </w:rPr>
        <w:t>建设保税仓储中心、保税物流中心、国际商品馆和线下展示交易中心，开展保税备货、保税展示交易、直购进口、特殊区域进出口等并重的跨境电子商务业务。</w:t>
      </w:r>
      <w:r>
        <w:rPr>
          <w:color w:val="000000" w:themeColor="text1"/>
          <w:kern w:val="0"/>
          <w:szCs w:val="32"/>
          <w14:textFill>
            <w14:solidFill>
              <w14:schemeClr w14:val="tx1"/>
            </w14:solidFill>
          </w14:textFill>
        </w:rPr>
        <w:t>鼓励建设出口产品公共“海外仓”和海外运营中心。积极创新加工贸易发展模式，引导加工贸易逐步向海关特殊监管区域集中。</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提升跨境电商服务。</w:t>
      </w:r>
      <w:r>
        <w:rPr>
          <w:color w:val="000000" w:themeColor="text1"/>
          <w:szCs w:val="32"/>
          <w14:textFill>
            <w14:solidFill>
              <w14:schemeClr w14:val="tx1"/>
            </w14:solidFill>
          </w14:textFill>
        </w:rPr>
        <w:t>支持跨境电子商务企业以及与跨境电商有关的物流、第三方支付、外贸综合服务等企业的信息系统与云南跨境电子商务公共服务平台对接，与国际贸易“单一窗口”对接，增强跨境电子商务各主要环节服务的便利化，提高跨境电商的通关、物流、金融等服务效率。</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五、探索发展平行进口产业</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充分利用自贸区政策优势，积极开展平行进口业务，打造平行进口新业态。</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平行进口汽车。</w:t>
      </w:r>
      <w:r>
        <w:rPr>
          <w:color w:val="000000" w:themeColor="text1"/>
          <w:szCs w:val="32"/>
          <w14:textFill>
            <w14:solidFill>
              <w14:schemeClr w14:val="tx1"/>
            </w14:solidFill>
          </w14:textFill>
        </w:rPr>
        <w:t>推动汽车整车进口口岸的申请进程，利用口岸条件及海关特殊监管区域开展汽车平行进口业务，加快完善汽车平行进口产业生态布局，建设汽车平行进口一站式公共服务平台。完善国际市场采购、保税仓储、销售展示、售后服务、金融支持等汽车平行进口产业链，打造辐射西南地区、在全国具有一定影响力的汽车平行进口产业集群。提高汽车平行进口贸易便利化水平，优化报关、通关、查验等流程，提高通关效率。积极推动自动进口许可证无纸化申领，推广进口证件电子化应用。支持开展平行进口汽车售后服务标准建设，定期对从事汽车平行进口业务企业的经营规模、通关能力、售后维修保障能力和诚信等情况进行综合考核评估，维护汽车平行进口市场秩序，保障消费者权益。</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平行进口技术装备及零部件</w:t>
      </w:r>
      <w:r>
        <w:rPr>
          <w:color w:val="000000" w:themeColor="text1"/>
          <w:szCs w:val="32"/>
          <w14:textFill>
            <w14:solidFill>
              <w14:schemeClr w14:val="tx1"/>
            </w14:solidFill>
          </w14:textFill>
        </w:rPr>
        <w:t>。以满足国内市场需求为导向，积极探索先进技术装备、关键零部件及其他机电产品（医疗器械等高风险产品除外）等平行进口。打造先进技术装备及关键零部件平行进口示范项目，持续提升对外贸易的质量和水平。</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六、着力发展大健康产业</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以提高服务水平为核心，加快发展高端医疗、健康管理等健康服务业，建立发展健康服务产业的长效机制，打造健康服务产业集聚区。</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高端医疗服务业。</w:t>
      </w:r>
      <w:r>
        <w:rPr>
          <w:color w:val="000000" w:themeColor="text1"/>
          <w:szCs w:val="32"/>
          <w14:textFill>
            <w14:solidFill>
              <w14:schemeClr w14:val="tx1"/>
            </w14:solidFill>
          </w14:textFill>
        </w:rPr>
        <w:t>引进国内外高端医疗资源，有序发展精准医疗服务，引进国际一流专家型医疗团队和技术、设备，加强特色专科医疗技术与服务项目的开发，积极发展高端肿瘤治疗、高端生育服务、儿童医学、口腔修复等高标准特色专科医疗服务，形成与全科医院优势互补、错位竞争的发展格局。</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健康管理产业。</w:t>
      </w:r>
      <w:r>
        <w:rPr>
          <w:color w:val="000000" w:themeColor="text1"/>
          <w:szCs w:val="32"/>
          <w14:textFill>
            <w14:solidFill>
              <w14:schemeClr w14:val="tx1"/>
            </w14:solidFill>
          </w14:textFill>
        </w:rPr>
        <w:t>引进国内外知名的专业性健康体检机构和品牌，以高端人才、高收入人群及国内外游客为目标，加快发展个性化体检、疾病筛查、保健指导、健康干预、慢病管理、心理健康咨询等为主体的健康管理服务产业，推动健康管理产业向新型化、个体化、网络化、社会化发展，打造国内重要的健康管理中心。</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七、融合发展文化产业</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通过“文化+”战略引领，促进文化与旅游、健康等其他产业的融合发展，带动相关产业升级，扩大文化服务贸易，</w:t>
      </w:r>
      <w:r>
        <w:rPr>
          <w:rFonts w:hint="eastAsia"/>
          <w:color w:val="000000" w:themeColor="text1"/>
          <w:szCs w:val="32"/>
          <w14:textFill>
            <w14:solidFill>
              <w14:schemeClr w14:val="tx1"/>
            </w14:solidFill>
          </w14:textFill>
        </w:rPr>
        <w:t>助力</w:t>
      </w:r>
      <w:r>
        <w:rPr>
          <w:color w:val="000000" w:themeColor="text1"/>
          <w14:textFill>
            <w14:solidFill>
              <w14:schemeClr w14:val="tx1"/>
            </w14:solidFill>
          </w14:textFill>
        </w:rPr>
        <w:t>西部最具竞争力的</w:t>
      </w:r>
      <w:r>
        <w:rPr>
          <w:rFonts w:hint="eastAsia"/>
          <w:color w:val="000000" w:themeColor="text1"/>
          <w14:textFill>
            <w14:solidFill>
              <w14:schemeClr w14:val="tx1"/>
            </w14:solidFill>
          </w14:textFill>
        </w:rPr>
        <w:t>民族</w:t>
      </w:r>
      <w:r>
        <w:rPr>
          <w:color w:val="000000" w:themeColor="text1"/>
          <w14:textFill>
            <w14:solidFill>
              <w14:schemeClr w14:val="tx1"/>
            </w14:solidFill>
          </w14:textFill>
        </w:rPr>
        <w:t>文化创意之都和区域性国际人文交流中心</w:t>
      </w:r>
      <w:r>
        <w:rPr>
          <w:rFonts w:hint="eastAsia"/>
          <w:color w:val="000000" w:themeColor="text1"/>
          <w14:textFill>
            <w14:solidFill>
              <w14:schemeClr w14:val="tx1"/>
            </w14:solidFill>
          </w14:textFill>
        </w:rPr>
        <w:t>建设</w:t>
      </w:r>
      <w:r>
        <w:rPr>
          <w:color w:val="000000" w:themeColor="text1"/>
          <w:szCs w:val="32"/>
          <w14:textFill>
            <w14:solidFill>
              <w14:schemeClr w14:val="tx1"/>
            </w14:solidFill>
          </w14:textFill>
        </w:rPr>
        <w:t>。</w:t>
      </w:r>
    </w:p>
    <w:p>
      <w:pPr>
        <w:spacing w:line="54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实施“文化+”战略。</w:t>
      </w:r>
      <w:r>
        <w:rPr>
          <w:color w:val="000000" w:themeColor="text1"/>
          <w:szCs w:val="32"/>
          <w14:textFill>
            <w14:solidFill>
              <w14:schemeClr w14:val="tx1"/>
            </w14:solidFill>
          </w14:textFill>
        </w:rPr>
        <w:t>促进文化与旅游、健康、动漫、影视、地产等产业的融合，推出一批多样化融合发展示范基地和产品，带动相关产业转型升级。</w:t>
      </w:r>
      <w:r>
        <w:rPr>
          <w:color w:val="000000" w:themeColor="text1"/>
          <w:szCs w:val="32"/>
          <w:lang w:val="zh-CN"/>
          <w14:textFill>
            <w14:solidFill>
              <w14:schemeClr w14:val="tx1"/>
            </w14:solidFill>
          </w14:textFill>
        </w:rPr>
        <w:t>重点发展文化会展、文化旅游、创意设计、艺术传播、国际教育培训等五大内容板块，建设中国云南普洱茶中心、民族文化传承中心、云南玉石珠宝文化中心等文化教育、文化宣传平台，打造南亚东南亚文化会展核心平台。</w:t>
      </w:r>
      <w:r>
        <w:rPr>
          <w:color w:val="000000" w:themeColor="text1"/>
          <w:szCs w:val="32"/>
          <w14:textFill>
            <w14:solidFill>
              <w14:schemeClr w14:val="tx1"/>
            </w14:solidFill>
          </w14:textFill>
        </w:rPr>
        <w:t>将文化与商业有机结合，建设城市文化交流中心、电影院、美术馆等文化综合体，发展多功能新型文化旅游商业项目，建设具有文化体验和休闲服务功能的特色旅游片区。</w:t>
      </w:r>
    </w:p>
    <w:p>
      <w:pPr>
        <w:spacing w:line="54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扩大文化服务贸易。</w:t>
      </w:r>
      <w:r>
        <w:rPr>
          <w:color w:val="000000" w:themeColor="text1"/>
          <w:szCs w:val="32"/>
          <w14:textFill>
            <w14:solidFill>
              <w14:schemeClr w14:val="tx1"/>
            </w14:solidFill>
          </w14:textFill>
        </w:rPr>
        <w:t>着力加强文化创意产品在南亚东南亚地区的推广，大力推动发展影视剧编译再出口，加强优质影视、动漫、游戏、出版物等的面向南亚东南亚国家的翻译、发行，促进文物及文化艺术品在自贸试验区内的综合保税区存储、展示，鼓励精品演艺节目“走出去”。</w:t>
      </w:r>
    </w:p>
    <w:p>
      <w:pPr>
        <w:spacing w:before="240" w:beforeLines="100" w:after="120" w:afterLines="50"/>
        <w:ind w:firstLine="0" w:firstLineChars="0"/>
        <w:jc w:val="center"/>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表3 “十四五”时期新兴产业培育重点</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51"/>
        <w:gridCol w:w="2240"/>
        <w:gridCol w:w="5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831" w:hRule="atLeast"/>
          <w:tblHeader/>
          <w:jc w:val="center"/>
        </w:trPr>
        <w:tc>
          <w:tcPr>
            <w:tcW w:w="10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黑体"/>
                <w:caps/>
                <w:color w:val="000000" w:themeColor="text1"/>
                <w:sz w:val="24"/>
                <w14:textFill>
                  <w14:solidFill>
                    <w14:schemeClr w14:val="tx1"/>
                  </w14:solidFill>
                </w14:textFill>
              </w:rPr>
            </w:pPr>
            <w:r>
              <w:rPr>
                <w:rFonts w:eastAsia="黑体"/>
                <w:caps/>
                <w:color w:val="000000" w:themeColor="text1"/>
                <w:sz w:val="24"/>
                <w14:textFill>
                  <w14:solidFill>
                    <w14:schemeClr w14:val="tx1"/>
                  </w14:solidFill>
                </w14:textFill>
              </w:rPr>
              <w:t>名称</w:t>
            </w: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黑体"/>
                <w:caps/>
                <w:color w:val="000000" w:themeColor="text1"/>
                <w:sz w:val="24"/>
                <w14:textFill>
                  <w14:solidFill>
                    <w14:schemeClr w14:val="tx1"/>
                  </w14:solidFill>
                </w14:textFill>
              </w:rPr>
            </w:pPr>
            <w:r>
              <w:rPr>
                <w:rFonts w:eastAsia="黑体"/>
                <w:caps/>
                <w:color w:val="000000" w:themeColor="text1"/>
                <w:sz w:val="24"/>
                <w14:textFill>
                  <w14:solidFill>
                    <w14:schemeClr w14:val="tx1"/>
                  </w14:solidFill>
                </w14:textFill>
              </w:rPr>
              <w:t>细分领域</w:t>
            </w:r>
          </w:p>
        </w:tc>
        <w:tc>
          <w:tcPr>
            <w:tcW w:w="578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黑体"/>
                <w:caps/>
                <w:color w:val="000000" w:themeColor="text1"/>
                <w:sz w:val="24"/>
                <w14:textFill>
                  <w14:solidFill>
                    <w14:schemeClr w14:val="tx1"/>
                  </w14:solidFill>
                </w14:textFill>
              </w:rPr>
            </w:pPr>
            <w:r>
              <w:rPr>
                <w:rFonts w:eastAsia="黑体"/>
                <w:caps/>
                <w:color w:val="000000" w:themeColor="text1"/>
                <w:sz w:val="24"/>
                <w14:textFill>
                  <w14:solidFill>
                    <w14:schemeClr w14:val="tx1"/>
                  </w14:solidFill>
                </w14:textFill>
              </w:rPr>
              <w:t>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工业</w:t>
            </w:r>
          </w:p>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大麻</w:t>
            </w: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国际工业大麻产业园</w:t>
            </w:r>
          </w:p>
        </w:tc>
        <w:tc>
          <w:tcPr>
            <w:tcW w:w="5781"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工业大麻产业园、工业大麻精深加工业、工业大麻种子选育、检测认证、技术转移服务、创业孵化等。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工业大麻产品开发</w:t>
            </w:r>
          </w:p>
        </w:tc>
        <w:tc>
          <w:tcPr>
            <w:tcW w:w="5781"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科技研发中心、有益大麻素提取合成中心、企业总部中心、科技成果转化中心、产品展示体验中心、检测检验中心和交易中心。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工业大麻国际合作</w:t>
            </w:r>
          </w:p>
        </w:tc>
        <w:tc>
          <w:tcPr>
            <w:tcW w:w="5781"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引进国外工业大麻种子资源、引进工业大麻产业研究机构、在工业大麻高科技转化和应用领域国际合作。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2" w:hRule="atLeast"/>
          <w:jc w:val="center"/>
        </w:trPr>
        <w:tc>
          <w:tcPr>
            <w:tcW w:w="1051" w:type="dxa"/>
            <w:vMerge w:val="restart"/>
            <w:tcBorders>
              <w:top w:val="single" w:color="auto" w:sz="4" w:space="0"/>
              <w:left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仿制药</w:t>
            </w: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仿制药产业品牌化</w:t>
            </w:r>
          </w:p>
        </w:tc>
        <w:tc>
          <w:tcPr>
            <w:tcW w:w="5781" w:type="dxa"/>
            <w:tcBorders>
              <w:top w:val="single" w:color="auto" w:sz="4" w:space="0"/>
              <w:left w:val="single" w:color="auto" w:sz="4" w:space="0"/>
              <w:bottom w:val="single" w:color="auto" w:sz="4" w:space="0"/>
              <w:right w:val="single" w:color="auto" w:sz="4" w:space="0"/>
            </w:tcBorders>
            <w:vAlign w:val="center"/>
          </w:tcPr>
          <w:p>
            <w:pPr>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引进仿制药项目、加强仿制药质量和疗效一致性评价、推动仿制药品牌化等。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continue"/>
            <w:tcBorders>
              <w:left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仿制药研发创新</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建设仿制药研发公共平台、突破提纯、质量控制等关键技术，提高关键设备的研究制造能力和设备性能，推广应用新技术，优化和改进工艺生产管理等。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continue"/>
            <w:tcBorders>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仿制药国际合作</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引进境外仿制药技术和人员、建立跨境研发合作平台、境外企业研发中心和生产基地等。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金融</w:t>
            </w:r>
          </w:p>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服务</w:t>
            </w: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普惠金融</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银行、证券、保险等金融机构协同发展，鼓励民营银行、直销银行等小微金融机构创新发展等。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现代金融</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发展投资基金、信托基金、融资担保、融资租赁、保理等现代金融业态，鼓励发展财务公司、消费金融、供应链金融等新型金融机构等。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跨境金融</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跨境人民币金融、跨境资本市场服务、跨境保险、外资金融机构、企业跨境财务结算中心、跨境电商线上融资及担保等。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9" w:hRule="atLeast"/>
          <w:jc w:val="center"/>
        </w:trPr>
        <w:tc>
          <w:tcPr>
            <w:tcW w:w="1051"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跨境</w:t>
            </w:r>
          </w:p>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电商</w:t>
            </w: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跨境电商综合服务平台</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中国（昆明）跨境电子商务综合试验区。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跨境电商通道</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保税仓储、物流中心、国际商品馆和线下展示交易中心、保税备货、保税展示交易、直购进口、特殊区域进出口、公共“海外仓”、海外运营中心、保税区备货进口、海外直运等。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9" w:hRule="atLeast"/>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跨境电子商务公共服务</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跨境电商有关的物流、第三方支付、外贸综合服务等。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平行</w:t>
            </w:r>
          </w:p>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进口</w:t>
            </w: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汽车</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汽车平行进口一站式公共服务平台，国际市场采购、保税仓储、销售展示、售后服务、金融支持、平行进口汽车展会等。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24" w:hRule="atLeast"/>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技术装备及零部件</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先进技术装备、关键零部件及其他机电产品（医疗器械等高风险产品除外）平行进口。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67" w:hRule="atLeast"/>
          <w:jc w:val="center"/>
        </w:trPr>
        <w:tc>
          <w:tcPr>
            <w:tcW w:w="1051"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大健康产业</w:t>
            </w: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高端医疗</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精准医疗、高端肿瘤治疗、高端生育服务、儿童医学、口腔修复等。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0" w:hRule="atLeast"/>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健康管理</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个性化体检、疾病筛查、保健指导、健康干预、慢病管理、心理健康咨询等。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文化</w:t>
            </w:r>
          </w:p>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产业</w:t>
            </w: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“文化+”战略</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文化与其他产业融合发展示范基地和产品、城市文化交流中心、电影院、美术馆等文化综合体、新型文化旅游区等。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文化服务贸易</w:t>
            </w:r>
          </w:p>
        </w:tc>
        <w:tc>
          <w:tcPr>
            <w:tcW w:w="5781" w:type="dxa"/>
            <w:tcBorders>
              <w:top w:val="single" w:color="auto" w:sz="4" w:space="0"/>
              <w:left w:val="single" w:color="auto" w:sz="4" w:space="0"/>
              <w:bottom w:val="single" w:color="auto" w:sz="4" w:space="0"/>
              <w:right w:val="single" w:color="auto" w:sz="4" w:space="0"/>
            </w:tcBorders>
            <w:vAlign w:val="center"/>
          </w:tcPr>
          <w:p>
            <w:pPr>
              <w:spacing w:before="24" w:beforeLines="10" w:after="24" w:afterLines="10"/>
              <w:ind w:firstLine="0" w:firstLineChars="0"/>
              <w:rPr>
                <w:caps/>
                <w:color w:val="000000" w:themeColor="text1"/>
                <w:sz w:val="24"/>
                <w14:textFill>
                  <w14:solidFill>
                    <w14:schemeClr w14:val="tx1"/>
                  </w14:solidFill>
                </w14:textFill>
              </w:rPr>
            </w:pPr>
            <w:r>
              <w:rPr>
                <w:caps/>
                <w:color w:val="000000" w:themeColor="text1"/>
                <w:sz w:val="24"/>
                <w14:textFill>
                  <w14:solidFill>
                    <w14:schemeClr w14:val="tx1"/>
                  </w14:solidFill>
                </w14:textFill>
              </w:rPr>
              <w:t>优质影视、动漫、游戏、出版物出口、精品演艺节目“走出去”、文物及文化艺术品保税展示等。</w:t>
            </w:r>
          </w:p>
        </w:tc>
      </w:tr>
    </w:tbl>
    <w:p>
      <w:pPr>
        <w:spacing w:before="240" w:beforeLines="100" w:after="240" w:afterLines="100" w:line="560" w:lineRule="atLeast"/>
        <w:ind w:firstLine="0" w:firstLineChars="0"/>
        <w:jc w:val="center"/>
        <w:outlineLvl w:val="1"/>
        <w:rPr>
          <w:rFonts w:eastAsia="楷体_GB2312"/>
          <w:b/>
          <w:bCs/>
          <w:color w:val="000000" w:themeColor="text1"/>
          <w:szCs w:val="32"/>
          <w14:textFill>
            <w14:solidFill>
              <w14:schemeClr w14:val="tx1"/>
            </w14:solidFill>
          </w14:textFill>
        </w:rPr>
      </w:pPr>
      <w:bookmarkStart w:id="118" w:name="_Toc24282"/>
      <w:r>
        <w:rPr>
          <w:rFonts w:eastAsia="楷体_GB2312"/>
          <w:b/>
          <w:bCs/>
          <w:color w:val="000000" w:themeColor="text1"/>
          <w:szCs w:val="32"/>
          <w14:textFill>
            <w14:solidFill>
              <w14:schemeClr w14:val="tx1"/>
            </w14:solidFill>
          </w14:textFill>
        </w:rPr>
        <w:t>第三节　巩固提升传统产业</w:t>
      </w:r>
      <w:bookmarkEnd w:id="118"/>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一、推动传统产业二次创业</w:t>
      </w:r>
    </w:p>
    <w:p>
      <w:pPr>
        <w:tabs>
          <w:tab w:val="left" w:pos="2240"/>
        </w:tabs>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巩固建筑业发展优势。</w:t>
      </w:r>
      <w:r>
        <w:rPr>
          <w:color w:val="000000" w:themeColor="text1"/>
          <w:szCs w:val="32"/>
          <w14:textFill>
            <w14:solidFill>
              <w14:schemeClr w14:val="tx1"/>
            </w14:solidFill>
          </w14:textFill>
        </w:rPr>
        <w:t>支持云南建投集团、交投云岭建设、云南工程总承包等企业加大技术创新及研发投入，推进产学研用一体化，突破重点领域、关键共性技术开发应用，全面提升工程装备技术水平。推进大数据、移动互联网、云计算、物联网、人工智能等技术在设计、施工、运营维护全过程的集成应用，推广工程建设数字化成果交付与应用，提升建筑业信息化水平。加速数字建筑全产业链渗透融合，带动配套服务业发展壮大。支持区内建筑企业向外扩展，不断扩大市场份额，提升市场竞争力。力争到2025年，建筑业产值接近2000亿元。</w:t>
      </w:r>
    </w:p>
    <w:p>
      <w:pPr>
        <w:tabs>
          <w:tab w:val="left" w:pos="2240"/>
        </w:tabs>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推动</w:t>
      </w:r>
      <w:r>
        <w:rPr>
          <w:rFonts w:hint="eastAsia"/>
          <w:b/>
          <w:bCs/>
          <w:color w:val="000000" w:themeColor="text1"/>
          <w:szCs w:val="32"/>
          <w14:textFill>
            <w14:solidFill>
              <w14:schemeClr w14:val="tx1"/>
            </w14:solidFill>
          </w14:textFill>
        </w:rPr>
        <w:t>商贸</w:t>
      </w:r>
      <w:r>
        <w:rPr>
          <w:b/>
          <w:bCs/>
          <w:color w:val="000000" w:themeColor="text1"/>
          <w:szCs w:val="32"/>
          <w14:textFill>
            <w14:solidFill>
              <w14:schemeClr w14:val="tx1"/>
            </w14:solidFill>
          </w14:textFill>
        </w:rPr>
        <w:t>物流业转型升级。</w:t>
      </w:r>
      <w:r>
        <w:rPr>
          <w:color w:val="000000" w:themeColor="text1"/>
          <w:szCs w:val="32"/>
          <w14:textFill>
            <w14:solidFill>
              <w14:schemeClr w14:val="tx1"/>
            </w14:solidFill>
          </w14:textFill>
        </w:rPr>
        <w:t>支持建投物流、国美物流、十四冶贸易、云铝汇鑫等批发企业调整产品业态结构，拓宽服务范围，通过“互联网+”，实现线上、线下双发展，提升集约化、信息化、品牌化水平。推动一心堂药业、健之佳等企业加快集团化、连锁化、全国化发展，扩大批发业市场份额。支持宝象物流、农垦物流等传统物流企业转型升级，发展现代物流。推动企业“走出去”，建设“海外仓”、“公共仓”扩展国内外业务。力争到2025年，</w:t>
      </w:r>
      <w:r>
        <w:rPr>
          <w:rFonts w:hint="eastAsia"/>
          <w:color w:val="000000" w:themeColor="text1"/>
          <w:szCs w:val="32"/>
          <w14:textFill>
            <w14:solidFill>
              <w14:schemeClr w14:val="tx1"/>
            </w14:solidFill>
          </w14:textFill>
        </w:rPr>
        <w:t>商贸</w:t>
      </w:r>
      <w:r>
        <w:rPr>
          <w:color w:val="000000" w:themeColor="text1"/>
          <w:szCs w:val="32"/>
          <w14:textFill>
            <w14:solidFill>
              <w14:schemeClr w14:val="tx1"/>
            </w14:solidFill>
          </w14:textFill>
        </w:rPr>
        <w:t>物流业营业收入接近2000亿元。</w:t>
      </w:r>
    </w:p>
    <w:p>
      <w:pPr>
        <w:tabs>
          <w:tab w:val="left" w:pos="2240"/>
        </w:tabs>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促进农副食品加工业向品牌化发展。</w:t>
      </w:r>
      <w:r>
        <w:rPr>
          <w:color w:val="000000" w:themeColor="text1"/>
          <w:szCs w:val="32"/>
          <w14:textFill>
            <w14:solidFill>
              <w14:schemeClr w14:val="tx1"/>
            </w14:solidFill>
          </w14:textFill>
        </w:rPr>
        <w:t>通过规模化、品牌化发展战略，发展壮大雪兰牛奶、庆沣祥茶业、</w:t>
      </w:r>
      <w:r>
        <w:rPr>
          <w:color w:val="000000" w:themeColor="text1"/>
          <w14:textFill>
            <w14:solidFill>
              <w14:schemeClr w14:val="tx1"/>
            </w14:solidFill>
          </w14:textFill>
        </w:rPr>
        <w:t>金丰汇油脂、统一食品、</w:t>
      </w:r>
      <w:r>
        <w:rPr>
          <w:color w:val="000000" w:themeColor="text1"/>
          <w:szCs w:val="32"/>
          <w14:textFill>
            <w14:solidFill>
              <w14:schemeClr w14:val="tx1"/>
            </w14:solidFill>
          </w14:textFill>
        </w:rPr>
        <w:t>农垦咖啡、云南红酒、神农肉业及子弟土豆片等一批农副产品加工龙头企业，积极促进饮品、方便食品、乳品、调味品、休闲、烘焙食品等产业个性化、健康化、品牌化发展。推进雪兰牛奶新厂、潘祥记农副产品加工基地、上好佳食品厂房及辅助工程等项目建设，提高农副产品加工转化率，以绿色食品加工业带动农业产业化发展。</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二、实施集群补链强链工程</w:t>
      </w:r>
    </w:p>
    <w:p>
      <w:pPr>
        <w:tabs>
          <w:tab w:val="left" w:pos="2240"/>
        </w:tabs>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丰富完善产业集群体系。</w:t>
      </w:r>
      <w:r>
        <w:rPr>
          <w:color w:val="000000" w:themeColor="text1"/>
          <w:szCs w:val="32"/>
          <w14:textFill>
            <w14:solidFill>
              <w14:schemeClr w14:val="tx1"/>
            </w14:solidFill>
          </w14:textFill>
        </w:rPr>
        <w:t>建立产业集群补链强链工作联动协调机制，协调解决产业链供应链面临的突出问题。围绕产业薄弱环节及产业链短板环节，加大招商引资力度，补齐产业结构链条。巩固提升装备制造、食品饮料、烟草及配套等产业链的完整度和成熟度，以需求牵引带动壮大电子信息、新能源、新材料等战略性新兴产业的集聚，丰富完善产业集群体系。对骨干企业引进关键配套企业给予政策支持，鼓励云南白药健康产品、云内动力、昆船智能等企业发挥带动引领作用，建立所属行业上下游配套协作机制，引导关联配套企业集聚。</w:t>
      </w:r>
    </w:p>
    <w:p>
      <w:pPr>
        <w:tabs>
          <w:tab w:val="left" w:pos="2240"/>
        </w:tabs>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增强产业集群核心竞争力。</w:t>
      </w:r>
      <w:r>
        <w:rPr>
          <w:color w:val="000000" w:themeColor="text1"/>
          <w:szCs w:val="32"/>
          <w14:textFill>
            <w14:solidFill>
              <w14:schemeClr w14:val="tx1"/>
            </w14:solidFill>
          </w14:textFill>
        </w:rPr>
        <w:t>围绕产业链部署创新链，通过寻求战略合作、引进先进技术和资本等，突破核心技术，提升产业集群的竞争力。补强基础研发、应用创新、市场化推广等产业链关键环节，从质量上、标准上努力提升产品核心竞争力，支持一批产业链核心企业开展强强联合、上下游整合，构建核心技术全产业生态，促进产业基础能力高级化和产业链现代化。</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三、实施两业融合互动工程</w:t>
      </w:r>
    </w:p>
    <w:p>
      <w:pPr>
        <w:tabs>
          <w:tab w:val="left" w:pos="2240"/>
        </w:tabs>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依托数字化为“两业”融合赋能。</w:t>
      </w:r>
      <w:r>
        <w:rPr>
          <w:color w:val="000000" w:themeColor="text1"/>
          <w:szCs w:val="32"/>
          <w14:textFill>
            <w14:solidFill>
              <w14:schemeClr w14:val="tx1"/>
            </w14:solidFill>
          </w14:textFill>
        </w:rPr>
        <w:t>鼓励传统装备制造行业数字化、网络化、智能化发展，开展服务型制造。支持制造业向研发、设计、物流、金融等多端延伸，促进制造业与生产性服务业融合发展。发展精准化定制、个性化设计等服务型制造新模式，培育一批服务型制造示范企业和项目，建设一批生产性服务业公共服务平台。鼓励企业利用工业互联网、5G、物联网等新技术实施数字化转型，开展个性化设计、生产设备共享、远程运维、预测性维护、全生命周期管理等服务型制造，促进制造业和服务业在产业链上融合，拓展制造业价值空间。</w:t>
      </w:r>
    </w:p>
    <w:p>
      <w:pPr>
        <w:tabs>
          <w:tab w:val="left" w:pos="2240"/>
        </w:tabs>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推动绿色食品加工业与健康服务业融合发展。</w:t>
      </w:r>
      <w:r>
        <w:rPr>
          <w:color w:val="000000" w:themeColor="text1"/>
          <w:szCs w:val="32"/>
          <w14:textFill>
            <w14:solidFill>
              <w14:schemeClr w14:val="tx1"/>
            </w14:solidFill>
          </w14:textFill>
        </w:rPr>
        <w:t>利用绿色食品加工产业的优势，积极推动绿色食品加工业与大健康产业的融合，满足消费者注重健康、绿色、高品质的消费需求，推动绿色食品工业服务化升级。与绿色农产品种植基地、特色庄园等生态农业资源合作，积极发展养生文旅服务业。加强功能性保健食品研发，发展保健食品及保健饮料产业，融入昆明大健康服务业发展。</w:t>
      </w:r>
    </w:p>
    <w:p>
      <w:pPr>
        <w:spacing w:line="560" w:lineRule="atLeast"/>
        <w:ind w:firstLine="640"/>
        <w:outlineLvl w:val="2"/>
        <w:rPr>
          <w:rFonts w:eastAsia="黑体"/>
          <w:bCs/>
          <w:color w:val="000000" w:themeColor="text1"/>
          <w:szCs w:val="32"/>
          <w14:textFill>
            <w14:solidFill>
              <w14:schemeClr w14:val="tx1"/>
            </w14:solidFill>
          </w14:textFill>
        </w:rPr>
      </w:pPr>
      <w:r>
        <w:rPr>
          <w:rFonts w:eastAsia="黑体"/>
          <w:bCs/>
          <w:color w:val="000000" w:themeColor="text1"/>
          <w:szCs w:val="32"/>
          <w14:textFill>
            <w14:solidFill>
              <w14:schemeClr w14:val="tx1"/>
            </w14:solidFill>
          </w14:textFill>
        </w:rPr>
        <w:t>四、实施骨干企业壮大工程</w:t>
      </w:r>
    </w:p>
    <w:p>
      <w:pPr>
        <w:tabs>
          <w:tab w:val="left" w:pos="2240"/>
        </w:tabs>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完善企业培育扶持机制。</w:t>
      </w:r>
      <w:r>
        <w:rPr>
          <w:color w:val="000000" w:themeColor="text1"/>
          <w:szCs w:val="32"/>
          <w14:textFill>
            <w14:solidFill>
              <w14:schemeClr w14:val="tx1"/>
            </w14:solidFill>
          </w14:textFill>
        </w:rPr>
        <w:t>实施龙头企业培育计划，建立龙头企业培育库，遴选一批具有重大支撑作用的龙头企业及重大招商引资项目，采取“一企一策”方式加大培育力度，支持云南建投集团打造世界500强企业，争取培育3家中国500强企业。依托现有产业专项资金或设立新的产业专项资金，采用直接资助、股权投资、贷款贴息相结合的方式支持龙头企业重大项目投资、新产品研发、高端设备购置、高新技术企业申请、重大创新载体建设等。</w:t>
      </w:r>
    </w:p>
    <w:p>
      <w:pPr>
        <w:tabs>
          <w:tab w:val="left" w:pos="2240"/>
        </w:tabs>
        <w:spacing w:line="560" w:lineRule="atLeast"/>
        <w:ind w:firstLine="643"/>
        <w:rPr>
          <w:bCs/>
          <w:color w:val="000000" w:themeColor="text1"/>
          <w:kern w:val="0"/>
          <w:szCs w:val="32"/>
          <w14:textFill>
            <w14:solidFill>
              <w14:schemeClr w14:val="tx1"/>
            </w14:solidFill>
          </w14:textFill>
        </w:rPr>
      </w:pPr>
      <w:r>
        <w:rPr>
          <w:b/>
          <w:bCs/>
          <w:color w:val="000000" w:themeColor="text1"/>
          <w:szCs w:val="32"/>
          <w14:textFill>
            <w14:solidFill>
              <w14:schemeClr w14:val="tx1"/>
            </w14:solidFill>
          </w14:textFill>
        </w:rPr>
        <w:t>推动企业国际化发展。</w:t>
      </w:r>
      <w:r>
        <w:rPr>
          <w:color w:val="000000" w:themeColor="text1"/>
          <w:szCs w:val="32"/>
          <w14:textFill>
            <w14:solidFill>
              <w14:schemeClr w14:val="tx1"/>
            </w14:solidFill>
          </w14:textFill>
        </w:rPr>
        <w:t>推动企业加强与“一带一路”沿线国家和地区开展国际产业合作、科技创新合作、双向投资与贸易合作等，共建科技合作园区、联合实验室、技术转移中心、技术示范推广基地。鼓励有条件的龙头企业通过新建、并购、参股、增资等方式建立海外创新中心和生产基地，以参股或共建等形式参与境外经贸合作园区运营管理，带动中小企业出海。</w:t>
      </w:r>
    </w:p>
    <w:p>
      <w:pPr>
        <w:spacing w:before="240" w:beforeLines="100" w:after="120" w:afterLines="50"/>
        <w:ind w:firstLine="0" w:firstLineChars="0"/>
        <w:jc w:val="center"/>
        <w:rPr>
          <w:rFonts w:eastAsia="黑体"/>
          <w:bCs/>
          <w:color w:val="000000" w:themeColor="text1"/>
          <w:szCs w:val="32"/>
          <w14:textFill>
            <w14:solidFill>
              <w14:schemeClr w14:val="tx1"/>
            </w14:solidFill>
          </w14:textFill>
        </w:rPr>
      </w:pPr>
      <w:r>
        <w:rPr>
          <w:rFonts w:eastAsia="黑体"/>
          <w:bCs/>
          <w:color w:val="000000" w:themeColor="text1"/>
          <w:kern w:val="0"/>
          <w:szCs w:val="32"/>
          <w:lang w:val="zh-CN"/>
          <w14:textFill>
            <w14:solidFill>
              <w14:schemeClr w14:val="tx1"/>
            </w14:solidFill>
          </w14:textFill>
        </w:rPr>
        <w:t>专栏</w:t>
      </w:r>
      <w:r>
        <w:rPr>
          <w:rFonts w:eastAsia="黑体"/>
          <w:bCs/>
          <w:color w:val="000000" w:themeColor="text1"/>
          <w:kern w:val="0"/>
          <w:szCs w:val="32"/>
          <w14:textFill>
            <w14:solidFill>
              <w14:schemeClr w14:val="tx1"/>
            </w14:solidFill>
          </w14:textFill>
        </w:rPr>
        <w:t>5</w:t>
      </w:r>
      <w:r>
        <w:rPr>
          <w:rFonts w:eastAsia="黑体"/>
          <w:bCs/>
          <w:color w:val="000000" w:themeColor="text1"/>
          <w:kern w:val="0"/>
          <w:szCs w:val="32"/>
          <w:lang w:val="zh-CN"/>
          <w14:textFill>
            <w14:solidFill>
              <w14:schemeClr w14:val="tx1"/>
            </w14:solidFill>
          </w14:textFill>
        </w:rPr>
        <w:t xml:space="preserve">  产业提升“241”工程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spacing w:line="440" w:lineRule="atLeast"/>
              <w:ind w:firstLine="560"/>
              <w:rPr>
                <w:caps/>
                <w:color w:val="000000" w:themeColor="text1"/>
                <w:kern w:val="0"/>
                <w:sz w:val="28"/>
                <w:szCs w:val="28"/>
                <w:lang w:val="zh-CN"/>
                <w14:textFill>
                  <w14:solidFill>
                    <w14:schemeClr w14:val="tx1"/>
                  </w14:solidFill>
                </w14:textFill>
              </w:rPr>
            </w:pPr>
            <w:r>
              <w:rPr>
                <w:caps/>
                <w:color w:val="000000" w:themeColor="text1"/>
                <w:kern w:val="0"/>
                <w:sz w:val="28"/>
                <w:szCs w:val="28"/>
                <w:lang w:val="zh-CN"/>
                <w14:textFill>
                  <w14:solidFill>
                    <w14:schemeClr w14:val="tx1"/>
                  </w14:solidFill>
                </w14:textFill>
              </w:rPr>
              <w:t>立足比较优势和自身特色，实施产业提升“241”工程，打造具有引领性、示范性的千亿级、百亿级产业。</w:t>
            </w:r>
          </w:p>
          <w:p>
            <w:pPr>
              <w:spacing w:line="440" w:lineRule="atLeast"/>
              <w:ind w:firstLine="562"/>
              <w:rPr>
                <w:caps/>
                <w:color w:val="000000" w:themeColor="text1"/>
                <w:kern w:val="0"/>
                <w:sz w:val="28"/>
                <w:szCs w:val="28"/>
                <w:lang w:val="zh-CN"/>
                <w14:textFill>
                  <w14:solidFill>
                    <w14:schemeClr w14:val="tx1"/>
                  </w14:solidFill>
                </w14:textFill>
              </w:rPr>
            </w:pPr>
            <w:r>
              <w:rPr>
                <w:rFonts w:hint="eastAsia"/>
                <w:b/>
                <w:bCs/>
                <w:caps/>
                <w:color w:val="000000" w:themeColor="text1"/>
                <w:kern w:val="0"/>
                <w:sz w:val="28"/>
                <w:szCs w:val="28"/>
                <w:lang w:val="zh-CN"/>
                <w14:textFill>
                  <w14:solidFill>
                    <w14:schemeClr w14:val="tx1"/>
                  </w14:solidFill>
                </w14:textFill>
              </w:rPr>
              <w:t>“2”即巩固提升建筑业、商贸物流2个千亿级产业</w:t>
            </w:r>
            <w:r>
              <w:rPr>
                <w:b/>
                <w:bCs/>
                <w:caps/>
                <w:color w:val="000000" w:themeColor="text1"/>
                <w:kern w:val="0"/>
                <w:sz w:val="28"/>
                <w:szCs w:val="28"/>
                <w:lang w:val="zh-CN"/>
                <w14:textFill>
                  <w14:solidFill>
                    <w14:schemeClr w14:val="tx1"/>
                  </w14:solidFill>
                </w14:textFill>
              </w:rPr>
              <w:t>。</w:t>
            </w:r>
            <w:r>
              <w:rPr>
                <w:rFonts w:hint="eastAsia"/>
                <w:caps/>
                <w:color w:val="000000" w:themeColor="text1"/>
                <w:kern w:val="0"/>
                <w:sz w:val="28"/>
                <w:szCs w:val="28"/>
                <w:lang w:val="zh-CN"/>
                <w14:textFill>
                  <w14:solidFill>
                    <w14:schemeClr w14:val="tx1"/>
                  </w14:solidFill>
                </w14:textFill>
              </w:rPr>
              <w:t>至2025年，</w:t>
            </w:r>
            <w:r>
              <w:rPr>
                <w:caps/>
                <w:color w:val="000000" w:themeColor="text1"/>
                <w:kern w:val="0"/>
                <w:sz w:val="28"/>
                <w:szCs w:val="28"/>
                <w:lang w:val="zh-CN"/>
                <w14:textFill>
                  <w14:solidFill>
                    <w14:schemeClr w14:val="tx1"/>
                  </w14:solidFill>
                </w14:textFill>
              </w:rPr>
              <w:t>力争建筑业产值接近</w:t>
            </w:r>
            <w:r>
              <w:rPr>
                <w:caps/>
                <w:color w:val="000000" w:themeColor="text1"/>
                <w:kern w:val="0"/>
                <w:sz w:val="28"/>
                <w:szCs w:val="28"/>
                <w14:textFill>
                  <w14:solidFill>
                    <w14:schemeClr w14:val="tx1"/>
                  </w14:solidFill>
                </w14:textFill>
              </w:rPr>
              <w:t>2000亿元</w:t>
            </w:r>
            <w:r>
              <w:rPr>
                <w:rFonts w:hint="eastAsia"/>
                <w:caps/>
                <w:color w:val="000000" w:themeColor="text1"/>
                <w:kern w:val="0"/>
                <w:sz w:val="28"/>
                <w:szCs w:val="28"/>
                <w:lang w:val="zh-CN"/>
                <w14:textFill>
                  <w14:solidFill>
                    <w14:schemeClr w14:val="tx1"/>
                  </w14:solidFill>
                </w14:textFill>
              </w:rPr>
              <w:t>，商贸物流业营业收入接近2000亿元</w:t>
            </w:r>
            <w:r>
              <w:rPr>
                <w:caps/>
                <w:color w:val="000000" w:themeColor="text1"/>
                <w:kern w:val="0"/>
                <w:sz w:val="28"/>
                <w:szCs w:val="28"/>
                <w:lang w:val="zh-CN"/>
                <w14:textFill>
                  <w14:solidFill>
                    <w14:schemeClr w14:val="tx1"/>
                  </w14:solidFill>
                </w14:textFill>
              </w:rPr>
              <w:t>。</w:t>
            </w:r>
          </w:p>
          <w:p>
            <w:pPr>
              <w:spacing w:line="440" w:lineRule="atLeast"/>
              <w:ind w:firstLine="562"/>
              <w:rPr>
                <w:caps/>
                <w:color w:val="000000" w:themeColor="text1"/>
                <w:kern w:val="0"/>
                <w:sz w:val="28"/>
                <w:szCs w:val="28"/>
                <w:lang w:val="zh-CN"/>
                <w14:textFill>
                  <w14:solidFill>
                    <w14:schemeClr w14:val="tx1"/>
                  </w14:solidFill>
                </w14:textFill>
              </w:rPr>
            </w:pPr>
            <w:r>
              <w:rPr>
                <w:rFonts w:hint="eastAsia"/>
                <w:b/>
                <w:bCs/>
                <w:caps/>
                <w:color w:val="000000" w:themeColor="text1"/>
                <w:kern w:val="0"/>
                <w:sz w:val="28"/>
                <w:szCs w:val="28"/>
                <w:lang w:val="zh-CN"/>
                <w14:textFill>
                  <w14:solidFill>
                    <w14:schemeClr w14:val="tx1"/>
                  </w14:solidFill>
                </w14:textFill>
              </w:rPr>
              <w:t>“4”即做大做强装备制造、烟草及配套、新材料、生物医药及健康产品4个支柱产业</w:t>
            </w:r>
            <w:r>
              <w:rPr>
                <w:b/>
                <w:bCs/>
                <w:caps/>
                <w:color w:val="000000" w:themeColor="text1"/>
                <w:kern w:val="0"/>
                <w:sz w:val="28"/>
                <w:szCs w:val="28"/>
                <w:lang w:val="zh-CN"/>
                <w14:textFill>
                  <w14:solidFill>
                    <w14:schemeClr w14:val="tx1"/>
                  </w14:solidFill>
                </w14:textFill>
              </w:rPr>
              <w:t>。</w:t>
            </w:r>
            <w:r>
              <w:rPr>
                <w:rFonts w:hint="eastAsia"/>
                <w:caps/>
                <w:color w:val="000000" w:themeColor="text1"/>
                <w:kern w:val="0"/>
                <w:sz w:val="28"/>
                <w:szCs w:val="28"/>
                <w:lang w:val="zh-CN"/>
                <w14:textFill>
                  <w14:solidFill>
                    <w14:schemeClr w14:val="tx1"/>
                  </w14:solidFill>
                </w14:textFill>
              </w:rPr>
              <w:t>至2025年，</w:t>
            </w:r>
            <w:r>
              <w:rPr>
                <w:caps/>
                <w:color w:val="000000" w:themeColor="text1"/>
                <w:kern w:val="0"/>
                <w:sz w:val="28"/>
                <w:szCs w:val="28"/>
                <w:lang w:val="zh-CN"/>
                <w14:textFill>
                  <w14:solidFill>
                    <w14:schemeClr w14:val="tx1"/>
                  </w14:solidFill>
                </w14:textFill>
              </w:rPr>
              <w:t>力争装备制造业产值</w:t>
            </w:r>
            <w:r>
              <w:rPr>
                <w:rFonts w:hint="eastAsia"/>
                <w:caps/>
                <w:color w:val="000000" w:themeColor="text1"/>
                <w:kern w:val="0"/>
                <w:sz w:val="28"/>
                <w:szCs w:val="28"/>
                <w:lang w:val="zh-CN"/>
                <w14:textFill>
                  <w14:solidFill>
                    <w14:schemeClr w14:val="tx1"/>
                  </w14:solidFill>
                </w14:textFill>
              </w:rPr>
              <w:t>接近</w:t>
            </w:r>
            <w:r>
              <w:rPr>
                <w:caps/>
                <w:color w:val="000000" w:themeColor="text1"/>
                <w:kern w:val="0"/>
                <w:sz w:val="28"/>
                <w:szCs w:val="28"/>
                <w:lang w:val="zh-CN"/>
                <w14:textFill>
                  <w14:solidFill>
                    <w14:schemeClr w14:val="tx1"/>
                  </w14:solidFill>
                </w14:textFill>
              </w:rPr>
              <w:t>300亿元，烟草及配套产业产值</w:t>
            </w:r>
            <w:r>
              <w:rPr>
                <w:rFonts w:hint="eastAsia"/>
                <w:caps/>
                <w:color w:val="000000" w:themeColor="text1"/>
                <w:kern w:val="0"/>
                <w:sz w:val="28"/>
                <w:szCs w:val="28"/>
                <w:lang w:val="zh-CN"/>
                <w14:textFill>
                  <w14:solidFill>
                    <w14:schemeClr w14:val="tx1"/>
                  </w14:solidFill>
                </w14:textFill>
              </w:rPr>
              <w:t>接近</w:t>
            </w:r>
            <w:r>
              <w:rPr>
                <w:caps/>
                <w:color w:val="000000" w:themeColor="text1"/>
                <w:kern w:val="0"/>
                <w:sz w:val="28"/>
                <w:szCs w:val="28"/>
                <w:lang w:val="zh-CN"/>
                <w14:textFill>
                  <w14:solidFill>
                    <w14:schemeClr w14:val="tx1"/>
                  </w14:solidFill>
                </w14:textFill>
              </w:rPr>
              <w:t>200亿元，新材料产业产值</w:t>
            </w:r>
            <w:r>
              <w:rPr>
                <w:rFonts w:hint="eastAsia"/>
                <w:caps/>
                <w:color w:val="000000" w:themeColor="text1"/>
                <w:kern w:val="0"/>
                <w:sz w:val="28"/>
                <w:szCs w:val="28"/>
                <w:lang w:val="zh-CN"/>
                <w14:textFill>
                  <w14:solidFill>
                    <w14:schemeClr w14:val="tx1"/>
                  </w14:solidFill>
                </w14:textFill>
              </w:rPr>
              <w:t>接近</w:t>
            </w:r>
            <w:r>
              <w:rPr>
                <w:caps/>
                <w:color w:val="000000" w:themeColor="text1"/>
                <w:kern w:val="0"/>
                <w:sz w:val="28"/>
                <w:szCs w:val="28"/>
                <w14:textFill>
                  <w14:solidFill>
                    <w14:schemeClr w14:val="tx1"/>
                  </w14:solidFill>
                </w14:textFill>
              </w:rPr>
              <w:t>100亿元</w:t>
            </w:r>
            <w:r>
              <w:rPr>
                <w:caps/>
                <w:color w:val="000000" w:themeColor="text1"/>
                <w:kern w:val="0"/>
                <w:sz w:val="28"/>
                <w:szCs w:val="28"/>
                <w:lang w:val="zh-CN"/>
                <w14:textFill>
                  <w14:solidFill>
                    <w14:schemeClr w14:val="tx1"/>
                  </w14:solidFill>
                </w14:textFill>
              </w:rPr>
              <w:t>，生物医药及健康产品产值</w:t>
            </w:r>
            <w:r>
              <w:rPr>
                <w:rFonts w:hint="eastAsia"/>
                <w:caps/>
                <w:color w:val="000000" w:themeColor="text1"/>
                <w:kern w:val="0"/>
                <w:sz w:val="28"/>
                <w:szCs w:val="28"/>
                <w:lang w:val="zh-CN"/>
                <w14:textFill>
                  <w14:solidFill>
                    <w14:schemeClr w14:val="tx1"/>
                  </w14:solidFill>
                </w14:textFill>
              </w:rPr>
              <w:t>突破</w:t>
            </w:r>
            <w:r>
              <w:rPr>
                <w:caps/>
                <w:color w:val="000000" w:themeColor="text1"/>
                <w:kern w:val="0"/>
                <w:sz w:val="28"/>
                <w:szCs w:val="28"/>
                <w:lang w:val="zh-CN"/>
                <w14:textFill>
                  <w14:solidFill>
                    <w14:schemeClr w14:val="tx1"/>
                  </w14:solidFill>
                </w14:textFill>
              </w:rPr>
              <w:t>1</w:t>
            </w:r>
            <w:r>
              <w:rPr>
                <w:caps/>
                <w:color w:val="000000" w:themeColor="text1"/>
                <w:kern w:val="0"/>
                <w:sz w:val="28"/>
                <w:szCs w:val="28"/>
                <w14:textFill>
                  <w14:solidFill>
                    <w14:schemeClr w14:val="tx1"/>
                  </w14:solidFill>
                </w14:textFill>
              </w:rPr>
              <w:t>2</w:t>
            </w:r>
            <w:r>
              <w:rPr>
                <w:caps/>
                <w:color w:val="000000" w:themeColor="text1"/>
                <w:kern w:val="0"/>
                <w:sz w:val="28"/>
                <w:szCs w:val="28"/>
                <w:lang w:val="zh-CN"/>
                <w14:textFill>
                  <w14:solidFill>
                    <w14:schemeClr w14:val="tx1"/>
                  </w14:solidFill>
                </w14:textFill>
              </w:rPr>
              <w:t>0亿元。</w:t>
            </w:r>
          </w:p>
          <w:p>
            <w:pPr>
              <w:spacing w:line="440" w:lineRule="atLeast"/>
              <w:ind w:firstLine="562"/>
              <w:rPr>
                <w:caps/>
                <w:color w:val="000000" w:themeColor="text1"/>
                <w:sz w:val="24"/>
                <w:szCs w:val="32"/>
                <w:lang w:val="zh-CN"/>
                <w14:textFill>
                  <w14:solidFill>
                    <w14:schemeClr w14:val="tx1"/>
                  </w14:solidFill>
                </w14:textFill>
              </w:rPr>
            </w:pPr>
            <w:r>
              <w:rPr>
                <w:rFonts w:hint="eastAsia"/>
                <w:b/>
                <w:bCs/>
                <w:caps/>
                <w:color w:val="000000" w:themeColor="text1"/>
                <w:kern w:val="0"/>
                <w:sz w:val="28"/>
                <w:szCs w:val="28"/>
                <w:lang w:val="zh-CN"/>
                <w14:textFill>
                  <w14:solidFill>
                    <w14:schemeClr w14:val="tx1"/>
                  </w14:solidFill>
                </w14:textFill>
              </w:rPr>
              <w:t>“1”即培育壮大1个以上新兴产业</w:t>
            </w:r>
            <w:r>
              <w:rPr>
                <w:b/>
                <w:bCs/>
                <w:caps/>
                <w:color w:val="000000" w:themeColor="text1"/>
                <w:kern w:val="0"/>
                <w:sz w:val="28"/>
                <w:szCs w:val="28"/>
                <w:lang w:val="zh-CN"/>
                <w14:textFill>
                  <w14:solidFill>
                    <w14:schemeClr w14:val="tx1"/>
                  </w14:solidFill>
                </w14:textFill>
              </w:rPr>
              <w:t>。</w:t>
            </w:r>
            <w:r>
              <w:rPr>
                <w:rFonts w:hint="eastAsia"/>
                <w:caps/>
                <w:color w:val="000000" w:themeColor="text1"/>
                <w:kern w:val="0"/>
                <w:sz w:val="28"/>
                <w:szCs w:val="28"/>
                <w:lang w:val="zh-CN"/>
                <w14:textFill>
                  <w14:solidFill>
                    <w14:schemeClr w14:val="tx1"/>
                  </w14:solidFill>
                </w14:textFill>
              </w:rPr>
              <w:t>把握数字化赋能经济社会发展的大趋势，至2025年，力争工业大麻和数字经济核心产业营业收入突破百亿。</w:t>
            </w:r>
          </w:p>
        </w:tc>
      </w:tr>
    </w:tbl>
    <w:p>
      <w:pPr>
        <w:spacing w:line="560" w:lineRule="atLeast"/>
        <w:ind w:firstLine="0" w:firstLineChars="0"/>
        <w:rPr>
          <w:color w:val="000000" w:themeColor="text1"/>
          <w:szCs w:val="32"/>
          <w:lang w:val="zh-CN"/>
          <w14:textFill>
            <w14:solidFill>
              <w14:schemeClr w14:val="tx1"/>
            </w14:solidFill>
          </w14:textFill>
        </w:rPr>
        <w:sectPr>
          <w:headerReference r:id="rId13" w:type="first"/>
          <w:footerReference r:id="rId16" w:type="first"/>
          <w:headerReference r:id="rId11" w:type="default"/>
          <w:footerReference r:id="rId14" w:type="default"/>
          <w:headerReference r:id="rId12" w:type="even"/>
          <w:footerReference r:id="rId15" w:type="even"/>
          <w:pgSz w:w="11906" w:h="16838"/>
          <w:pgMar w:top="2041" w:right="1418" w:bottom="1701" w:left="1418" w:header="851" w:footer="1361" w:gutter="0"/>
          <w:cols w:space="720" w:num="1"/>
          <w:docGrid w:linePitch="312" w:charSpace="0"/>
        </w:sectPr>
      </w:pPr>
    </w:p>
    <w:bookmarkEnd w:id="113"/>
    <w:bookmarkEnd w:id="114"/>
    <w:p>
      <w:pPr>
        <w:ind w:firstLine="640"/>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119" w:name="_Toc29892"/>
      <w:r>
        <w:rPr>
          <w:color w:val="000000" w:themeColor="text1"/>
          <w14:textFill>
            <w14:solidFill>
              <w14:schemeClr w14:val="tx1"/>
            </w14:solidFill>
          </w14:textFill>
        </w:rPr>
        <w:t>第六章  推动产城融合新发展</w:t>
      </w:r>
      <w:bookmarkEnd w:id="119"/>
    </w:p>
    <w:p>
      <w:pPr>
        <w:ind w:firstLine="640"/>
        <w:rPr>
          <w:color w:val="000000" w:themeColor="text1"/>
          <w14:textFill>
            <w14:solidFill>
              <w14:schemeClr w14:val="tx1"/>
            </w14:solidFill>
          </w14:textFill>
        </w:rPr>
      </w:pPr>
    </w:p>
    <w:p>
      <w:pPr>
        <w:pStyle w:val="33"/>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强化规划引领，全面落实以园聚人、以人兴产、宜居宜业的产城融合发展理念，着力推动形成服务现代化产业集聚区与有效集聚人口、服务功能完备的新型社区相融合的产城协调发展模式，打造美丽宜居新城。</w:t>
      </w:r>
    </w:p>
    <w:p>
      <w:pPr>
        <w:pStyle w:val="4"/>
        <w:rPr>
          <w:color w:val="000000" w:themeColor="text1"/>
          <w14:textFill>
            <w14:solidFill>
              <w14:schemeClr w14:val="tx1"/>
            </w14:solidFill>
          </w14:textFill>
        </w:rPr>
      </w:pPr>
      <w:bookmarkStart w:id="120" w:name="_Toc5543"/>
      <w:r>
        <w:rPr>
          <w:color w:val="000000" w:themeColor="text1"/>
          <w14:textFill>
            <w14:solidFill>
              <w14:schemeClr w14:val="tx1"/>
            </w14:solidFill>
          </w14:textFill>
        </w:rPr>
        <w:t>第一节　全面提升基础设施</w:t>
      </w:r>
      <w:bookmarkEnd w:id="120"/>
    </w:p>
    <w:p>
      <w:pPr>
        <w:pStyle w:val="5"/>
        <w:rPr>
          <w:color w:val="000000" w:themeColor="text1"/>
          <w14:textFill>
            <w14:solidFill>
              <w14:schemeClr w14:val="tx1"/>
            </w14:solidFill>
          </w14:textFill>
        </w:rPr>
      </w:pPr>
      <w:r>
        <w:rPr>
          <w:color w:val="000000" w:themeColor="text1"/>
          <w14:textFill>
            <w14:solidFill>
              <w14:schemeClr w14:val="tx1"/>
            </w14:solidFill>
          </w14:textFill>
        </w:rPr>
        <w:t>一、构建现代综合交通体系</w:t>
      </w:r>
    </w:p>
    <w:p>
      <w:pPr>
        <w:pStyle w:val="33"/>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构建外联内畅的交通体系。</w:t>
      </w:r>
      <w:r>
        <w:rPr>
          <w:color w:val="000000" w:themeColor="text1"/>
          <w:szCs w:val="32"/>
          <w14:textFill>
            <w14:solidFill>
              <w14:schemeClr w14:val="tx1"/>
            </w14:solidFill>
          </w14:textFill>
        </w:rPr>
        <w:t>加强与国家、省干线公路网、城际网的衔接，加快与昆明主城、呈贡区、空港以及滇中新区的通道建设，强化与周边区域的互联互通。配合推进渝昆高铁、福宜高速、三清高速、昆石高速王家营立交、轨道9号线等一批重点项目建设，构建铁路、公路、地铁、航空于一体的外联综合交通体系。加强辖区内部道路建设，打通重要交通节点，构建多层次、网络化、便捷化的内联交通体系。加快东风东路延长线（经开204号路）、324国道（安石公路）市政化改造、经开225号路、经开103号路北段、呈运大道（东段）、经开207号道路、昌宏路下穿贵昆公路隧道工程、昆石高速王家营工程等一批重点区内道路项目建设，完善区内路网结构，形成有效畅通的道路交通体系。“十四五”期间，力争年均市政道路增长20公里以上，通车路网总规模由156公里推进到256公里，路网成熟度达到60%，实现由“被动滞后”的道路建设现状向“主动引领”的道路发展规划转变。加快构建多层次、网络化的便捷公路货运通道体系，形成“货走外环，客走内环，外联内畅”的交通格局。力争“十四五”期间，完成综合交通投资200亿元以上。</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构建快速公交体系。</w:t>
      </w:r>
      <w:r>
        <w:rPr>
          <w:color w:val="000000" w:themeColor="text1"/>
          <w:szCs w:val="32"/>
          <w14:textFill>
            <w14:solidFill>
              <w14:schemeClr w14:val="tx1"/>
            </w14:solidFill>
          </w14:textFill>
        </w:rPr>
        <w:t>进一步优化区内常规公交线网，积极打造连接机场、高铁站、地铁接驳、厂区等各类公交线路。优化现有公交线路，缩短候车时间，延长服务时间，实现黄土坡住宅集中区、清水产业片区等新片区公交覆盖。加快经开区综合枢纽车场、黄土坡车场建设，推进呈黄路、林溪路、春漫大道公交专用道建设。以通勤需求为导向着力优化公交路网站点设置，在人流集中的主次干道建设若干公交支线，构建网状二级公交支线体系，形成常规公交站点500米覆盖率达100%。完善经开区主要公交站点到轨道交通1号线、4号线相关站点的接驳公交服务，设置“P+R”停车场。轨道站点100米范围内公交线路接驳比率达100%。</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二、完善水、电、气、网等基础设施</w:t>
      </w:r>
    </w:p>
    <w:p>
      <w:pPr>
        <w:pStyle w:val="33"/>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加强城市排水河道、雨水管网及泵站等工程建设。推进黄土坡给水加压泵站建设。统筹城市防洪和排涝工作，科学规划和改造完善城市河道、水库、排水系统设施。推进园区供电工程建设，提升供电能力，保障重大项目建设。加强配网升级改造，全面提高供电可靠性。加快分布式电源并网接入和充电桩建设，基本建成与电动汽车拥有量相适应的充电设施体系。完善天然气输配系统，优化天然气管网架构，提高供气系统可靠性。围绕清水黄土坡片区、普照海子片区等重点发展区域，重点建设清水天然气调压站、110KV七彩变电站等配套基础设施。加强“新基建”建设，实施5G基站、光伏电网、新能源车及充电桩、工业互联网等一批重点项目，全面提升城市建设水平和运行效率。</w:t>
      </w:r>
    </w:p>
    <w:p>
      <w:pPr>
        <w:pStyle w:val="4"/>
        <w:rPr>
          <w:color w:val="000000" w:themeColor="text1"/>
          <w14:textFill>
            <w14:solidFill>
              <w14:schemeClr w14:val="tx1"/>
            </w14:solidFill>
          </w14:textFill>
        </w:rPr>
      </w:pPr>
      <w:bookmarkStart w:id="121" w:name="_Toc20938"/>
      <w:r>
        <w:rPr>
          <w:color w:val="000000" w:themeColor="text1"/>
          <w14:textFill>
            <w14:solidFill>
              <w14:schemeClr w14:val="tx1"/>
            </w14:solidFill>
          </w14:textFill>
        </w:rPr>
        <w:t>第二节　建设现代宜居新城</w:t>
      </w:r>
      <w:bookmarkEnd w:id="121"/>
    </w:p>
    <w:p>
      <w:pPr>
        <w:pStyle w:val="5"/>
        <w:rPr>
          <w:color w:val="000000" w:themeColor="text1"/>
          <w14:textFill>
            <w14:solidFill>
              <w14:schemeClr w14:val="tx1"/>
            </w14:solidFill>
          </w14:textFill>
        </w:rPr>
      </w:pPr>
      <w:r>
        <w:rPr>
          <w:color w:val="000000" w:themeColor="text1"/>
          <w14:textFill>
            <w14:solidFill>
              <w14:schemeClr w14:val="tx1"/>
            </w14:solidFill>
          </w14:textFill>
        </w:rPr>
        <w:t>一、高标准推动城市更新改造</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组织编制《昆明经济技术开发区（阿拉、洛羊街道）土地征收成片开发实施方案》，有效整合零星地块，提高土地利用率。按照连片开发、整体集中推进的工作思路，改变零散开发、片区分割、“打补丁式”的改造模式，实行高起点谋划、一体化设计，规划一批、策划一批，招商一批、启动一批，做到应改尽改，加快推进城市更新改造。扎实推进西邑村、倪家营等18个城市更新改造项目，力争实现2022年完成拆迁工作，2025年完成改造任务。在城市更新过程中，积极招引大品牌、实力强、产业开发经验足的全国房产百强企业参与城市更新改造项目，打造一批城市新名片。</w:t>
      </w:r>
    </w:p>
    <w:p>
      <w:pPr>
        <w:pStyle w:val="27"/>
        <w:rPr>
          <w:rFonts w:ascii="Times New Roman" w:hAnsi="Times New Roman"/>
          <w:color w:val="000000" w:themeColor="text1"/>
          <w:kern w:val="0"/>
          <w:lang w:val="zh-CN"/>
          <w14:textFill>
            <w14:solidFill>
              <w14:schemeClr w14:val="tx1"/>
            </w14:solidFill>
          </w14:textFill>
        </w:rPr>
      </w:pPr>
      <w:r>
        <w:rPr>
          <w:rFonts w:ascii="Times New Roman" w:hAnsi="Times New Roman"/>
          <w:color w:val="000000" w:themeColor="text1"/>
          <w:kern w:val="0"/>
          <w:lang w:val="zh-CN"/>
          <w14:textFill>
            <w14:solidFill>
              <w14:schemeClr w14:val="tx1"/>
            </w14:solidFill>
          </w14:textFill>
        </w:rPr>
        <w:t>专栏</w:t>
      </w:r>
      <w:r>
        <w:rPr>
          <w:rFonts w:ascii="Times New Roman" w:hAnsi="Times New Roman"/>
          <w:color w:val="000000" w:themeColor="text1"/>
          <w:kern w:val="0"/>
          <w14:textFill>
            <w14:solidFill>
              <w14:schemeClr w14:val="tx1"/>
            </w14:solidFill>
          </w14:textFill>
        </w:rPr>
        <w:t xml:space="preserve">6  </w:t>
      </w:r>
      <w:r>
        <w:rPr>
          <w:rFonts w:ascii="Times New Roman" w:hAnsi="Times New Roman"/>
          <w:color w:val="000000" w:themeColor="text1"/>
          <w:kern w:val="0"/>
          <w:lang w:val="zh-CN"/>
          <w14:textFill>
            <w14:solidFill>
              <w14:schemeClr w14:val="tx1"/>
            </w14:solidFill>
          </w14:textFill>
        </w:rPr>
        <w:t>城市更新改造项目</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298" w:type="dxa"/>
            <w:tcBorders>
              <w:top w:val="single" w:color="auto" w:sz="4" w:space="0"/>
              <w:left w:val="single" w:color="auto" w:sz="4" w:space="0"/>
              <w:bottom w:val="single" w:color="auto" w:sz="4" w:space="0"/>
              <w:right w:val="single" w:color="auto" w:sz="4" w:space="0"/>
            </w:tcBorders>
            <w:vAlign w:val="center"/>
          </w:tcPr>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按照“2022年完成拆迁工作、2025年完成改造任务”的目标，扎实推进全区城市更新改造工作，加速产城融合步伐，提升园区人居环境和城市品质。分年度持续推进落实，到“十四五”末全面完成纳入计划的城市更新改造项目。</w:t>
            </w:r>
          </w:p>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2021年：完成西邑村、公家村、黄土坡村、倪家营村、大洛羊村、小洛羊村、小新册村和大新册村等8个项目征地拆迁，启动大冲村二期项目安置房建设。</w:t>
            </w:r>
          </w:p>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2022年：完成普照大村、普照小村、常村、河岸村、大石坝村、小石坝村和黄土坡村等</w:t>
            </w:r>
            <w:r>
              <w:rPr>
                <w:color w:val="000000" w:themeColor="text1"/>
                <w:kern w:val="0"/>
                <w:sz w:val="28"/>
                <w:szCs w:val="28"/>
                <w14:textFill>
                  <w14:solidFill>
                    <w14:schemeClr w14:val="tx1"/>
                  </w14:solidFill>
                </w14:textFill>
              </w:rPr>
              <w:t>7</w:t>
            </w:r>
            <w:r>
              <w:rPr>
                <w:color w:val="000000" w:themeColor="text1"/>
                <w:kern w:val="0"/>
                <w:sz w:val="28"/>
                <w:szCs w:val="28"/>
                <w:lang w:val="zh-CN"/>
                <w14:textFill>
                  <w14:solidFill>
                    <w14:schemeClr w14:val="tx1"/>
                  </w14:solidFill>
                </w14:textFill>
              </w:rPr>
              <w:t>个项目征地拆迁，启动公家村、黄土坡村、倪家营村、大洛羊村和小洛羊村等项目安置房建设，完成小麻苴村三期、西邑村、公家村、倪家营村、大洛羊村和小洛羊村项目改造。</w:t>
            </w:r>
          </w:p>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2023年：启动普照大村、普照小村、常村、河岸村、大石坝村、小石坝村和大新册村等7个项目的安置房建设，完成大新册、小新册村项目改造。</w:t>
            </w:r>
          </w:p>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2024年：完成黄土坡村改造。</w:t>
            </w:r>
          </w:p>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2025年：完成普照大村、普照小村、常村、河岸村、大石坝村和小石坝村等6个项目改造。</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二、推进老旧小区和厂房改造</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高水平编制改造规划，高质量推进管网改造、道路建设和绿化、美化、亮化等工程，完善小区生活配套服务，合理布局停车场、便利店、社区食堂及养老、托幼、医疗等服务设施，让群众生活得更方便、更幸福。加强老旧小区后续管理，通过引入物业公司等创新服务模式，进一步改善群众居住条件、提升城市环境形象。将老旧小区微改造同城市有序更新结合起来，有效盘活起步区低效闲置资源，实现群众生活改善和城市面貌的双提升。巩固提升昆船、航天等国有企业“三供一业”社会化剥离移交成果，鼓励企业实施老旧厂房创新性、创意性升级改造项目，加快昆明神犁设备制造有限责任公司等老旧厂房升级改造。鼓励和引导社会资本参与项目建设的投资开发，实现老旧厂房资产的盘活、转型升级。</w:t>
      </w:r>
    </w:p>
    <w:p>
      <w:pPr>
        <w:pStyle w:val="5"/>
        <w:rPr>
          <w:color w:val="000000" w:themeColor="text1"/>
          <w14:textFill>
            <w14:solidFill>
              <w14:schemeClr w14:val="tx1"/>
            </w14:solidFill>
          </w14:textFill>
        </w:rPr>
      </w:pPr>
      <w:r>
        <w:rPr>
          <w:color w:val="000000" w:themeColor="text1"/>
          <w14:textFill>
            <w14:solidFill>
              <w14:schemeClr w14:val="tx1"/>
            </w14:solidFill>
          </w14:textFill>
        </w:rPr>
        <w:t>三、完善商业服务功能</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以提高居民舒适度和宜居度为重点，完善商业、文化、消费等服务功能，构筑“商业主中心-商业次中心-社区商业中心”三个层级的商业服务功能体系，打造昆明东部城市功能新中心。以轨道交通沿线重要站点为平台，促成一批社区居住、出行枢纽、商业购物、商务办公、文化娱乐、游憩休闲等功能复合、有机联系的街区配套组团。引进高品质生活配套项目，推进职住平衡和城业互促。加快改善居住配套环境，打造10分钟公共活动圈、15分钟生活圈。</w:t>
      </w:r>
    </w:p>
    <w:p>
      <w:pPr>
        <w:pStyle w:val="27"/>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专栏</w:t>
      </w:r>
      <w:r>
        <w:rPr>
          <w:rFonts w:ascii="Times New Roman" w:hAnsi="Times New Roman"/>
          <w:color w:val="000000" w:themeColor="text1"/>
          <w14:textFill>
            <w14:solidFill>
              <w14:schemeClr w14:val="tx1"/>
            </w14:solidFill>
          </w14:textFill>
        </w:rPr>
        <w:t>7</w:t>
      </w:r>
      <w:r>
        <w:rPr>
          <w:rFonts w:ascii="Times New Roman" w:hAnsi="Times New Roman"/>
          <w:color w:val="000000" w:themeColor="text1"/>
          <w:lang w:val="zh-CN"/>
          <w14:textFill>
            <w14:solidFill>
              <w14:schemeClr w14:val="tx1"/>
            </w14:solidFill>
          </w14:textFill>
        </w:rPr>
        <w:t xml:space="preserve">  三级商业服务功能体系</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298" w:type="dxa"/>
            <w:tcBorders>
              <w:top w:val="single" w:color="auto" w:sz="4" w:space="0"/>
              <w:left w:val="single" w:color="auto" w:sz="4" w:space="0"/>
              <w:bottom w:val="single" w:color="auto" w:sz="4" w:space="0"/>
              <w:right w:val="single" w:color="auto" w:sz="4" w:space="0"/>
            </w:tcBorders>
            <w:vAlign w:val="center"/>
          </w:tcPr>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在新消费时代下优化商业生态圈布局，进一步激发消费潜力，不断提升内需对经济的贡献度，构筑“商业主中心-商业次中心-社区商业中心”三个层级的商业服务功能体系。</w:t>
            </w:r>
          </w:p>
          <w:p>
            <w:pPr>
              <w:pStyle w:val="37"/>
              <w:spacing w:line="440" w:lineRule="atLeast"/>
              <w:ind w:firstLine="562"/>
              <w:jc w:val="both"/>
              <w:rPr>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商业主中心：</w:t>
            </w:r>
            <w:r>
              <w:rPr>
                <w:color w:val="000000" w:themeColor="text1"/>
                <w:kern w:val="0"/>
                <w:sz w:val="28"/>
                <w:szCs w:val="28"/>
                <w:lang w:val="zh-CN"/>
                <w14:textFill>
                  <w14:solidFill>
                    <w14:schemeClr w14:val="tx1"/>
                  </w14:solidFill>
                </w14:textFill>
              </w:rPr>
              <w:t>以综合性商圈或综合性商业街区为主要空间载体，集购物、餐饮、休闲、文化、娱乐、旅游、商务、酒店、会展等城市功能于一体的综合性商业功能区。</w:t>
            </w:r>
          </w:p>
          <w:p>
            <w:pPr>
              <w:pStyle w:val="37"/>
              <w:spacing w:line="440" w:lineRule="atLeast"/>
              <w:ind w:firstLine="562"/>
              <w:jc w:val="both"/>
              <w:rPr>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商业次中心：</w:t>
            </w:r>
            <w:r>
              <w:rPr>
                <w:color w:val="000000" w:themeColor="text1"/>
                <w:kern w:val="0"/>
                <w:sz w:val="28"/>
                <w:szCs w:val="28"/>
                <w:lang w:val="zh-CN"/>
                <w14:textFill>
                  <w14:solidFill>
                    <w14:schemeClr w14:val="tx1"/>
                  </w14:solidFill>
                </w14:textFill>
              </w:rPr>
              <w:t>商业次中心功能低于商业主中心，以满足区域内购物、餐饮、休闲、娱乐和商务活动等综合消费为主，规模适度、具备基本服务功能的综合商业功能区，并辅以一定比例的工业生产资料交易功能。</w:t>
            </w:r>
          </w:p>
          <w:p>
            <w:pPr>
              <w:pStyle w:val="37"/>
              <w:spacing w:line="440" w:lineRule="atLeast"/>
              <w:ind w:firstLine="562"/>
              <w:jc w:val="both"/>
              <w:rPr>
                <w:color w:val="000000" w:themeColor="text1"/>
                <w:kern w:val="0"/>
                <w:sz w:val="28"/>
                <w:szCs w:val="28"/>
                <w:lang w:val="zh-CN"/>
                <w14:textFill>
                  <w14:solidFill>
                    <w14:schemeClr w14:val="tx1"/>
                  </w14:solidFill>
                </w14:textFill>
              </w:rPr>
            </w:pPr>
            <w:r>
              <w:rPr>
                <w:b/>
                <w:bCs/>
                <w:color w:val="000000" w:themeColor="text1"/>
                <w:kern w:val="0"/>
                <w:sz w:val="28"/>
                <w:szCs w:val="28"/>
                <w:lang w:val="zh-CN"/>
                <w14:textFill>
                  <w14:solidFill>
                    <w14:schemeClr w14:val="tx1"/>
                  </w14:solidFill>
                </w14:textFill>
              </w:rPr>
              <w:t>社区商业中心</w:t>
            </w:r>
            <w:r>
              <w:rPr>
                <w:color w:val="000000" w:themeColor="text1"/>
                <w:kern w:val="0"/>
                <w:sz w:val="28"/>
                <w:szCs w:val="28"/>
                <w:lang w:val="zh-CN"/>
                <w14:textFill>
                  <w14:solidFill>
                    <w14:schemeClr w14:val="tx1"/>
                  </w14:solidFill>
                </w14:textFill>
              </w:rPr>
              <w:t>：完善社区商业中心布局，满足社区居民基本生活消费，体现就近方便、价廉物美、服务多样的商业特征，具备购物、餐饮、修理、综合生活服务等四项基本功能。</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四、推动城乡融合发展</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推进城乡要素合理配置。</w:t>
      </w:r>
      <w:r>
        <w:rPr>
          <w:color w:val="000000" w:themeColor="text1"/>
          <w:kern w:val="0"/>
          <w:szCs w:val="32"/>
          <w14:textFill>
            <w14:solidFill>
              <w14:schemeClr w14:val="tx1"/>
            </w14:solidFill>
          </w14:textFill>
        </w:rPr>
        <w:t>破除妨碍</w:t>
      </w:r>
      <w:r>
        <w:rPr>
          <w:bCs/>
          <w:snapToGrid w:val="0"/>
          <w:color w:val="000000" w:themeColor="text1"/>
          <w:szCs w:val="32"/>
          <w:lang w:val="zh-CN"/>
          <w14:textFill>
            <w14:solidFill>
              <w14:schemeClr w14:val="tx1"/>
            </w14:solidFill>
          </w14:textFill>
        </w:rPr>
        <w:t>城乡要素自由流动和平等交换的体制机制壁垒，在城乡形</w:t>
      </w:r>
      <w:r>
        <w:rPr>
          <w:color w:val="000000" w:themeColor="text1"/>
          <w:kern w:val="0"/>
          <w:szCs w:val="32"/>
          <w:lang w:val="zh-CN"/>
          <w14:textFill>
            <w14:solidFill>
              <w14:schemeClr w14:val="tx1"/>
            </w14:solidFill>
          </w14:textFill>
        </w:rPr>
        <w:t>成人才、土地、资金等要素流动的良性循环。</w:t>
      </w:r>
      <w:r>
        <w:rPr>
          <w:color w:val="000000" w:themeColor="text1"/>
          <w:kern w:val="0"/>
          <w:szCs w:val="32"/>
          <w14:textFill>
            <w14:solidFill>
              <w14:schemeClr w14:val="tx1"/>
            </w14:solidFill>
          </w14:textFill>
        </w:rPr>
        <w:t>健全人才到基层工作长效机制，推动编制资源向基层倾斜。</w:t>
      </w:r>
      <w:r>
        <w:rPr>
          <w:color w:val="000000" w:themeColor="text1"/>
          <w:szCs w:val="32"/>
          <w14:textFill>
            <w14:solidFill>
              <w14:schemeClr w14:val="tx1"/>
            </w14:solidFill>
          </w14:textFill>
        </w:rPr>
        <w:t>推动职称评定、工资待遇等向乡村教师、医生倾斜，优化乡村教师、医生中高级岗位结构比例。探索建立农村集体经营性建设用地使用权、农民房屋财产权、集体林权抵押融资，以及承包地经营权、集体资产股权等担保融资。</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推进城乡基本公共服务普惠共享。</w:t>
      </w:r>
      <w:r>
        <w:rPr>
          <w:color w:val="000000" w:themeColor="text1"/>
          <w:szCs w:val="32"/>
          <w14:textFill>
            <w14:solidFill>
              <w14:schemeClr w14:val="tx1"/>
            </w14:solidFill>
          </w14:textFill>
        </w:rPr>
        <w:t>建立以城带乡、整体推进、城乡一体、均衡发展的义务教育发展机制。完善教育信息化发展机制，推动优质教育资源城乡共享。建立和完善相关政策制度，增加基层医务人员岗位吸引力，加强社区医疗卫生人才队伍建设。健全网络化服务运行机制，鼓励区级以上医院与街道卫生院建立医共体。统筹城乡公共文化设施布局，推动文化资源重点向社区倾斜，提高服务的覆盖面和适用性。支持社区民间文化团体开展符合社区特点的文化活动。</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加快城乡基础设施一体化发展。</w:t>
      </w:r>
      <w:r>
        <w:rPr>
          <w:color w:val="000000" w:themeColor="text1"/>
          <w:szCs w:val="32"/>
          <w14:textFill>
            <w14:solidFill>
              <w14:schemeClr w14:val="tx1"/>
            </w14:solidFill>
          </w14:textFill>
        </w:rPr>
        <w:t>统筹规划城乡基础设施，统筹布局道路、供水、供电、防洪、垃圾污水处理和垃圾转运站、公共卫生间等设施。推动城乡路网一体规划设计，畅通城乡交通运输连接，统筹规划城乡污染物收运处置体系，因地制宜统筹处理城乡垃圾污水，加快建立乡村生态环境保护和美丽乡村建设长效机制。健全分级分类投入机制。</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持续缩小城乡居民生活水平差距。</w:t>
      </w:r>
      <w:r>
        <w:rPr>
          <w:color w:val="000000" w:themeColor="text1"/>
          <w:szCs w:val="32"/>
          <w14:textFill>
            <w14:solidFill>
              <w14:schemeClr w14:val="tx1"/>
            </w14:solidFill>
          </w14:textFill>
        </w:rPr>
        <w:t>推动形成平等竞争、规范有序、城乡统一的劳动力市场，统筹推进农村劳动力转移就业和就地创业就业。健全城乡均等的公共就业创业服务制度，努力增加就业岗位和创业机会。加快推进经营性资产股份合作制改革，将农村集体经营性资产以股份或者份额形式量化到本集体成员。创新农村集体经济运行机制，探索混合经营等多种实现形式，确保集体资产保值增值和农民收入稳定增长。</w:t>
      </w:r>
    </w:p>
    <w:p>
      <w:pPr>
        <w:pStyle w:val="4"/>
        <w:rPr>
          <w:color w:val="000000" w:themeColor="text1"/>
          <w14:textFill>
            <w14:solidFill>
              <w14:schemeClr w14:val="tx1"/>
            </w14:solidFill>
          </w14:textFill>
        </w:rPr>
      </w:pPr>
      <w:bookmarkStart w:id="122" w:name="_Toc11505"/>
      <w:r>
        <w:rPr>
          <w:color w:val="000000" w:themeColor="text1"/>
          <w14:textFill>
            <w14:solidFill>
              <w14:schemeClr w14:val="tx1"/>
            </w14:solidFill>
          </w14:textFill>
        </w:rPr>
        <w:t>第三节　提高城市管理水平</w:t>
      </w:r>
      <w:bookmarkEnd w:id="122"/>
    </w:p>
    <w:p>
      <w:pPr>
        <w:pStyle w:val="5"/>
        <w:rPr>
          <w:color w:val="000000" w:themeColor="text1"/>
          <w14:textFill>
            <w14:solidFill>
              <w14:schemeClr w14:val="tx1"/>
            </w14:solidFill>
          </w14:textFill>
        </w:rPr>
      </w:pPr>
      <w:r>
        <w:rPr>
          <w:color w:val="000000" w:themeColor="text1"/>
          <w14:textFill>
            <w14:solidFill>
              <w14:schemeClr w14:val="tx1"/>
            </w14:solidFill>
          </w14:textFill>
        </w:rPr>
        <w:t>一、加快建设智慧城市</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建设“数字城市”。</w:t>
      </w:r>
      <w:r>
        <w:rPr>
          <w:color w:val="000000" w:themeColor="text1"/>
          <w:szCs w:val="32"/>
          <w14:textFill>
            <w14:solidFill>
              <w14:schemeClr w14:val="tx1"/>
            </w14:solidFill>
          </w14:textFill>
        </w:rPr>
        <w:t>加强物联网、云计算、大数据、人工智能等技术在城市管理中的应用。整合城市保障、城市运行、公共安全等相关平台和业务系统数据，加</w:t>
      </w:r>
      <w:r>
        <w:rPr>
          <w:rFonts w:hint="eastAsia"/>
          <w:color w:val="000000" w:themeColor="text1"/>
          <w:szCs w:val="32"/>
          <w14:textFill>
            <w14:solidFill>
              <w14:schemeClr w14:val="tx1"/>
            </w14:solidFill>
          </w14:textFill>
        </w:rPr>
        <w:t>快</w:t>
      </w:r>
      <w:r>
        <w:rPr>
          <w:color w:val="000000" w:themeColor="text1"/>
          <w:szCs w:val="32"/>
          <w14:textFill>
            <w14:solidFill>
              <w14:schemeClr w14:val="tx1"/>
            </w14:solidFill>
          </w14:textFill>
        </w:rPr>
        <w:t>城市管理大数据平台建设。整理汇集网格化城市管理平台案件和市民服务热线数据等，运用大数据技术进行数据提取和管理密度的关联性分析，及时掌握居民关注的热点难点问题。</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建设“智慧城管”。</w:t>
      </w:r>
      <w:r>
        <w:rPr>
          <w:color w:val="000000" w:themeColor="text1"/>
          <w:szCs w:val="32"/>
          <w14:textFill>
            <w14:solidFill>
              <w14:schemeClr w14:val="tx1"/>
            </w14:solidFill>
          </w14:textFill>
        </w:rPr>
        <w:t>以现有数字城管系统为基础，构建智慧城管综合监管服务平台，全面整合市容市政、路灯亮化、城市排水防汛、道路桥梁、城管执法等单一系统，实现互联互通、动态监管、信息共享、辅助决策，打造集感知、分析、服务、指挥、监察“五位一体”的智慧城管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建设“智慧交通”。</w:t>
      </w:r>
      <w:r>
        <w:rPr>
          <w:color w:val="000000" w:themeColor="text1"/>
          <w:szCs w:val="32"/>
          <w14:textFill>
            <w14:solidFill>
              <w14:schemeClr w14:val="tx1"/>
            </w14:solidFill>
          </w14:textFill>
        </w:rPr>
        <w:t>推进各类交通管理系统的互联互通和资源共享。完善交通运输管理、智能信号灯控制、交通诱导、智能停车场、出租车运营、交通应急处置调度、智能公交等交通管理系统，整合出租车辆、公交车辆、客运车辆等交通运输信息，实现对实时交通信息和突发事件信息的自动采集传输、监控与分析。利用新一代信息技术，优化综合客运枢纽运输组织，拓展枢纽内智能终端应用。</w:t>
      </w:r>
    </w:p>
    <w:p>
      <w:pPr>
        <w:pStyle w:val="27"/>
        <w:rPr>
          <w:rFonts w:ascii="Times New Roman" w:hAnsi="Times New Roman"/>
          <w:color w:val="000000" w:themeColor="text1"/>
          <w:lang w:val="zh-CN"/>
          <w14:textFill>
            <w14:solidFill>
              <w14:schemeClr w14:val="tx1"/>
            </w14:solidFill>
          </w14:textFill>
        </w:rPr>
      </w:pPr>
    </w:p>
    <w:p>
      <w:pPr>
        <w:pStyle w:val="27"/>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专栏</w:t>
      </w:r>
      <w:r>
        <w:rPr>
          <w:rFonts w:ascii="Times New Roman" w:hAnsi="Times New Roman"/>
          <w:color w:val="000000" w:themeColor="text1"/>
          <w14:textFill>
            <w14:solidFill>
              <w14:schemeClr w14:val="tx1"/>
            </w14:solidFill>
          </w14:textFill>
        </w:rPr>
        <w:t>8</w:t>
      </w:r>
      <w:r>
        <w:rPr>
          <w:rFonts w:ascii="Times New Roman" w:hAnsi="Times New Roman"/>
          <w:color w:val="000000" w:themeColor="text1"/>
          <w:lang w:val="zh-CN"/>
          <w14:textFill>
            <w14:solidFill>
              <w14:schemeClr w14:val="tx1"/>
            </w14:solidFill>
          </w14:textFill>
        </w:rPr>
        <w:t xml:space="preserve">  智慧城市管理新模式基本路径</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298" w:type="dxa"/>
            <w:tcBorders>
              <w:top w:val="single" w:color="auto" w:sz="4" w:space="0"/>
              <w:left w:val="single" w:color="auto" w:sz="4" w:space="0"/>
              <w:bottom w:val="single" w:color="auto" w:sz="4" w:space="0"/>
              <w:right w:val="single" w:color="auto" w:sz="4" w:space="0"/>
            </w:tcBorders>
            <w:vAlign w:val="center"/>
          </w:tcPr>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智慧城市管理建设应基于建设主体及规划从上到下、建设范围由粗到细、建设阶段由下到上等原则，将智慧城市管理构成要素进行逐层细化，归到不同的建设路径。智慧城市管理新模式在总体统筹规划的基础上，应分别从以下三个阶段进行开展，逐步提升城市的智慧管理水平。</w:t>
            </w:r>
          </w:p>
          <w:p>
            <w:pPr>
              <w:pStyle w:val="37"/>
              <w:spacing w:line="440" w:lineRule="atLeast"/>
              <w:ind w:firstLine="562"/>
              <w:jc w:val="both"/>
              <w:rPr>
                <w:b/>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第一阶段：强化机构管理、加强人才引进</w:t>
            </w:r>
          </w:p>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一是强化机构管理，优化机构设置。包括强化管理措施，提升管理水平；完善整改机制，提高处置效率；制定规范标准，健全管理体系；加强奖惩制度，强化考核管理等。二是加快人才引进，健全服务机制。包括完善人才引进机制，完善人才培养机制，完善人才激励机制，完善人才服务机制，完善人才选拔机制等。</w:t>
            </w:r>
          </w:p>
          <w:p>
            <w:pPr>
              <w:pStyle w:val="37"/>
              <w:spacing w:line="440" w:lineRule="atLeast"/>
              <w:ind w:firstLine="562"/>
              <w:jc w:val="both"/>
              <w:rPr>
                <w:b/>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第二阶段：完善多应用场景网格</w:t>
            </w:r>
          </w:p>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一是基于网格再造构建群智感知数字城管。二是加强网络建设、改变传统执法模式。包括加快推进宽带普及提速工程；加快无线城市推进工程；加快5G+赋能，改变传统模式。三是调整执法手段、创新监控方式。</w:t>
            </w:r>
          </w:p>
          <w:p>
            <w:pPr>
              <w:pStyle w:val="37"/>
              <w:spacing w:line="440" w:lineRule="atLeast"/>
              <w:ind w:firstLine="562"/>
              <w:jc w:val="both"/>
              <w:rPr>
                <w:b/>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第三阶段：科学整合资源、加快相关平台建设</w:t>
            </w:r>
          </w:p>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一是构建群智协同服务平台。二是完善IOC信息共享平台。三是加速区级网格中心分平台建设。</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二、健全完善网格化、精细化城市管理体系</w:t>
      </w:r>
    </w:p>
    <w:p>
      <w:pPr>
        <w:pStyle w:val="33"/>
        <w:spacing w:line="560" w:lineRule="exac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网格化管理。</w:t>
      </w:r>
      <w:r>
        <w:rPr>
          <w:color w:val="000000" w:themeColor="text1"/>
          <w:szCs w:val="32"/>
          <w14:textFill>
            <w14:solidFill>
              <w14:schemeClr w14:val="tx1"/>
            </w14:solidFill>
          </w14:textFill>
        </w:rPr>
        <w:t>着力打造园区、街道、社区、网格“三级管理四级联动”网格化城市管理体系。明确网格化城市管理各相关部门职责清单，同时进一步明确各级网格员的工作和职责。完善网格化管理问题处置机制，加强城市管理相关单位和公共服务企业与网格化城市管理体系的协调和对接，提高问题处置效率。</w:t>
      </w:r>
    </w:p>
    <w:p>
      <w:pPr>
        <w:pStyle w:val="2"/>
        <w:spacing w:line="560" w:lineRule="exact"/>
        <w:ind w:firstLine="649"/>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常态化管理。</w:t>
      </w:r>
      <w:r>
        <w:rPr>
          <w:color w:val="000000" w:themeColor="text1"/>
          <w:szCs w:val="32"/>
          <w14:textFill>
            <w14:solidFill>
              <w14:schemeClr w14:val="tx1"/>
            </w14:solidFill>
          </w14:textFill>
        </w:rPr>
        <w:t>全面巩固和拓展全国文明城市创建成果，推动文明城市向城市文明迈进，建立文明城市建设常态长效机制。严格落实责任，夯实队伍建设，完善工作机制，推进文明创建持续提升。研究制定文明城市常态化措施，总结创文过程中的经验做法。坚持常创常新，探索文明创建活动新项目新载体，将创文固文与日常工作进行融合，推动全域创文和常态化达标。推进共建共享，完善参与机制，加强宣传，提高公众支持度，开展常态化的志愿服务、薄弱环节整治等活动。深入开展文明单位、文明社区、文明行业等群众性精神文明创建活动。</w:t>
      </w:r>
    </w:p>
    <w:p>
      <w:pPr>
        <w:spacing w:line="560" w:lineRule="atLeast"/>
        <w:ind w:firstLine="640"/>
        <w:rPr>
          <w:color w:val="000000" w:themeColor="text1"/>
          <w:szCs w:val="32"/>
          <w14:textFill>
            <w14:solidFill>
              <w14:schemeClr w14:val="tx1"/>
            </w14:solidFill>
          </w14:textFill>
        </w:rPr>
        <w:sectPr>
          <w:headerReference r:id="rId19" w:type="first"/>
          <w:footerReference r:id="rId21" w:type="first"/>
          <w:headerReference r:id="rId17" w:type="default"/>
          <w:headerReference r:id="rId18" w:type="even"/>
          <w:footerReference r:id="rId20" w:type="even"/>
          <w:pgSz w:w="11906" w:h="16838"/>
          <w:pgMar w:top="2041" w:right="1418" w:bottom="1701" w:left="1418" w:header="851" w:footer="1361" w:gutter="0"/>
          <w:cols w:space="720" w:num="1"/>
          <w:docGrid w:linePitch="312" w:charSpace="0"/>
        </w:sectPr>
      </w:pPr>
    </w:p>
    <w:p>
      <w:pPr>
        <w:ind w:firstLine="640"/>
        <w:rPr>
          <w:color w:val="000000" w:themeColor="text1"/>
          <w14:textFill>
            <w14:solidFill>
              <w14:schemeClr w14:val="tx1"/>
            </w14:solidFill>
          </w14:textFill>
        </w:rPr>
      </w:pPr>
      <w:bookmarkStart w:id="123" w:name="_Toc65069785"/>
      <w:bookmarkStart w:id="124" w:name="_Toc1009"/>
      <w:bookmarkStart w:id="125" w:name="_Toc56452587"/>
      <w:bookmarkStart w:id="126" w:name="_Toc5566"/>
      <w:bookmarkStart w:id="127" w:name="_Toc7103"/>
      <w:bookmarkStart w:id="128" w:name="_Toc28693"/>
    </w:p>
    <w:p>
      <w:pPr>
        <w:pStyle w:val="3"/>
        <w:rPr>
          <w:color w:val="000000" w:themeColor="text1"/>
          <w14:textFill>
            <w14:solidFill>
              <w14:schemeClr w14:val="tx1"/>
            </w14:solidFill>
          </w14:textFill>
        </w:rPr>
      </w:pPr>
      <w:bookmarkStart w:id="129" w:name="_Toc26871"/>
      <w:r>
        <w:rPr>
          <w:color w:val="000000" w:themeColor="text1"/>
          <w14:textFill>
            <w14:solidFill>
              <w14:schemeClr w14:val="tx1"/>
            </w14:solidFill>
          </w14:textFill>
        </w:rPr>
        <w:t>第七章  打造绿色园区新样板</w:t>
      </w:r>
      <w:bookmarkEnd w:id="129"/>
    </w:p>
    <w:p>
      <w:pPr>
        <w:ind w:firstLine="640"/>
        <w:rPr>
          <w:color w:val="000000" w:themeColor="text1"/>
          <w14:textFill>
            <w14:solidFill>
              <w14:schemeClr w14:val="tx1"/>
            </w14:solidFill>
          </w14:textFill>
        </w:rPr>
      </w:pP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坚持生态优先、绿色发展，打好蓝天、碧水、净土三大保卫战，加快构建资源消耗低、环境污染少的产业结构体系，倡导绿色低碳、文明健康的生活</w:t>
      </w:r>
      <w:r>
        <w:rPr>
          <w:rFonts w:hint="eastAsia"/>
          <w:color w:val="000000" w:themeColor="text1"/>
          <w:szCs w:val="32"/>
          <w14:textFill>
            <w14:solidFill>
              <w14:schemeClr w14:val="tx1"/>
            </w14:solidFill>
          </w14:textFill>
        </w:rPr>
        <w:t>方式</w:t>
      </w:r>
      <w:r>
        <w:rPr>
          <w:color w:val="000000" w:themeColor="text1"/>
          <w:szCs w:val="32"/>
          <w14:textFill>
            <w14:solidFill>
              <w14:schemeClr w14:val="tx1"/>
            </w14:solidFill>
          </w14:textFill>
        </w:rPr>
        <w:t>，</w:t>
      </w:r>
      <w:r>
        <w:rPr>
          <w:rStyle w:val="56"/>
          <w:color w:val="000000" w:themeColor="text1"/>
          <w14:textFill>
            <w14:solidFill>
              <w14:schemeClr w14:val="tx1"/>
            </w14:solidFill>
          </w14:textFill>
        </w:rPr>
        <w:t>强化节能减排，确保完成单位工业增加值综合能耗、单位工业增加值新鲜水耗、单位GDP二氧化碳排放目标任务，</w:t>
      </w:r>
      <w:r>
        <w:rPr>
          <w:color w:val="000000" w:themeColor="text1"/>
          <w:szCs w:val="32"/>
          <w14:textFill>
            <w14:solidFill>
              <w14:schemeClr w14:val="tx1"/>
            </w14:solidFill>
          </w14:textFill>
        </w:rPr>
        <w:t>促进经济社会发展全面绿色转型，进一步提升生态环境质量。</w:t>
      </w:r>
    </w:p>
    <w:p>
      <w:pPr>
        <w:pStyle w:val="4"/>
        <w:rPr>
          <w:color w:val="000000" w:themeColor="text1"/>
          <w14:textFill>
            <w14:solidFill>
              <w14:schemeClr w14:val="tx1"/>
            </w14:solidFill>
          </w14:textFill>
        </w:rPr>
      </w:pPr>
      <w:bookmarkStart w:id="130" w:name="_Toc6114"/>
      <w:r>
        <w:rPr>
          <w:color w:val="000000" w:themeColor="text1"/>
          <w14:textFill>
            <w14:solidFill>
              <w14:schemeClr w14:val="tx1"/>
            </w14:solidFill>
          </w14:textFill>
        </w:rPr>
        <w:t>第一节　深入实施碧水行动</w:t>
      </w:r>
      <w:bookmarkEnd w:id="130"/>
    </w:p>
    <w:p>
      <w:pPr>
        <w:pStyle w:val="5"/>
        <w:rPr>
          <w:color w:val="000000" w:themeColor="text1"/>
          <w14:textFill>
            <w14:solidFill>
              <w14:schemeClr w14:val="tx1"/>
            </w14:solidFill>
          </w14:textFill>
        </w:rPr>
      </w:pPr>
      <w:r>
        <w:rPr>
          <w:color w:val="000000" w:themeColor="text1"/>
          <w14:textFill>
            <w14:solidFill>
              <w14:schemeClr w14:val="tx1"/>
            </w14:solidFill>
          </w14:textFill>
        </w:rPr>
        <w:t>一、稳步提升入滇河道水质</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持续巩固滇池保护治理“三年攻坚”行动重点项目成效，推进马料河、洛龙河、新宝象河部分河段及其支次沟渠水环境综合整治工程，全面开展河堤和沟渠修复、底泥清淤、垃圾清理、清水补给、截污治污等措施，逐步恢复水生态系统，提高河道水体自净能力，确保三条入滇河道流出境断面水质全部达到水质目标要求。加强果林水库和铜牛寺水库等水源区保护和水环境治理，实施铜牛寺、石龙坝水库除险加固工程，采取增储扩容、除险加固、生态修复等措施，明显改善水库水环境质量。建立以水质达标为主要目标的河渠湖库统一管养管理考核制度，实施“河道、沟渠、水库、坝塘”统一管养。强化河长巡查制度，落实区、街道、社区河长巡河长效机制。加强对未达标的水体水质监测，明确达标时限，对限期不达标的区域实施挂牌督办，强化监督管理责任。</w:t>
      </w:r>
    </w:p>
    <w:p>
      <w:pPr>
        <w:pStyle w:val="5"/>
        <w:spacing w:line="540" w:lineRule="atLeast"/>
        <w:rPr>
          <w:color w:val="000000" w:themeColor="text1"/>
          <w14:textFill>
            <w14:solidFill>
              <w14:schemeClr w14:val="tx1"/>
            </w14:solidFill>
          </w14:textFill>
        </w:rPr>
      </w:pPr>
      <w:r>
        <w:rPr>
          <w:color w:val="000000" w:themeColor="text1"/>
          <w14:textFill>
            <w14:solidFill>
              <w14:schemeClr w14:val="tx1"/>
            </w14:solidFill>
          </w14:textFill>
        </w:rPr>
        <w:t>二、改善辖区面源水环境</w:t>
      </w:r>
    </w:p>
    <w:p>
      <w:pPr>
        <w:spacing w:line="54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开展城市面源源头减排，按照海绵城市建设要求，充分发挥“滞、渗、蓄、净、用、排”功能效益，控制城市面源污染，削减污染负荷。结合城市更新改造计划加快实施农村雨污分流改造，根据实施条件适时采取截流、调蓄等措施进行收集；新建城区严格实行雨污分流，因地制宜推进初期雨水收集、处理和资源化利用。严格排查主要河道及主要支流沟渠的排污口、排水口，完成中国（云南）自贸区昆明片区（昆明经开区）水环境综合治理工程，阿拉和洛羊片区水环境综合治理工程，以及茶高山、龙潭山和大观山截洪引清工程；进一步完善截污治污系统，实施雨季溢流污染联调联控，最大限度减少入河污染负荷，保障水质达标。</w:t>
      </w:r>
    </w:p>
    <w:p>
      <w:pPr>
        <w:pStyle w:val="5"/>
        <w:spacing w:line="540" w:lineRule="atLeast"/>
        <w:rPr>
          <w:color w:val="000000" w:themeColor="text1"/>
          <w14:textFill>
            <w14:solidFill>
              <w14:schemeClr w14:val="tx1"/>
            </w14:solidFill>
          </w14:textFill>
        </w:rPr>
      </w:pPr>
      <w:r>
        <w:rPr>
          <w:color w:val="000000" w:themeColor="text1"/>
          <w14:textFill>
            <w14:solidFill>
              <w14:schemeClr w14:val="tx1"/>
            </w14:solidFill>
          </w14:textFill>
        </w:rPr>
        <w:t>三、加强污水处理设施建设</w:t>
      </w:r>
    </w:p>
    <w:p>
      <w:pPr>
        <w:spacing w:line="54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完成倪家营水质净化厂、普照水质净化厂二期改扩建工程，实施污水提升泵站（含配套管网）改扩建工程，完善调度泵站和污水管网系统，提高水质净化厂及管网设施的运行效率，提高污水收集处理能力，到2025年实现生活污水集中处理率达95%。加快实施宝象河流域排水收集系统改造工程，实施排污系统改造、清淤除障，完善污水收集管网，提高管网覆盖率，实现建成区污水管网全覆盖、全收集、全处理。建设完善再生水管网，在工业生产、城市绿化、道路清扫、车辆冲洗、建筑施工以及生态景观等用水中推广使用再生水。</w:t>
      </w:r>
    </w:p>
    <w:p>
      <w:pPr>
        <w:pStyle w:val="4"/>
        <w:spacing w:line="540" w:lineRule="atLeast"/>
        <w:rPr>
          <w:color w:val="000000" w:themeColor="text1"/>
          <w14:textFill>
            <w14:solidFill>
              <w14:schemeClr w14:val="tx1"/>
            </w14:solidFill>
          </w14:textFill>
        </w:rPr>
      </w:pPr>
      <w:bookmarkStart w:id="131" w:name="_Toc16348"/>
      <w:r>
        <w:rPr>
          <w:color w:val="000000" w:themeColor="text1"/>
          <w14:textFill>
            <w14:solidFill>
              <w14:schemeClr w14:val="tx1"/>
            </w14:solidFill>
          </w14:textFill>
        </w:rPr>
        <w:t>第二节　全力守护“蓝天净土”</w:t>
      </w:r>
      <w:bookmarkEnd w:id="131"/>
    </w:p>
    <w:p>
      <w:pPr>
        <w:pStyle w:val="5"/>
        <w:rPr>
          <w:color w:val="000000" w:themeColor="text1"/>
          <w14:textFill>
            <w14:solidFill>
              <w14:schemeClr w14:val="tx1"/>
            </w14:solidFill>
          </w14:textFill>
        </w:rPr>
      </w:pPr>
      <w:r>
        <w:rPr>
          <w:color w:val="000000" w:themeColor="text1"/>
          <w14:textFill>
            <w14:solidFill>
              <w14:schemeClr w14:val="tx1"/>
            </w14:solidFill>
          </w14:textFill>
        </w:rPr>
        <w:t>一、加强大气污染防治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整治工业大气污染。</w:t>
      </w:r>
      <w:r>
        <w:rPr>
          <w:color w:val="000000" w:themeColor="text1"/>
          <w:szCs w:val="32"/>
          <w14:textFill>
            <w14:solidFill>
              <w14:schemeClr w14:val="tx1"/>
            </w14:solidFill>
          </w14:textFill>
        </w:rPr>
        <w:t>强化工业污染源达标排放管理，严格执行生态环境准入清单，严格排放标准，严格执行排污许可证制度，监督企业做好排污许可证执行报告、环境管理台账、自行监测等证后监管制度，从源头促进大气污染物结构性减排。开展重点行业无组织排放排查和治理工作，加强对企业各类无组织废气排放的监管，加强固定污染源废气排放监管。加大对颗粒物污染防治力度，严格落实区域大气污染联防联控机制，持续推进温室气体排放管控和挥发性有机物综合治理，加强对化工、加油站、包装印刷、工业喷涂、机动车维修等重点行业挥发性有机物排放的监管，降低区内挥发性有机物排放总量</w:t>
      </w:r>
      <w:r>
        <w:rPr>
          <w:b/>
          <w:bCs/>
          <w:color w:val="000000" w:themeColor="text1"/>
          <w:szCs w:val="32"/>
          <w14:textFill>
            <w14:solidFill>
              <w14:schemeClr w14:val="tx1"/>
            </w14:solidFill>
          </w14:textFill>
        </w:rPr>
        <w:t>。</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整治城市扬尘污染。</w:t>
      </w:r>
      <w:r>
        <w:rPr>
          <w:color w:val="000000" w:themeColor="text1"/>
          <w:szCs w:val="32"/>
          <w14:textFill>
            <w14:solidFill>
              <w14:schemeClr w14:val="tx1"/>
            </w14:solidFill>
          </w14:textFill>
        </w:rPr>
        <w:t>强化施工扬尘监管，严格落实“八个必须”和“六个百分百”，完善建筑及拆迁工地扬尘管理制度，加强道路扬尘污染防治，施工采取覆盖、分段作业、择时施工、洒水抑尘、冲洗地面和车辆等有效防尘降尘措施，推进绿色施工。提高城市道路冲洗、保洁频率和机械化吸尘频率，</w:t>
      </w:r>
      <w:r>
        <w:rPr>
          <w:color w:val="000000" w:themeColor="text1"/>
          <w:kern w:val="0"/>
          <w:szCs w:val="32"/>
          <w14:textFill>
            <w14:solidFill>
              <w14:schemeClr w14:val="tx1"/>
            </w14:solidFill>
          </w14:textFill>
        </w:rPr>
        <w:t>“变扫为吸、变扫为洗”</w:t>
      </w:r>
      <w:r>
        <w:rPr>
          <w:color w:val="000000" w:themeColor="text1"/>
          <w:szCs w:val="32"/>
          <w14:textFill>
            <w14:solidFill>
              <w14:schemeClr w14:val="tx1"/>
            </w14:solidFill>
          </w14:textFill>
        </w:rPr>
        <w:t>。加强车辆密闭运输监督管理，推广使用新型智能渣土车，加强堆场扬尘综合治理。适当增设扬尘重污染企业出入口监测设施，严格落实扬尘防治主体责任。</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二、加强土壤污染防治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强化土壤保护和治理</w:t>
      </w:r>
      <w:r>
        <w:rPr>
          <w:color w:val="000000" w:themeColor="text1"/>
          <w:szCs w:val="32"/>
          <w14:textFill>
            <w14:solidFill>
              <w14:schemeClr w14:val="tx1"/>
            </w14:solidFill>
          </w14:textFill>
        </w:rPr>
        <w:t>。严防建设用地新增污染，加强未利用土地的环境监管。排放重点污染物的建设项目环评增加土壤环境影响评价内容，提出防范土壤污染的措施；土壤污染防治设施建设执行“三同时”要求。严格执行企业布局选址要求，科学布局生活垃圾处理、危险废物处置、废旧资源再生利用的设施和场所。持续开展污染治理与修复，改善区域土壤环境质量。</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加强土壤污染源监管。</w:t>
      </w:r>
      <w:r>
        <w:rPr>
          <w:color w:val="000000" w:themeColor="text1"/>
          <w:szCs w:val="32"/>
          <w14:textFill>
            <w14:solidFill>
              <w14:schemeClr w14:val="tx1"/>
            </w14:solidFill>
          </w14:textFill>
        </w:rPr>
        <w:t>严格管控工业污染，建立土壤高风险企业清单，定期对重点监管企业周边开展监测。加强涉重金属企业污染防控，禁止在生态红线管控区、饮用水源保护区、人口聚集区等区域内安置重金属污染物排放项目。加强工业废物安全处置，全面排查、整治大宗工业固体废物堆存场所，督促其完善防扬散、防流失、防渗漏等环保设施。</w:t>
      </w:r>
    </w:p>
    <w:p>
      <w:pPr>
        <w:pStyle w:val="5"/>
        <w:rPr>
          <w:color w:val="000000" w:themeColor="text1"/>
          <w14:textFill>
            <w14:solidFill>
              <w14:schemeClr w14:val="tx1"/>
            </w14:solidFill>
          </w14:textFill>
        </w:rPr>
      </w:pPr>
      <w:r>
        <w:rPr>
          <w:color w:val="000000" w:themeColor="text1"/>
          <w14:textFill>
            <w14:solidFill>
              <w14:schemeClr w14:val="tx1"/>
            </w14:solidFill>
          </w14:textFill>
        </w:rPr>
        <w:t>三、统筹实施其他污染防治</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加强噪声污染防治，严格监管建筑施工和工业生产噪声，有效管控交通运输业，最大限度降低城市噪声污染。加强</w:t>
      </w:r>
      <w:r>
        <w:rPr>
          <w:rFonts w:hint="eastAsia"/>
          <w:color w:val="000000" w:themeColor="text1"/>
          <w:szCs w:val="32"/>
          <w14:textFill>
            <w14:solidFill>
              <w14:schemeClr w14:val="tx1"/>
            </w14:solidFill>
          </w14:textFill>
        </w:rPr>
        <w:t>固体</w:t>
      </w:r>
      <w:r>
        <w:rPr>
          <w:color w:val="000000" w:themeColor="text1"/>
          <w:szCs w:val="32"/>
          <w14:textFill>
            <w14:solidFill>
              <w14:schemeClr w14:val="tx1"/>
            </w14:solidFill>
          </w14:textFill>
        </w:rPr>
        <w:t>废弃物污染防治，按照“减量化、资源化、无害化”原则，提高工业固体废弃物资源化回收利用率，全面推进生活垃圾分类和减量化工作，加强危险废物和医疗废物利用处置监管，推进危险废物无害化处理。加强白色污染防治，大力推动源头减量，严控不可降解塑料袋和一次性塑料制品使用，加快推进绿色快递包装标准化，积极开展绿色商场创建行动，在商场、超市、药店、书店等场所逐步推广使用非塑料产品和可降解塑料购物袋，鼓励设置自动智能投放装置。</w:t>
      </w:r>
    </w:p>
    <w:p>
      <w:pPr>
        <w:pStyle w:val="5"/>
        <w:rPr>
          <w:color w:val="000000" w:themeColor="text1"/>
          <w14:textFill>
            <w14:solidFill>
              <w14:schemeClr w14:val="tx1"/>
            </w14:solidFill>
          </w14:textFill>
        </w:rPr>
      </w:pPr>
      <w:r>
        <w:rPr>
          <w:color w:val="000000" w:themeColor="text1"/>
          <w14:textFill>
            <w14:solidFill>
              <w14:schemeClr w14:val="tx1"/>
            </w14:solidFill>
          </w14:textFill>
        </w:rPr>
        <w:t>四、加强环保执法力度</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建立健全环境保护责任体系。落实企业主要负责人第一责任，大力推行企业负责人公开信和重点排污企业环保公开承诺制度，拓展企业负责人“约谈”制度。加强对工业企业重金属污染治理，加大对水泥、垃圾焚烧、机械制造等重点行业的防控强度。利用科技手段精准排查违法问题，督促重点排污单位安装自动监控设施；积极建设环保智慧平台管理系统，提升监管效能；充分运用移动执法系统，提高监管执法智慧化和科学化水平。建立公众参与环境管理决策的渠道和机制，鼓励公众对政府环保工作、企业排污行为进行监督。</w:t>
      </w:r>
    </w:p>
    <w:p>
      <w:pPr>
        <w:pStyle w:val="4"/>
        <w:rPr>
          <w:color w:val="000000" w:themeColor="text1"/>
          <w14:textFill>
            <w14:solidFill>
              <w14:schemeClr w14:val="tx1"/>
            </w14:solidFill>
          </w14:textFill>
        </w:rPr>
      </w:pPr>
      <w:bookmarkStart w:id="132" w:name="_Toc20648"/>
      <w:r>
        <w:rPr>
          <w:color w:val="000000" w:themeColor="text1"/>
          <w14:textFill>
            <w14:solidFill>
              <w14:schemeClr w14:val="tx1"/>
            </w14:solidFill>
          </w14:textFill>
        </w:rPr>
        <w:t>第三节　推进绿色低碳循环发展</w:t>
      </w:r>
      <w:bookmarkEnd w:id="132"/>
    </w:p>
    <w:p>
      <w:pPr>
        <w:pStyle w:val="5"/>
        <w:rPr>
          <w:color w:val="000000" w:themeColor="text1"/>
          <w14:textFill>
            <w14:solidFill>
              <w14:schemeClr w14:val="tx1"/>
            </w14:solidFill>
          </w14:textFill>
        </w:rPr>
      </w:pPr>
      <w:r>
        <w:rPr>
          <w:color w:val="000000" w:themeColor="text1"/>
          <w14:textFill>
            <w14:solidFill>
              <w14:schemeClr w14:val="tx1"/>
            </w14:solidFill>
          </w14:textFill>
        </w:rPr>
        <w:t>一、加快构建绿色能源体系</w:t>
      </w:r>
    </w:p>
    <w:p>
      <w:pPr>
        <w:spacing w:line="560" w:lineRule="atLeast"/>
        <w:ind w:firstLine="640"/>
        <w:rPr>
          <w:bCs/>
          <w:color w:val="000000" w:themeColor="text1"/>
          <w:szCs w:val="32"/>
          <w14:textFill>
            <w14:solidFill>
              <w14:schemeClr w14:val="tx1"/>
            </w14:solidFill>
          </w14:textFill>
        </w:rPr>
      </w:pPr>
      <w:r>
        <w:rPr>
          <w:color w:val="000000" w:themeColor="text1"/>
          <w:szCs w:val="32"/>
          <w14:textFill>
            <w14:solidFill>
              <w14:schemeClr w14:val="tx1"/>
            </w14:solidFill>
          </w14:textFill>
        </w:rPr>
        <w:t>加大天然气、太阳能、生物质能等推广使用力度，提高清洁能源比重。完善天然气管网及配套设施建设，推动中石油昆仑燃气公司实施天然气管道建设及燃气辅助设施工程，加大区内企业天然气使用替代力度。禁止新增使用高污染燃料的锅炉等燃烧设施，已建成使用的限期拆除或改用清洁</w:t>
      </w:r>
      <w:r>
        <w:rPr>
          <w:bCs/>
          <w:color w:val="000000" w:themeColor="text1"/>
          <w:szCs w:val="32"/>
          <w14:textFill>
            <w14:solidFill>
              <w14:schemeClr w14:val="tx1"/>
            </w14:solidFill>
          </w14:textFill>
        </w:rPr>
        <w:t>替代</w:t>
      </w:r>
      <w:r>
        <w:rPr>
          <w:color w:val="000000" w:themeColor="text1"/>
          <w:szCs w:val="32"/>
          <w14:textFill>
            <w14:solidFill>
              <w14:schemeClr w14:val="tx1"/>
            </w14:solidFill>
          </w14:textFill>
        </w:rPr>
        <w:t>能</w:t>
      </w:r>
      <w:r>
        <w:rPr>
          <w:bCs/>
          <w:color w:val="000000" w:themeColor="text1"/>
          <w:szCs w:val="32"/>
          <w14:textFill>
            <w14:solidFill>
              <w14:schemeClr w14:val="tx1"/>
            </w14:solidFill>
          </w14:textFill>
        </w:rPr>
        <w:t>源。</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二、加强重点用能监督管理</w:t>
      </w:r>
    </w:p>
    <w:p>
      <w:pPr>
        <w:spacing w:line="560" w:lineRule="atLeast"/>
        <w:ind w:firstLine="640"/>
        <w:rPr>
          <w:color w:val="000000" w:themeColor="text1"/>
          <w:szCs w:val="32"/>
          <w14:textFill>
            <w14:solidFill>
              <w14:schemeClr w14:val="tx1"/>
            </w14:solidFill>
          </w14:textFill>
        </w:rPr>
      </w:pPr>
      <w:r>
        <w:rPr>
          <w:bCs/>
          <w:color w:val="000000" w:themeColor="text1"/>
          <w:szCs w:val="32"/>
          <w14:textFill>
            <w14:solidFill>
              <w14:schemeClr w14:val="tx1"/>
            </w14:solidFill>
          </w14:textFill>
        </w:rPr>
        <w:t>持续开展万家企业节能绿色行动，依法加强年耗能5000吨标准煤以上用能单位节能管理，将年综合能耗2000吨标准煤以上的企业纳入监管范围。通过动态监管单位产品综合能耗、电耗，实施耗能企业能源审计及能效水平对标，督促企业建立能源管理体系，鼓励重点用能单位建立测量管理体系并通过认证。</w:t>
      </w:r>
    </w:p>
    <w:p>
      <w:pPr>
        <w:pStyle w:val="5"/>
        <w:rPr>
          <w:color w:val="000000" w:themeColor="text1"/>
          <w14:textFill>
            <w14:solidFill>
              <w14:schemeClr w14:val="tx1"/>
            </w14:solidFill>
          </w14:textFill>
        </w:rPr>
      </w:pPr>
      <w:r>
        <w:rPr>
          <w:color w:val="000000" w:themeColor="text1"/>
          <w14:textFill>
            <w14:solidFill>
              <w14:schemeClr w14:val="tx1"/>
            </w14:solidFill>
          </w14:textFill>
        </w:rPr>
        <w:t>三、加快构建绿色节能体系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推行绿色节能建筑。</w:t>
      </w:r>
      <w:r>
        <w:rPr>
          <w:color w:val="000000" w:themeColor="text1"/>
          <w:szCs w:val="32"/>
          <w14:textFill>
            <w14:solidFill>
              <w14:schemeClr w14:val="tx1"/>
            </w14:solidFill>
          </w14:textFill>
        </w:rPr>
        <w:t>实施绿色节能建筑示范工程，采取节能型技术、工艺、设备、材料和产品，提高保温隔热性能、空调制冷制热系统效率，加强建筑用能系统的运行管理，提高园区整体建筑能源利用效率。新建建筑严格落实节能标准，加大建筑节能政策落实，提高新建建筑在施工和验收阶段执行节能标准的比例。围绕机关办公建筑、大型公共建筑及重点企业建筑，开展现有建筑能效评估和节能改造方案设计。</w:t>
      </w:r>
    </w:p>
    <w:p>
      <w:pPr>
        <w:spacing w:line="560" w:lineRule="atLeast"/>
        <w:ind w:firstLine="643"/>
        <w:rPr>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发展低碳节能交通。</w:t>
      </w:r>
      <w:r>
        <w:rPr>
          <w:color w:val="000000" w:themeColor="text1"/>
          <w:szCs w:val="32"/>
          <w14:textFill>
            <w14:solidFill>
              <w14:schemeClr w14:val="tx1"/>
            </w14:solidFill>
          </w14:textFill>
        </w:rPr>
        <w:t>发展园区绿色物流体系，提高铁路运输比例，推广集装箱多式联运，鼓励使用清洁能源、新能源运输车辆。在物流园、产业园、工业园等物流集散地建设集中式充电桩和快速充电桩，为承担物流配送的新能源车辆提供便利。引导鼓励消费者购买和使用新能源汽车，加大新能源汽车推广应用力度，在公共服务领域开展以混合动力和纯电动汽车为主的新能源车推广工程，提高新能源汽车运营比重。结合公交首末站、轨道交通站点，优化共享自行车停放点，构建有效衔接的城市综合交通体系。</w:t>
      </w:r>
    </w:p>
    <w:p>
      <w:pPr>
        <w:pStyle w:val="5"/>
        <w:rPr>
          <w:color w:val="000000" w:themeColor="text1"/>
          <w14:textFill>
            <w14:solidFill>
              <w14:schemeClr w14:val="tx1"/>
            </w14:solidFill>
          </w14:textFill>
        </w:rPr>
      </w:pPr>
      <w:r>
        <w:rPr>
          <w:color w:val="000000" w:themeColor="text1"/>
          <w14:textFill>
            <w14:solidFill>
              <w14:schemeClr w14:val="tx1"/>
            </w14:solidFill>
          </w14:textFill>
        </w:rPr>
        <w:t>四、加强资源循环利用</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发展绿色产业和循环经济。</w:t>
      </w:r>
      <w:r>
        <w:rPr>
          <w:color w:val="000000" w:themeColor="text1"/>
          <w:szCs w:val="32"/>
          <w14:textFill>
            <w14:solidFill>
              <w14:schemeClr w14:val="tx1"/>
            </w14:solidFill>
          </w14:textFill>
        </w:rPr>
        <w:t>大力引进和培育生态环保产业，推动生态链和生态网建设，提高资源利用率，实现清洁生产。积极推进静脉产业园、综合性生态工业园建设，打造区域循环经济和环保产业基地，</w:t>
      </w:r>
      <w:r>
        <w:rPr>
          <w:rFonts w:hint="eastAsia"/>
          <w:color w:val="000000" w:themeColor="text1"/>
          <w:szCs w:val="32"/>
          <w14:textFill>
            <w14:solidFill>
              <w14:schemeClr w14:val="tx1"/>
            </w14:solidFill>
          </w14:textFill>
        </w:rPr>
        <w:t>构建</w:t>
      </w:r>
      <w:r>
        <w:rPr>
          <w:color w:val="000000" w:themeColor="text1"/>
          <w:szCs w:val="32"/>
          <w14:textFill>
            <w14:solidFill>
              <w14:schemeClr w14:val="tx1"/>
            </w14:solidFill>
          </w14:textFill>
        </w:rPr>
        <w:t>企业循环、行业循环、区域循环三个层次的废物循环体系。</w:t>
      </w:r>
      <w:r>
        <w:rPr>
          <w:rFonts w:hint="eastAsia"/>
          <w:color w:val="000000" w:themeColor="text1"/>
          <w:szCs w:val="32"/>
          <w14:textFill>
            <w14:solidFill>
              <w14:schemeClr w14:val="tx1"/>
            </w14:solidFill>
          </w14:textFill>
        </w:rPr>
        <w:t>实施</w:t>
      </w:r>
      <w:r>
        <w:rPr>
          <w:color w:val="000000" w:themeColor="text1"/>
          <w:szCs w:val="32"/>
          <w14:textFill>
            <w14:solidFill>
              <w14:schemeClr w14:val="tx1"/>
            </w14:solidFill>
          </w14:textFill>
        </w:rPr>
        <w:t>工业固体废物综合利用企业定点或示范工程，引导企业对共生、伴生资源进行综合开发利用。支持现有企业提高资源再生利用能力，推行再生资源产品标准和产品再生标识。</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加强可再生资源回收利用。</w:t>
      </w:r>
      <w:r>
        <w:rPr>
          <w:color w:val="000000" w:themeColor="text1"/>
          <w:szCs w:val="32"/>
          <w14:textFill>
            <w14:solidFill>
              <w14:schemeClr w14:val="tx1"/>
            </w14:solidFill>
          </w14:textFill>
        </w:rPr>
        <w:t>统筹规划建设城乡生活垃圾分类收集和资源化利用系统，巩固和完善垃圾分类收集、综合处理、资源化利用格局，深入推进经开区环卫一体化PPP项目，加大生活垃圾处理力度。加强典型社会源固体废物收集与处理，采用先进处理技术和装备，回收利用资源，减少填埋和焚烧量。</w:t>
      </w:r>
    </w:p>
    <w:p>
      <w:pPr>
        <w:pStyle w:val="4"/>
        <w:rPr>
          <w:color w:val="000000" w:themeColor="text1"/>
          <w14:textFill>
            <w14:solidFill>
              <w14:schemeClr w14:val="tx1"/>
            </w14:solidFill>
          </w14:textFill>
        </w:rPr>
      </w:pPr>
      <w:bookmarkStart w:id="133" w:name="_Toc20298"/>
      <w:r>
        <w:rPr>
          <w:color w:val="000000" w:themeColor="text1"/>
          <w14:textFill>
            <w14:solidFill>
              <w14:schemeClr w14:val="tx1"/>
            </w14:solidFill>
          </w14:textFill>
        </w:rPr>
        <w:t>第四节　绿化美化生态环境</w:t>
      </w:r>
      <w:bookmarkEnd w:id="133"/>
    </w:p>
    <w:p>
      <w:pPr>
        <w:pStyle w:val="5"/>
        <w:rPr>
          <w:color w:val="000000" w:themeColor="text1"/>
          <w14:textFill>
            <w14:solidFill>
              <w14:schemeClr w14:val="tx1"/>
            </w14:solidFill>
          </w14:textFill>
        </w:rPr>
      </w:pPr>
      <w:r>
        <w:rPr>
          <w:color w:val="000000" w:themeColor="text1"/>
          <w14:textFill>
            <w14:solidFill>
              <w14:schemeClr w14:val="tx1"/>
            </w14:solidFill>
          </w14:textFill>
        </w:rPr>
        <w:t>一、完善绿地系统布局</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合理设置各类绿地及园林绿化设施，采取点、线、面、环等多种形式，进行科学布局，形成完整有机的绿地系统。严格落实园区绿地系统规划，实施低效林改造和森林抚育工程，完善区内公园绿地、生产绿地、防护绿地、附属绿地和自然绿地系统，合理提高园区的绿化覆盖率。以水道、绿道组成的绿色廊道为纽带，塑造内外交融的绿色生态空间。以多层次的布局方式，将园区的各类绿地串联起来，构建经开区的“生态基质—绿色廊道—绿地斑块”的生态绿色系统的格局。</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二、提升绿化建设品质</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积极拓展绿化空间，对城市边角地、弃置地全部实施绿化，结合市政基础设施积极开展墙体、屋面、阳台、桥体、停车场、公交站点等立体空间绿化。均衡城市绿地分布，结合城中村改造项目，通过拆迁建绿、拆违还绿、增设花架花钵等形式，加强绿化薄弱地区的园林绿化建设和提升。按照“300米见绿，500米见园”的要求，加快各类公园绿地建设，不断提高公园服务半径覆盖范围。加强城市道路隔离带、分车带和行道树的绿化建设，达到“有路就有树，有树就有荫”的效果。结合马料河、洛龙河、新宝象河三条水系，沿河两侧打造滨水绿化带。持续开展美化绿化和景观提升治理行动，提升园林绿化景观品质。到2025年，园区绿化覆盖率达到42.5%。</w:t>
      </w:r>
    </w:p>
    <w:p>
      <w:pPr>
        <w:pStyle w:val="27"/>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专栏</w:t>
      </w:r>
      <w:r>
        <w:rPr>
          <w:rFonts w:ascii="Times New Roman" w:hAnsi="Times New Roman"/>
          <w:color w:val="000000" w:themeColor="text1"/>
          <w14:textFill>
            <w14:solidFill>
              <w14:schemeClr w14:val="tx1"/>
            </w14:solidFill>
          </w14:textFill>
        </w:rPr>
        <w:t>9</w:t>
      </w:r>
      <w:r>
        <w:rPr>
          <w:rFonts w:ascii="Times New Roman" w:hAnsi="Times New Roman"/>
          <w:color w:val="000000" w:themeColor="text1"/>
          <w:lang w:val="zh-CN"/>
          <w14:textFill>
            <w14:solidFill>
              <w14:schemeClr w14:val="tx1"/>
            </w14:solidFill>
          </w14:textFill>
        </w:rPr>
        <w:t xml:space="preserve">  生态文明建设重点工程</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298" w:type="dxa"/>
            <w:tcBorders>
              <w:top w:val="single" w:color="auto" w:sz="4" w:space="0"/>
              <w:left w:val="single" w:color="auto" w:sz="4" w:space="0"/>
              <w:bottom w:val="single" w:color="auto" w:sz="4" w:space="0"/>
              <w:right w:val="single" w:color="auto" w:sz="4" w:space="0"/>
            </w:tcBorders>
            <w:vAlign w:val="center"/>
          </w:tcPr>
          <w:p>
            <w:pPr>
              <w:pStyle w:val="37"/>
              <w:spacing w:line="440" w:lineRule="atLeast"/>
              <w:ind w:firstLine="562"/>
              <w:jc w:val="both"/>
              <w:rPr>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水环境保护工程：</w:t>
            </w:r>
            <w:r>
              <w:rPr>
                <w:color w:val="000000" w:themeColor="text1"/>
                <w:kern w:val="0"/>
                <w:sz w:val="28"/>
                <w:szCs w:val="28"/>
                <w:lang w:val="zh-CN"/>
                <w14:textFill>
                  <w14:solidFill>
                    <w14:schemeClr w14:val="tx1"/>
                  </w14:solidFill>
                </w14:textFill>
              </w:rPr>
              <w:t>宝象河流域排水收集系统改造工程、普照水质净化厂二期改扩建工程、倪家营水质净化厂二期改扩建工程、龙潭山截洪引清工程、大观山截洪引清工程、茶高山截洪引清工程、马料河补水工程、美丽河道建设工程、污水提升泵站（含配套管网）改扩建工程、中国（云南）自贸区昆明片区（昆明经开区）水环境综合治理工程，阿拉街道、洛羊街道片区水环境综合治理工程，清水片区再生水工程、铜牛寺、石龙坝水库除险加固工程。</w:t>
            </w:r>
          </w:p>
          <w:p>
            <w:pPr>
              <w:pStyle w:val="37"/>
              <w:spacing w:line="440" w:lineRule="atLeast"/>
              <w:ind w:firstLine="562"/>
              <w:jc w:val="both"/>
              <w:rPr>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大气环境保护工程：</w:t>
            </w:r>
            <w:r>
              <w:rPr>
                <w:color w:val="000000" w:themeColor="text1"/>
                <w:kern w:val="0"/>
                <w:sz w:val="28"/>
                <w:szCs w:val="28"/>
                <w:lang w:val="zh-CN"/>
                <w14:textFill>
                  <w14:solidFill>
                    <w14:schemeClr w14:val="tx1"/>
                  </w14:solidFill>
                </w14:textFill>
              </w:rPr>
              <w:t>大气污染联防联控机制，环境空气质量预警机制和应急预案，大气污染物重点排污单位动态管理清单，重点行业挥发性有机物治理。</w:t>
            </w:r>
          </w:p>
          <w:p>
            <w:pPr>
              <w:pStyle w:val="37"/>
              <w:spacing w:line="440" w:lineRule="atLeast"/>
              <w:ind w:firstLine="562"/>
              <w:jc w:val="both"/>
              <w:rPr>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生态空间保护工程：</w:t>
            </w:r>
            <w:r>
              <w:rPr>
                <w:color w:val="000000" w:themeColor="text1"/>
                <w:kern w:val="0"/>
                <w:sz w:val="28"/>
                <w:szCs w:val="28"/>
                <w:lang w:val="zh-CN"/>
                <w14:textFill>
                  <w14:solidFill>
                    <w14:schemeClr w14:val="tx1"/>
                  </w14:solidFill>
                </w14:textFill>
              </w:rPr>
              <w:t>低效林改造和森林抚育工程，公园绿地建设项目等。</w:t>
            </w:r>
          </w:p>
          <w:p>
            <w:pPr>
              <w:pStyle w:val="37"/>
              <w:spacing w:line="440" w:lineRule="atLeast"/>
              <w:ind w:firstLine="562"/>
              <w:jc w:val="both"/>
              <w:rPr>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固体废弃物管理工程：</w:t>
            </w:r>
            <w:r>
              <w:rPr>
                <w:color w:val="000000" w:themeColor="text1"/>
                <w:kern w:val="0"/>
                <w:sz w:val="28"/>
                <w:szCs w:val="28"/>
                <w:lang w:val="zh-CN"/>
                <w14:textFill>
                  <w14:solidFill>
                    <w14:schemeClr w14:val="tx1"/>
                  </w14:solidFill>
                </w14:textFill>
              </w:rPr>
              <w:t>园区环卫一体化PPP项目，中电环保原址技改项目等。</w:t>
            </w:r>
          </w:p>
          <w:p>
            <w:pPr>
              <w:pStyle w:val="37"/>
              <w:spacing w:line="440" w:lineRule="atLeast"/>
              <w:ind w:firstLine="562"/>
              <w:jc w:val="both"/>
              <w:rPr>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绿色发展工程：</w:t>
            </w:r>
            <w:r>
              <w:rPr>
                <w:color w:val="000000" w:themeColor="text1"/>
                <w:kern w:val="0"/>
                <w:sz w:val="28"/>
                <w:szCs w:val="28"/>
                <w:lang w:val="zh-CN"/>
                <w14:textFill>
                  <w14:solidFill>
                    <w14:schemeClr w14:val="tx1"/>
                  </w14:solidFill>
                </w14:textFill>
              </w:rPr>
              <w:t>天然气管道建设及燃气辅助设施工程，节能与新型能源车辆推广工程，绿色节能建筑示范工程等。</w:t>
            </w:r>
          </w:p>
          <w:p>
            <w:pPr>
              <w:pStyle w:val="37"/>
              <w:spacing w:line="440" w:lineRule="atLeast"/>
              <w:ind w:firstLine="562"/>
              <w:jc w:val="both"/>
              <w:rPr>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环境管理能力提升工程：</w:t>
            </w:r>
            <w:r>
              <w:rPr>
                <w:color w:val="000000" w:themeColor="text1"/>
                <w:kern w:val="0"/>
                <w:sz w:val="28"/>
                <w:szCs w:val="28"/>
                <w:lang w:val="zh-CN"/>
                <w14:textFill>
                  <w14:solidFill>
                    <w14:schemeClr w14:val="tx1"/>
                  </w14:solidFill>
                </w14:textFill>
              </w:rPr>
              <w:t>环境风险应急管理能力建设，环境监察</w:t>
            </w:r>
            <w:r>
              <w:rPr>
                <w:rFonts w:hint="eastAsia"/>
                <w:color w:val="000000" w:themeColor="text1"/>
                <w:kern w:val="0"/>
                <w:sz w:val="28"/>
                <w:szCs w:val="28"/>
                <w:lang w:val="zh-CN"/>
                <w14:textFill>
                  <w14:solidFill>
                    <w14:schemeClr w14:val="tx1"/>
                  </w14:solidFill>
                </w14:textFill>
              </w:rPr>
              <w:t>“双随机、一公开”监管</w:t>
            </w:r>
            <w:r>
              <w:rPr>
                <w:color w:val="000000" w:themeColor="text1"/>
                <w:kern w:val="0"/>
                <w:sz w:val="28"/>
                <w:szCs w:val="28"/>
                <w:lang w:val="zh-CN"/>
                <w14:textFill>
                  <w14:solidFill>
                    <w14:schemeClr w14:val="tx1"/>
                  </w14:solidFill>
                </w14:textFill>
              </w:rPr>
              <w:t>平台，环境监察监管仪器设施设备提升，国家生态工业示范园区年度评价报告及档案整编，生态环境保护宣传教育。</w:t>
            </w:r>
          </w:p>
        </w:tc>
      </w:tr>
    </w:tbl>
    <w:p>
      <w:pPr>
        <w:pStyle w:val="2"/>
        <w:ind w:firstLine="646"/>
        <w:rPr>
          <w:color w:val="000000" w:themeColor="text1"/>
          <w14:textFill>
            <w14:solidFill>
              <w14:schemeClr w14:val="tx1"/>
            </w14:solidFill>
          </w14:textFill>
        </w:rPr>
      </w:pPr>
    </w:p>
    <w:p>
      <w:pPr>
        <w:spacing w:line="560" w:lineRule="atLeast"/>
        <w:ind w:firstLine="640"/>
        <w:rPr>
          <w:color w:val="000000" w:themeColor="text1"/>
          <w:szCs w:val="32"/>
          <w14:textFill>
            <w14:solidFill>
              <w14:schemeClr w14:val="tx1"/>
            </w14:solidFill>
          </w14:textFill>
        </w:rPr>
        <w:sectPr>
          <w:headerReference r:id="rId24" w:type="first"/>
          <w:footerReference r:id="rId26" w:type="first"/>
          <w:headerReference r:id="rId22" w:type="default"/>
          <w:headerReference r:id="rId23" w:type="even"/>
          <w:footerReference r:id="rId25" w:type="even"/>
          <w:pgSz w:w="11906" w:h="16838"/>
          <w:pgMar w:top="2041" w:right="1418" w:bottom="1701" w:left="1418" w:header="851" w:footer="1361" w:gutter="0"/>
          <w:cols w:space="720" w:num="1"/>
          <w:docGrid w:linePitch="312" w:charSpace="0"/>
        </w:sectPr>
      </w:pPr>
    </w:p>
    <w:bookmarkEnd w:id="123"/>
    <w:p>
      <w:pPr>
        <w:ind w:firstLine="640"/>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134" w:name="_Toc7876"/>
      <w:r>
        <w:rPr>
          <w:color w:val="000000" w:themeColor="text1"/>
          <w14:textFill>
            <w14:solidFill>
              <w14:schemeClr w14:val="tx1"/>
            </w14:solidFill>
          </w14:textFill>
        </w:rPr>
        <w:t>第八章  提升公共服务新水平</w:t>
      </w:r>
      <w:bookmarkEnd w:id="134"/>
    </w:p>
    <w:p>
      <w:pPr>
        <w:ind w:firstLine="640"/>
        <w:rPr>
          <w:color w:val="000000" w:themeColor="text1"/>
          <w14:textFill>
            <w14:solidFill>
              <w14:schemeClr w14:val="tx1"/>
            </w14:solidFill>
          </w14:textFill>
        </w:rPr>
      </w:pP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坚持民有所呼，我有所应，着力补齐民生短板，不断优化公共服务供给，有序推进基本公共服务均等化，提高民生保障水平，让广大人民群众过上更加幸福美好的生活，打造人民群众满意的园区。</w:t>
      </w:r>
    </w:p>
    <w:p>
      <w:pPr>
        <w:pStyle w:val="4"/>
        <w:rPr>
          <w:color w:val="000000" w:themeColor="text1"/>
          <w14:textFill>
            <w14:solidFill>
              <w14:schemeClr w14:val="tx1"/>
            </w14:solidFill>
          </w14:textFill>
        </w:rPr>
      </w:pPr>
      <w:bookmarkStart w:id="135" w:name="_Toc29411"/>
      <w:r>
        <w:rPr>
          <w:color w:val="000000" w:themeColor="text1"/>
          <w14:textFill>
            <w14:solidFill>
              <w14:schemeClr w14:val="tx1"/>
            </w14:solidFill>
          </w14:textFill>
        </w:rPr>
        <w:t>第一节　着力保障居民健康</w:t>
      </w:r>
      <w:bookmarkEnd w:id="135"/>
    </w:p>
    <w:p>
      <w:pPr>
        <w:pStyle w:val="5"/>
        <w:rPr>
          <w:color w:val="000000" w:themeColor="text1"/>
          <w14:textFill>
            <w14:solidFill>
              <w14:schemeClr w14:val="tx1"/>
            </w14:solidFill>
          </w14:textFill>
        </w:rPr>
      </w:pPr>
      <w:r>
        <w:rPr>
          <w:color w:val="000000" w:themeColor="text1"/>
          <w14:textFill>
            <w14:solidFill>
              <w14:schemeClr w14:val="tx1"/>
            </w14:solidFill>
          </w14:textFill>
        </w:rPr>
        <w:t>一、提升居民健康素养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创建</w:t>
      </w:r>
      <w:r>
        <w:rPr>
          <w:rFonts w:hint="eastAsia"/>
          <w:b/>
          <w:bCs/>
          <w:color w:val="000000" w:themeColor="text1"/>
          <w:szCs w:val="32"/>
          <w14:textFill>
            <w14:solidFill>
              <w14:schemeClr w14:val="tx1"/>
            </w14:solidFill>
          </w14:textFill>
        </w:rPr>
        <w:t>保障</w:t>
      </w:r>
      <w:r>
        <w:rPr>
          <w:b/>
          <w:bCs/>
          <w:color w:val="000000" w:themeColor="text1"/>
          <w:szCs w:val="32"/>
          <w14:textFill>
            <w14:solidFill>
              <w14:schemeClr w14:val="tx1"/>
            </w14:solidFill>
          </w14:textFill>
        </w:rPr>
        <w:t>居民健康</w:t>
      </w:r>
      <w:r>
        <w:rPr>
          <w:rFonts w:hint="eastAsia"/>
          <w:b/>
          <w:bCs/>
          <w:color w:val="000000" w:themeColor="text1"/>
          <w:szCs w:val="32"/>
          <w14:textFill>
            <w14:solidFill>
              <w14:schemeClr w14:val="tx1"/>
            </w14:solidFill>
          </w14:textFill>
        </w:rPr>
        <w:t>的</w:t>
      </w:r>
      <w:r>
        <w:rPr>
          <w:b/>
          <w:bCs/>
          <w:color w:val="000000" w:themeColor="text1"/>
          <w:szCs w:val="32"/>
          <w14:textFill>
            <w14:solidFill>
              <w14:schemeClr w14:val="tx1"/>
            </w14:solidFill>
          </w14:textFill>
        </w:rPr>
        <w:t>环境。</w:t>
      </w:r>
      <w:r>
        <w:rPr>
          <w:color w:val="000000" w:themeColor="text1"/>
          <w:szCs w:val="32"/>
          <w14:textFill>
            <w14:solidFill>
              <w14:schemeClr w14:val="tx1"/>
            </w14:solidFill>
          </w14:textFill>
        </w:rPr>
        <w:t>倡导全民健康生活理念，切实提高居民健康素养，提升个人健康意识和行为能力。推动健康理念融入公共政策制定实施的全过程，建立和实施健康影响评估制度，系统评估各项经济社会发展规划和政策对健康的影响，加强健康危险因素监测与评价。开展健康管理制度建设、健康素养提升等工作，加大健康素养促进技术和产品研究开发力度，创造有利于健康的生活、工作和学习环境。</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提高居民健康素质。</w:t>
      </w:r>
      <w:r>
        <w:rPr>
          <w:color w:val="000000" w:themeColor="text1"/>
          <w:szCs w:val="32"/>
          <w14:textFill>
            <w14:solidFill>
              <w14:schemeClr w14:val="tx1"/>
            </w14:solidFill>
          </w14:textFill>
        </w:rPr>
        <w:t>制定健康促进与教育规划，提供覆盖所有居民的健康教育服务，推进基本公共卫生服务健康教育均等化。强化公共场所控烟主体责任和监督执法，实现室内公共场所全面禁烟。实施全民健身工程，推广体育活动，加强基层体育组织、群众体育骨干队伍建设。加强体育设施管理，逐步推动体育设施向社会开放。</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二、完善公共卫生服务体系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加快公共卫生服务体系建设。</w:t>
      </w:r>
      <w:r>
        <w:rPr>
          <w:color w:val="000000" w:themeColor="text1"/>
          <w:szCs w:val="32"/>
          <w14:textFill>
            <w14:solidFill>
              <w14:schemeClr w14:val="tx1"/>
            </w14:solidFill>
          </w14:textFill>
        </w:rPr>
        <w:t>加强基本药物供应体系和中医药服务体系建设，持续优化三级公共卫生服务体系，健全疾病预防控制、健康教育、妇幼保健、精神卫生、应急处置、卫生监督和计划生育等专业公共卫生服务网络。健全三级疾病预防控制网络和疾病监测网络，加强重大传染病等疾病防控能力，健全慢性病综合防治体系，到2025年，力争慢性病患者登记管理率达到95%以上。完善生育服务体系，深入推进妇幼卫生保健服务能力建设，孕产妇住院分娩率达100%以上，孕产妇死亡率努力控制在22/10万以下、婴儿死亡率控制在6‰以下。</w:t>
      </w:r>
    </w:p>
    <w:p>
      <w:pPr>
        <w:spacing w:line="560" w:lineRule="atLeast"/>
        <w:ind w:firstLine="643"/>
        <w:rPr>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提高突发公共卫生事件应急能力。</w:t>
      </w:r>
      <w:r>
        <w:rPr>
          <w:color w:val="000000" w:themeColor="text1"/>
          <w:szCs w:val="32"/>
          <w14:textFill>
            <w14:solidFill>
              <w14:schemeClr w14:val="tx1"/>
            </w14:solidFill>
          </w14:textFill>
        </w:rPr>
        <w:t>健全重大疫情响应机制，完善应急信息报告机制。健全突发公共卫生事件应急指挥、监测预警和处置评估等运行机制，健全快速有序反应、就近救急抢救和网络覆盖健全的院前急救体系。健全完善卫生应急预案体系，调整充实应急队伍、专家队伍，建立健全应急物资储备机制。组织开展卫生应急培训和演练，提高突发公共卫生事件快速反应和现场处置能力，保障突发公共卫生事件处置及时率100%。</w:t>
      </w:r>
    </w:p>
    <w:p>
      <w:pPr>
        <w:pStyle w:val="5"/>
        <w:rPr>
          <w:color w:val="000000" w:themeColor="text1"/>
          <w14:textFill>
            <w14:solidFill>
              <w14:schemeClr w14:val="tx1"/>
            </w14:solidFill>
          </w14:textFill>
        </w:rPr>
      </w:pPr>
      <w:r>
        <w:rPr>
          <w:color w:val="000000" w:themeColor="text1"/>
          <w14:textFill>
            <w14:solidFill>
              <w14:schemeClr w14:val="tx1"/>
            </w14:solidFill>
          </w14:textFill>
        </w:rPr>
        <w:t>三、全面提升医疗服务水平</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优化医疗卫生资源布局。</w:t>
      </w:r>
      <w:r>
        <w:rPr>
          <w:color w:val="000000" w:themeColor="text1"/>
          <w:szCs w:val="32"/>
          <w14:textFill>
            <w14:solidFill>
              <w14:schemeClr w14:val="tx1"/>
            </w14:solidFill>
          </w14:textFill>
        </w:rPr>
        <w:t>支持引进国内外高端医疗资源，建设区域性诊疗保健合作中心。重点推进国家区域性肿瘤中心项目建设，有效提升重大疑难病症诊疗能力，满足群众优质医疗服务需求。优化医疗资源布局，积极引进优质医疗资源。支持民营医院发展，加强专科医院建设，争取建设中医特色专科医院，补齐医疗服务短板。</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提高医疗水平和服务能力。</w:t>
      </w:r>
      <w:r>
        <w:rPr>
          <w:color w:val="000000" w:themeColor="text1"/>
          <w:szCs w:val="32"/>
          <w14:textFill>
            <w14:solidFill>
              <w14:schemeClr w14:val="tx1"/>
            </w14:solidFill>
          </w14:textFill>
        </w:rPr>
        <w:t>建立区级医院与社区卫生服务机构的分工协作机制，强化社区卫生服务中心门诊全科医学。实施医疗机构提升工程，加大对基层医务人员培训，持续对基层医务人员开展专业技术培训，制订并实施全科医师培养计划。推进医院信息化建设，建设以基层医疗卫生机构为骨干、二级以上医院为支撑的医养结合服务网络。</w:t>
      </w:r>
    </w:p>
    <w:p>
      <w:pPr>
        <w:pStyle w:val="27"/>
        <w:rPr>
          <w:rFonts w:ascii="Times New Roman" w:hAnsi="Times New Roman"/>
          <w:color w:val="000000" w:themeColor="text1"/>
          <w:kern w:val="0"/>
          <w:lang w:val="zh-CN"/>
          <w14:textFill>
            <w14:solidFill>
              <w14:schemeClr w14:val="tx1"/>
            </w14:solidFill>
          </w14:textFill>
        </w:rPr>
      </w:pPr>
      <w:r>
        <w:rPr>
          <w:rFonts w:ascii="Times New Roman" w:hAnsi="Times New Roman"/>
          <w:color w:val="000000" w:themeColor="text1"/>
          <w:kern w:val="0"/>
          <w:lang w:val="zh-CN"/>
          <w14:textFill>
            <w14:solidFill>
              <w14:schemeClr w14:val="tx1"/>
            </w14:solidFill>
          </w14:textFill>
        </w:rPr>
        <w:t>专栏</w:t>
      </w:r>
      <w:r>
        <w:rPr>
          <w:rFonts w:ascii="Times New Roman" w:hAnsi="Times New Roman"/>
          <w:color w:val="000000" w:themeColor="text1"/>
          <w:kern w:val="0"/>
          <w14:textFill>
            <w14:solidFill>
              <w14:schemeClr w14:val="tx1"/>
            </w14:solidFill>
          </w14:textFill>
        </w:rPr>
        <w:t>10</w:t>
      </w:r>
      <w:r>
        <w:rPr>
          <w:rFonts w:ascii="Times New Roman" w:hAnsi="Times New Roman"/>
          <w:color w:val="000000" w:themeColor="text1"/>
          <w:kern w:val="0"/>
          <w:lang w:val="zh-CN"/>
          <w14:textFill>
            <w14:solidFill>
              <w14:schemeClr w14:val="tx1"/>
            </w14:solidFill>
          </w14:textFill>
        </w:rPr>
        <w:t xml:space="preserve">  三级医疗卫生服务网络提升工程</w:t>
      </w:r>
    </w:p>
    <w:tbl>
      <w:tblPr>
        <w:tblStyle w:val="1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298" w:type="dxa"/>
            <w:vAlign w:val="center"/>
          </w:tcPr>
          <w:p>
            <w:pPr>
              <w:pStyle w:val="37"/>
              <w:spacing w:line="440" w:lineRule="atLeast"/>
              <w:ind w:firstLine="560"/>
              <w:jc w:val="both"/>
              <w:rPr>
                <w:color w:val="000000" w:themeColor="text1"/>
                <w:kern w:val="0"/>
                <w:sz w:val="28"/>
                <w:szCs w:val="28"/>
                <w:lang w:val="zh-CN"/>
                <w14:textFill>
                  <w14:solidFill>
                    <w14:schemeClr w14:val="tx1"/>
                  </w14:solidFill>
                </w14:textFill>
              </w:rPr>
            </w:pPr>
            <w:r>
              <w:rPr>
                <w:color w:val="000000" w:themeColor="text1"/>
                <w:kern w:val="0"/>
                <w:sz w:val="28"/>
                <w:szCs w:val="28"/>
                <w:lang w:val="zh-CN"/>
                <w14:textFill>
                  <w14:solidFill>
                    <w14:schemeClr w14:val="tx1"/>
                  </w14:solidFill>
                </w14:textFill>
              </w:rPr>
              <w:t>以区、街道、社区三级医疗卫生服务机构提升建设为重点，充分发挥以区级医院为“龙头”、街道医疗卫生服务机构为“枢纽”、社区卫生服务中心（站）为“网底”的三级医疗卫生服务网络作用，加强三级医疗资源共享和互补。</w:t>
            </w:r>
          </w:p>
          <w:p>
            <w:pPr>
              <w:pStyle w:val="37"/>
              <w:spacing w:line="440" w:lineRule="atLeast"/>
              <w:ind w:firstLine="562"/>
              <w:jc w:val="both"/>
              <w:rPr>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区级医院提升工程</w:t>
            </w:r>
            <w:r>
              <w:rPr>
                <w:color w:val="000000" w:themeColor="text1"/>
                <w:kern w:val="0"/>
                <w:sz w:val="28"/>
                <w:szCs w:val="28"/>
                <w:lang w:val="zh-CN"/>
                <w14:textFill>
                  <w14:solidFill>
                    <w14:schemeClr w14:val="tx1"/>
                  </w14:solidFill>
                </w14:textFill>
              </w:rPr>
              <w:t>：以经开区建成区为核心，通过院院合作或院校合作，积极引进优质医疗卫生资源，配置高、精、尖设备，建设床位数在500-1500个，具有一定规模的医院。着力提高医疗服务能力，切实保障以信息产业基地、出口加工区为主的新城医疗设施配置，使90%的常见病、多发病、危急重症和部分疑难复杂疾病的诊治、康复能够在区域医疗机构治疗。</w:t>
            </w:r>
          </w:p>
          <w:p>
            <w:pPr>
              <w:pStyle w:val="37"/>
              <w:spacing w:line="440" w:lineRule="atLeast"/>
              <w:ind w:firstLine="562"/>
              <w:jc w:val="both"/>
              <w:rPr>
                <w:color w:val="000000" w:themeColor="text1"/>
                <w:kern w:val="0"/>
                <w:sz w:val="28"/>
                <w:szCs w:val="28"/>
                <w:lang w:val="zh-CN"/>
                <w14:textFill>
                  <w14:solidFill>
                    <w14:schemeClr w14:val="tx1"/>
                  </w14:solidFill>
                </w14:textFill>
              </w:rPr>
            </w:pPr>
            <w:r>
              <w:rPr>
                <w:b/>
                <w:color w:val="000000" w:themeColor="text1"/>
                <w:kern w:val="0"/>
                <w:sz w:val="28"/>
                <w:szCs w:val="28"/>
                <w:lang w:val="zh-CN"/>
                <w14:textFill>
                  <w14:solidFill>
                    <w14:schemeClr w14:val="tx1"/>
                  </w14:solidFill>
                </w14:textFill>
              </w:rPr>
              <w:t>街道医疗卫生服务机构提升工程</w:t>
            </w:r>
            <w:r>
              <w:rPr>
                <w:color w:val="000000" w:themeColor="text1"/>
                <w:kern w:val="0"/>
                <w:sz w:val="28"/>
                <w:szCs w:val="28"/>
                <w:lang w:val="zh-CN"/>
                <w14:textFill>
                  <w14:solidFill>
                    <w14:schemeClr w14:val="tx1"/>
                  </w14:solidFill>
                </w14:textFill>
              </w:rPr>
              <w:t>：深化街道医疗卫生服务机构“六位一体”的多元化服务内涵，突出特色。推广中医药技术应用，配置开展中医药服务工作所需的基本设施和体现中医特色的诊疗设备，配备类别、层次和数量适宜的中医药专业技术人员，使得95%以上的街道医疗卫生服务机构能够提供中医药服务。</w:t>
            </w:r>
          </w:p>
          <w:p>
            <w:pPr>
              <w:pStyle w:val="37"/>
              <w:spacing w:line="440" w:lineRule="atLeast"/>
              <w:ind w:firstLine="562"/>
              <w:jc w:val="both"/>
              <w:rPr>
                <w:color w:val="000000" w:themeColor="text1"/>
                <w:sz w:val="28"/>
                <w:szCs w:val="28"/>
                <w:shd w:val="clear" w:color="auto" w:fill="FFFFFF"/>
                <w14:textFill>
                  <w14:solidFill>
                    <w14:schemeClr w14:val="tx1"/>
                  </w14:solidFill>
                </w14:textFill>
              </w:rPr>
            </w:pPr>
            <w:r>
              <w:rPr>
                <w:b/>
                <w:color w:val="000000" w:themeColor="text1"/>
                <w:kern w:val="0"/>
                <w:sz w:val="28"/>
                <w:szCs w:val="28"/>
                <w:lang w:val="zh-CN"/>
                <w14:textFill>
                  <w14:solidFill>
                    <w14:schemeClr w14:val="tx1"/>
                  </w14:solidFill>
                </w14:textFill>
              </w:rPr>
              <w:t>社区卫生服务中心（站）提升工程</w:t>
            </w:r>
            <w:r>
              <w:rPr>
                <w:color w:val="000000" w:themeColor="text1"/>
                <w:kern w:val="0"/>
                <w:sz w:val="28"/>
                <w:szCs w:val="28"/>
                <w:lang w:val="zh-CN"/>
                <w14:textFill>
                  <w14:solidFill>
                    <w14:schemeClr w14:val="tx1"/>
                  </w14:solidFill>
                </w14:textFill>
              </w:rPr>
              <w:t>：在经开区社区卫生服务机构设置规划的基础上，综合考虑外来人口集中、发展落后片区基层医疗设施分布不均等因素，适度调整卫生服务机构布局，进一步优化社区卫生服务中心（站）设置，加快规范化建设。建立新型的绩效分配机制，进一步加强行政、业务、财务、绩效考核一体化管理，逐步解决运行保障机制不完善问题。大力调整社区卫生服务机构人员结构，合理解决村医转岗问题，适当补充社区卫生服务中心（站）人员。</w:t>
            </w:r>
          </w:p>
        </w:tc>
      </w:tr>
    </w:tbl>
    <w:p>
      <w:pPr>
        <w:pStyle w:val="4"/>
        <w:rPr>
          <w:color w:val="000000" w:themeColor="text1"/>
          <w14:textFill>
            <w14:solidFill>
              <w14:schemeClr w14:val="tx1"/>
            </w14:solidFill>
          </w14:textFill>
        </w:rPr>
      </w:pPr>
      <w:bookmarkStart w:id="136" w:name="_Toc209"/>
      <w:r>
        <w:rPr>
          <w:color w:val="000000" w:themeColor="text1"/>
          <w14:textFill>
            <w14:solidFill>
              <w14:schemeClr w14:val="tx1"/>
            </w14:solidFill>
          </w14:textFill>
        </w:rPr>
        <w:t>第二节　着力提升教育质量</w:t>
      </w:r>
      <w:bookmarkEnd w:id="136"/>
    </w:p>
    <w:p>
      <w:pPr>
        <w:pStyle w:val="5"/>
        <w:rPr>
          <w:color w:val="000000" w:themeColor="text1"/>
          <w14:textFill>
            <w14:solidFill>
              <w14:schemeClr w14:val="tx1"/>
            </w14:solidFill>
          </w14:textFill>
        </w:rPr>
      </w:pPr>
      <w:r>
        <w:rPr>
          <w:color w:val="000000" w:themeColor="text1"/>
          <w14:textFill>
            <w14:solidFill>
              <w14:schemeClr w14:val="tx1"/>
            </w14:solidFill>
          </w14:textFill>
        </w:rPr>
        <w:t>一、构建更加完善的教育体系</w:t>
      </w:r>
    </w:p>
    <w:p>
      <w:pPr>
        <w:spacing w:line="560" w:lineRule="atLeast"/>
        <w:ind w:firstLine="643"/>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增强学前教育供给能力。</w:t>
      </w:r>
      <w:r>
        <w:rPr>
          <w:color w:val="000000" w:themeColor="text1"/>
          <w:szCs w:val="32"/>
          <w14:textFill>
            <w14:solidFill>
              <w14:schemeClr w14:val="tx1"/>
            </w14:solidFill>
          </w14:textFill>
        </w:rPr>
        <w:t>采取新建、补建、改扩建、以租代建等多种形式扩大学前教育资源，构建公办幼儿园和普惠性民办园并举的学前教育服务体系。优化公办和民办结构，大力发展公办园，力争到2025年，公办和普惠性民办幼儿园在园儿童占比达85%，公办幼儿园在园儿童占比达到50%。推进学前教育高质量发展，加强园长和教师培训，切实保障各类幼儿园办园质量。实施民办普惠性示范幼儿园创建与评定，促进经开区学前教育优质发展。</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推动义务教育均衡优质发展。</w:t>
      </w:r>
      <w:r>
        <w:rPr>
          <w:color w:val="000000" w:themeColor="text1"/>
          <w:szCs w:val="32"/>
          <w14:textFill>
            <w14:solidFill>
              <w14:schemeClr w14:val="tx1"/>
            </w14:solidFill>
          </w14:textFill>
        </w:rPr>
        <w:t>按照教育资源布局专项规划，进一步优化中小学规划布局，合理有序扩大学位供给，在学位需求紧张区域加快配建教育设施，建设经开区第二中学新校项目、黄土坡片区九年一贯制学校、黄土坡片区完全中学、洛羊片区配套高中项目、大观山学校项目、实验小学二期、第三中学教学楼改造项目等教育基础设施项目。深入推进义务教育学校标准化配套建设，补齐教育短板。以学校托管、名校办分校、高等院校办附中附小等方式，引进优质教育资源。实施联盟化发展和集团化管理，实现区内强校带弱校同步发展。全面推行义务教育学校校长职级制度改革，完善义务教育阶段校长、教师定期交流轮岗制度，全面实施教师“区管校聘”。完善义务教育均衡优质质量监测机制，提高升学比率，到2025年，初中毕业生升入高中的比例达到80%以上。</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推进高中教育高质量发展。</w:t>
      </w:r>
      <w:r>
        <w:rPr>
          <w:color w:val="000000" w:themeColor="text1"/>
          <w:szCs w:val="32"/>
          <w14:textFill>
            <w14:solidFill>
              <w14:schemeClr w14:val="tx1"/>
            </w14:solidFill>
          </w14:textFill>
        </w:rPr>
        <w:t>深入实施高中教育攻坚行动计划，优化高中阶段教育结构，持续支持公办学校申报一级二等高完中，高中教育水平稳定处于昆明市第一梯队。推进学生全面多元发展，注重培养学生学习能力，支持基于核心素养的教学实践探索，完善教学组织管理。积极引进省内外名校合作办校，积极引进省内外优秀教师，做强高中教育，提高教育质量。完善普通高中学校教育质量的管理考核，实行差别化考核和奖补。</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推进特殊教育全覆盖。</w:t>
      </w:r>
      <w:r>
        <w:rPr>
          <w:color w:val="000000" w:themeColor="text1"/>
          <w:szCs w:val="32"/>
          <w14:textFill>
            <w14:solidFill>
              <w14:schemeClr w14:val="tx1"/>
            </w14:solidFill>
          </w14:textFill>
        </w:rPr>
        <w:t>健全特殊教育保障机制，推进适龄残疾儿童教育全覆盖，实施差别化教育和个性化培养，注重培养生活自理、社会适应、劳动就业能力，确保每一个残疾人都能接受公平教育。</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二、大力发展职业教育</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推进澜湄职业教育基地建设，实施昆明铁道职业技术学院改扩建二期项目，大力发展实用型职业教育。依托区内产业优势，探索以产教融合等多种方式推动职业教育领域的校企深度合作，推动职业教育专业设计与产业需求、课程内容与职业标准、教学过程与企业生产无缝衔接。创新职业教育认证模式，鼓励区内企业联合支持职业教育，以联合培养、联合认证、联合招聘等方式，探索教学、用工、就业一体化发展模式，实现企业成长和个人发展目标相统一。大力培养技术技能型人才，切实提高应用型、工匠型人才培养力度，打造人才储备库和技术工人培训基地。</w:t>
      </w:r>
    </w:p>
    <w:p>
      <w:pPr>
        <w:pStyle w:val="5"/>
        <w:rPr>
          <w:color w:val="000000" w:themeColor="text1"/>
          <w14:textFill>
            <w14:solidFill>
              <w14:schemeClr w14:val="tx1"/>
            </w14:solidFill>
          </w14:textFill>
        </w:rPr>
      </w:pPr>
      <w:r>
        <w:rPr>
          <w:color w:val="000000" w:themeColor="text1"/>
          <w14:textFill>
            <w14:solidFill>
              <w14:schemeClr w14:val="tx1"/>
            </w14:solidFill>
          </w14:textFill>
        </w:rPr>
        <w:t>三、建设学习型园区</w:t>
      </w:r>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加大学习教育宣传力度，营造积极的终身学习型社会氛围。深入开展学习型机关、学习型社区、学习型家庭等创建评选活动，组织开展阅读节、全民终身学习活动周等各类主题活动。充分利用社区教育中心、各类职业院校为周边居民提供高质量服务。进一步开放现代远程教育网络和优质教育资源库，为居民提供高质量教育服务。</w:t>
      </w:r>
    </w:p>
    <w:p>
      <w:pPr>
        <w:pStyle w:val="4"/>
        <w:rPr>
          <w:color w:val="000000" w:themeColor="text1"/>
          <w14:textFill>
            <w14:solidFill>
              <w14:schemeClr w14:val="tx1"/>
            </w14:solidFill>
          </w14:textFill>
        </w:rPr>
      </w:pPr>
      <w:bookmarkStart w:id="137" w:name="_Toc594"/>
      <w:r>
        <w:rPr>
          <w:color w:val="000000" w:themeColor="text1"/>
          <w14:textFill>
            <w14:solidFill>
              <w14:schemeClr w14:val="tx1"/>
            </w14:solidFill>
          </w14:textFill>
        </w:rPr>
        <w:t>第三节　着力促进就业稳定</w:t>
      </w:r>
      <w:bookmarkEnd w:id="137"/>
    </w:p>
    <w:p>
      <w:pPr>
        <w:pStyle w:val="5"/>
        <w:rPr>
          <w:color w:val="000000" w:themeColor="text1"/>
          <w14:textFill>
            <w14:solidFill>
              <w14:schemeClr w14:val="tx1"/>
            </w14:solidFill>
          </w14:textFill>
        </w:rPr>
      </w:pPr>
      <w:r>
        <w:rPr>
          <w:color w:val="000000" w:themeColor="text1"/>
          <w14:textFill>
            <w14:solidFill>
              <w14:schemeClr w14:val="tx1"/>
            </w14:solidFill>
          </w14:textFill>
        </w:rPr>
        <w:t>一、千方百计增加就业岗位</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支持企业稳定就业岗位。</w:t>
      </w:r>
      <w:r>
        <w:rPr>
          <w:color w:val="000000" w:themeColor="text1"/>
          <w:szCs w:val="32"/>
          <w14:textFill>
            <w14:solidFill>
              <w14:schemeClr w14:val="tx1"/>
            </w14:solidFill>
          </w14:textFill>
        </w:rPr>
        <w:t>全面落实“稳就业保就业”工作任务，实施就业优先政策，最大限度用好援企稳岗、金融支持等政策。规范企业裁员行为，支持企业与职工集体协商，采取协商薪酬、调整工时、轮岗轮休、在岗培训等措施，保留劳动关系。鼓励企业广泛开展新员工上岗培训、在职职工岗位技能提升培训和高技能人才培训，增强劳动者就业稳定性。</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开发更多高质量就业岗位。</w:t>
      </w:r>
      <w:r>
        <w:rPr>
          <w:color w:val="000000" w:themeColor="text1"/>
          <w:szCs w:val="32"/>
          <w14:textFill>
            <w14:solidFill>
              <w14:schemeClr w14:val="tx1"/>
            </w14:solidFill>
          </w14:textFill>
        </w:rPr>
        <w:t>加快现代服务业、新兴产业发展</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扩大就业容量，开发更多就业岗位。充分发挥创业园区对就业创业的带动作用。挖掘内需带动就业，支持家政服务业、养老服务业等社区家庭服务业发展壮大，吸纳更多就业。研究建立高质量就业评价体系，推动就业纳入经济高质量发展指标和考核体系。</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二、做好重点群体就业帮扶</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稳定重点群体就业。</w:t>
      </w:r>
      <w:r>
        <w:rPr>
          <w:color w:val="000000" w:themeColor="text1"/>
          <w:szCs w:val="32"/>
          <w14:textFill>
            <w14:solidFill>
              <w14:schemeClr w14:val="tx1"/>
            </w14:solidFill>
          </w14:textFill>
        </w:rPr>
        <w:t>聚焦高校毕业生、农村劳动力、退役军人等重点群体，认真落实税费减免、贷款贴息、场地租金补贴等政策，稳定重点群体就业。扎实推进离校未就业高校毕业生实名管理服务，完善跟踪帮扶机制，强化就业指导、技能提升、岗位对接全链条服务。健全农村劳动力转移就业工作机制，引导农村劳动力转移就业，鼓励就地就近就业。</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加强托底安置就业。</w:t>
      </w:r>
      <w:r>
        <w:rPr>
          <w:color w:val="000000" w:themeColor="text1"/>
          <w:szCs w:val="32"/>
          <w14:textFill>
            <w14:solidFill>
              <w14:schemeClr w14:val="tx1"/>
            </w14:solidFill>
          </w14:textFill>
        </w:rPr>
        <w:t>加大对就业困难人员的就业援助力度，建立投入合理、规模可控的公益性岗位就业保障机制，围绕补齐民生短板，拓展公益性岗位。在老旧小区、城中村改造中探索实施以工代赈，组织参与工程项目建设。帮助就业困难人员解决实际问题，确保有工作能力的零就业家庭、最低生活保障家庭等困难家庭动态清零。</w:t>
      </w:r>
    </w:p>
    <w:p>
      <w:pPr>
        <w:pStyle w:val="5"/>
        <w:rPr>
          <w:color w:val="000000" w:themeColor="text1"/>
          <w14:textFill>
            <w14:solidFill>
              <w14:schemeClr w14:val="tx1"/>
            </w14:solidFill>
          </w14:textFill>
        </w:rPr>
      </w:pPr>
      <w:r>
        <w:rPr>
          <w:color w:val="000000" w:themeColor="text1"/>
          <w14:textFill>
            <w14:solidFill>
              <w14:schemeClr w14:val="tx1"/>
            </w14:solidFill>
          </w14:textFill>
        </w:rPr>
        <w:t>三、完善就业服务体制机制</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完善就业服务体系。</w:t>
      </w:r>
      <w:r>
        <w:rPr>
          <w:color w:val="000000" w:themeColor="text1"/>
          <w:szCs w:val="32"/>
          <w14:textFill>
            <w14:solidFill>
              <w14:schemeClr w14:val="tx1"/>
            </w14:solidFill>
          </w14:textFill>
        </w:rPr>
        <w:t>建立统一规范的人力资源市场，为劳动者和用人单位提供“一站式”就业服务。建立健全覆盖全区的公共就业创业服务体系，提高服务均等化、标准化和专业化水平。优化线上就业服务，为求职招聘提供不见面服务。进一步优化补贴申领、就业服务流程。</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健全就业动态监控机制。</w:t>
      </w:r>
      <w:r>
        <w:rPr>
          <w:color w:val="000000" w:themeColor="text1"/>
          <w:szCs w:val="32"/>
          <w14:textFill>
            <w14:solidFill>
              <w14:schemeClr w14:val="tx1"/>
            </w14:solidFill>
          </w14:textFill>
        </w:rPr>
        <w:t>依托线上就业公共服务平台开展劳动力资源和就业、失业状况调查统计。建立职业监测和发布机制，对重点行业、重点企业岗位流失情况和流动人员就业情况实施动态监测和预警。加强重大项目、重大工程、专项治理对就业的影响研究，健全就业形势研判机制，同步制定应对措施。</w:t>
      </w:r>
    </w:p>
    <w:p>
      <w:pPr>
        <w:pStyle w:val="5"/>
        <w:rPr>
          <w:color w:val="000000" w:themeColor="text1"/>
          <w14:textFill>
            <w14:solidFill>
              <w14:schemeClr w14:val="tx1"/>
            </w14:solidFill>
          </w14:textFill>
        </w:rPr>
      </w:pPr>
      <w:r>
        <w:rPr>
          <w:color w:val="000000" w:themeColor="text1"/>
          <w14:textFill>
            <w14:solidFill>
              <w14:schemeClr w14:val="tx1"/>
            </w14:solidFill>
          </w14:textFill>
        </w:rPr>
        <w:t>四、提高居民收入水平</w:t>
      </w:r>
    </w:p>
    <w:p>
      <w:pPr>
        <w:spacing w:line="560" w:lineRule="atLeast"/>
        <w:ind w:firstLine="643"/>
        <w:rPr>
          <w:color w:val="000000" w:themeColor="text1"/>
          <w:szCs w:val="32"/>
          <w:lang w:val="zh-CN"/>
          <w14:textFill>
            <w14:solidFill>
              <w14:schemeClr w14:val="tx1"/>
            </w14:solidFill>
          </w14:textFill>
        </w:rPr>
      </w:pPr>
      <w:r>
        <w:rPr>
          <w:b/>
          <w:bCs/>
          <w:color w:val="000000" w:themeColor="text1"/>
          <w:szCs w:val="32"/>
          <w:lang w:val="zh-CN"/>
          <w14:textFill>
            <w14:solidFill>
              <w14:schemeClr w14:val="tx1"/>
            </w14:solidFill>
          </w14:textFill>
        </w:rPr>
        <w:t>健全和完善分配制度。</w:t>
      </w:r>
      <w:r>
        <w:rPr>
          <w:color w:val="000000" w:themeColor="text1"/>
          <w:szCs w:val="32"/>
          <w14:textFill>
            <w14:solidFill>
              <w14:schemeClr w14:val="tx1"/>
            </w14:solidFill>
          </w14:textFill>
        </w:rPr>
        <w:t>完善工资制度，健全工资合理增长机制</w:t>
      </w:r>
      <w:r>
        <w:rPr>
          <w:color w:val="000000" w:themeColor="text1"/>
          <w:szCs w:val="32"/>
          <w:lang w:val="zh-CN"/>
          <w14:textFill>
            <w14:solidFill>
              <w14:schemeClr w14:val="tx1"/>
            </w14:solidFill>
          </w14:textFill>
        </w:rPr>
        <w:t>，持续扩大中等收入群体。完善按要素分配政策，健全各类生产要素由市场决定报酬的机制，探索通过土地要素使用权、收益权增加中低收入群体收入。多渠道增加城乡居民经营收入、财产性收入。健全以税收、社会保障、转移支付等为主要手段的再分配调节机制，缩小城乡、区域、行业之间收入差距，改善收入和财富分配格局。</w:t>
      </w:r>
    </w:p>
    <w:p>
      <w:pPr>
        <w:spacing w:line="560" w:lineRule="atLeast"/>
        <w:ind w:firstLine="643"/>
        <w:rPr>
          <w:color w:val="000000" w:themeColor="text1"/>
          <w:szCs w:val="32"/>
          <w:lang w:val="zh-CN"/>
          <w14:textFill>
            <w14:solidFill>
              <w14:schemeClr w14:val="tx1"/>
            </w14:solidFill>
          </w14:textFill>
        </w:rPr>
      </w:pPr>
      <w:r>
        <w:rPr>
          <w:b/>
          <w:bCs/>
          <w:color w:val="000000" w:themeColor="text1"/>
          <w:szCs w:val="32"/>
          <w:lang w:val="zh-CN"/>
          <w14:textFill>
            <w14:solidFill>
              <w14:schemeClr w14:val="tx1"/>
            </w14:solidFill>
          </w14:textFill>
        </w:rPr>
        <w:t>着力提高低收入群体收入。</w:t>
      </w:r>
      <w:r>
        <w:rPr>
          <w:color w:val="000000" w:themeColor="text1"/>
          <w:szCs w:val="32"/>
          <w:lang w:val="zh-CN"/>
          <w14:textFill>
            <w14:solidFill>
              <w14:schemeClr w14:val="tx1"/>
            </w14:solidFill>
          </w14:textFill>
        </w:rPr>
        <w:t>严格落实最低工资标准制度，完善最低工资增长机制，建立最低工资评估机制。</w:t>
      </w:r>
      <w:r>
        <w:rPr>
          <w:color w:val="000000" w:themeColor="text1"/>
          <w:szCs w:val="32"/>
          <w14:textFill>
            <w14:solidFill>
              <w14:schemeClr w14:val="tx1"/>
            </w14:solidFill>
          </w14:textFill>
        </w:rPr>
        <w:t>健全职工工资决定机制、正常增长机制、支付保障机制</w:t>
      </w:r>
      <w:r>
        <w:rPr>
          <w:color w:val="000000" w:themeColor="text1"/>
          <w:szCs w:val="32"/>
          <w:lang w:val="zh-CN"/>
          <w14:textFill>
            <w14:solidFill>
              <w14:schemeClr w14:val="tx1"/>
            </w14:solidFill>
          </w14:textFill>
        </w:rPr>
        <w:t>。加大农民工工资支付保障力度，完善失信企业联合惩戒机制。</w:t>
      </w:r>
    </w:p>
    <w:p>
      <w:pPr>
        <w:pStyle w:val="4"/>
        <w:rPr>
          <w:color w:val="000000" w:themeColor="text1"/>
          <w14:textFill>
            <w14:solidFill>
              <w14:schemeClr w14:val="tx1"/>
            </w14:solidFill>
          </w14:textFill>
        </w:rPr>
      </w:pPr>
      <w:bookmarkStart w:id="138" w:name="_Toc23907"/>
      <w:r>
        <w:rPr>
          <w:color w:val="000000" w:themeColor="text1"/>
          <w14:textFill>
            <w14:solidFill>
              <w14:schemeClr w14:val="tx1"/>
            </w14:solidFill>
          </w14:textFill>
        </w:rPr>
        <w:t>第四节　着力健全社保体系</w:t>
      </w:r>
      <w:bookmarkEnd w:id="138"/>
    </w:p>
    <w:p>
      <w:pPr>
        <w:pStyle w:val="5"/>
        <w:rPr>
          <w:color w:val="000000" w:themeColor="text1"/>
          <w14:textFill>
            <w14:solidFill>
              <w14:schemeClr w14:val="tx1"/>
            </w14:solidFill>
          </w14:textFill>
        </w:rPr>
      </w:pPr>
      <w:r>
        <w:rPr>
          <w:color w:val="000000" w:themeColor="text1"/>
          <w14:textFill>
            <w14:solidFill>
              <w14:schemeClr w14:val="tx1"/>
            </w14:solidFill>
          </w14:textFill>
        </w:rPr>
        <w:t>一、构建完善养老服务体系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完善养老服务体系。</w:t>
      </w:r>
      <w:r>
        <w:rPr>
          <w:color w:val="000000" w:themeColor="text1"/>
          <w:szCs w:val="32"/>
          <w14:textFill>
            <w14:solidFill>
              <w14:schemeClr w14:val="tx1"/>
            </w14:solidFill>
          </w14:textFill>
        </w:rPr>
        <w:t>积极应对人口老龄化挑战，加快健全完善以居家为基础、社区为依托、机构为支撑的适度普惠型养老服务体系。发挥市场在养老服务资源配置中的基础性作用，积极引导社会力量参与、从事养老服务事业，不断提高社会养老服务水平和效率。推进医养结合，推动形成覆盖全部老年人群体的健康养老服务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推进养老服务发展。</w:t>
      </w:r>
      <w:r>
        <w:rPr>
          <w:color w:val="000000" w:themeColor="text1"/>
          <w:szCs w:val="32"/>
          <w14:textFill>
            <w14:solidFill>
              <w14:schemeClr w14:val="tx1"/>
            </w14:solidFill>
          </w14:textFill>
        </w:rPr>
        <w:t>强化家庭养老功能，完善老年人养老保障、医疗保健、生活服务等优待政策。加强社区居家养老服务设施建设，统筹规划服务场所，优化整合资源，建设9个居家养老服务中心。发挥公办养老机构基础性、示范性、辐射性作用。培育多种养老服务供给主体，大力扶持民办养老机构发展，逐步提高民办养老机构床位数占全园区养老床位数的比重。</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二、不断完善社会保障体系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巩固扩大参保覆盖面</w:t>
      </w:r>
      <w:r>
        <w:rPr>
          <w:color w:val="000000" w:themeColor="text1"/>
          <w:szCs w:val="32"/>
          <w14:textFill>
            <w14:solidFill>
              <w14:schemeClr w14:val="tx1"/>
            </w14:solidFill>
          </w14:textFill>
        </w:rPr>
        <w:t>。实施以养老保险、医疗保险为重点的全民参保登记计划，加强参保人基础信息管理，完善动态管理机制，形成实时动态数据库。落实灵活就业人员、个体从业人员、被征地农民等群体参保政策，鼓励符合条件的城乡居民参加补充商业保险。全力推进城乡居民养老保险提标扩面，力争2025年全区参保率达到97%。</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提高医疗和养老保障水平</w:t>
      </w:r>
      <w:r>
        <w:rPr>
          <w:color w:val="000000" w:themeColor="text1"/>
          <w:szCs w:val="32"/>
          <w14:textFill>
            <w14:solidFill>
              <w14:schemeClr w14:val="tx1"/>
            </w14:solidFill>
          </w14:textFill>
        </w:rPr>
        <w:t>。进一步完善以基本医疗保险为主体</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多种形式的商业保险为补充的多层次医疗保障体系。贯彻落实养老保险制度，依照国家、省、市基本养老金调整政策和基本养老金正常调整机制，及时落实职工居民基本养老金的调整。</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推进住房保障体系。</w:t>
      </w:r>
      <w:r>
        <w:rPr>
          <w:color w:val="000000" w:themeColor="text1"/>
          <w:szCs w:val="32"/>
          <w14:textFill>
            <w14:solidFill>
              <w14:schemeClr w14:val="tx1"/>
            </w14:solidFill>
          </w14:textFill>
        </w:rPr>
        <w:t>以城镇低保、优抚对象、残疾人住房困难家庭、低收入住房困难家庭为重点，建立健全保障性住房体系。实施保障性安居工程和人才住房保障工程，构建以租为主的多层次住房保障供应体系，满足低收入群体以及引进高端人才的住房需求。</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推进国有企业退休人员社会化管理。</w:t>
      </w:r>
      <w:r>
        <w:rPr>
          <w:color w:val="000000" w:themeColor="text1"/>
          <w:szCs w:val="32"/>
          <w14:textFill>
            <w14:solidFill>
              <w14:schemeClr w14:val="tx1"/>
            </w14:solidFill>
          </w14:textFill>
        </w:rPr>
        <w:t>将国有企业已退休人员移交属地街道、社区</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实行社会化管理。完善街道和社区党组织、退休人员社会化管理服务机构管理服务功能，充分利用现代信息化手段，多渠道、多方式为国有企业退休人员提供社会化服务。</w:t>
      </w:r>
    </w:p>
    <w:p>
      <w:pPr>
        <w:pStyle w:val="5"/>
        <w:rPr>
          <w:color w:val="000000" w:themeColor="text1"/>
          <w14:textFill>
            <w14:solidFill>
              <w14:schemeClr w14:val="tx1"/>
            </w14:solidFill>
          </w14:textFill>
        </w:rPr>
      </w:pPr>
      <w:r>
        <w:rPr>
          <w:color w:val="000000" w:themeColor="text1"/>
          <w14:textFill>
            <w14:solidFill>
              <w14:schemeClr w14:val="tx1"/>
            </w14:solidFill>
          </w14:textFill>
        </w:rPr>
        <w:t>三、健全社会福利网络体系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健全社会救助制度体系。</w:t>
      </w:r>
      <w:r>
        <w:rPr>
          <w:color w:val="000000" w:themeColor="text1"/>
          <w:szCs w:val="32"/>
          <w14:textFill>
            <w14:solidFill>
              <w14:schemeClr w14:val="tx1"/>
            </w14:solidFill>
          </w14:textFill>
        </w:rPr>
        <w:t>健全最低生活保障制度，实现应保尽保，稳步提高城乡低保标准，保障群众最低生活。构建最低生活保障、特困人员供养、低保边缘困难群体救助</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受灾人员救助以及医疗、教育、住房、就业救助和临时救助等配套衔接的社会救助体系，编密织牢民生救助安全网。</w:t>
      </w:r>
    </w:p>
    <w:p>
      <w:pPr>
        <w:pStyle w:val="6"/>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拓展社会福利的保障范围。</w:t>
      </w:r>
      <w:r>
        <w:rPr>
          <w:color w:val="000000" w:themeColor="text1"/>
          <w:szCs w:val="32"/>
          <w14:textFill>
            <w14:solidFill>
              <w14:schemeClr w14:val="tx1"/>
            </w14:solidFill>
          </w14:textFill>
        </w:rPr>
        <w:t>以扶老、助残、救孤、济困为重点，逐步拓展社会福利的保障范围。</w:t>
      </w:r>
      <w:r>
        <w:rPr>
          <w:rFonts w:hint="eastAsia"/>
          <w:color w:val="000000" w:themeColor="text1"/>
          <w:szCs w:val="32"/>
          <w14:textFill>
            <w14:solidFill>
              <w14:schemeClr w14:val="tx1"/>
            </w14:solidFill>
          </w14:textFill>
        </w:rPr>
        <w:t>建立未成年人保护工作协调机制</w:t>
      </w:r>
      <w:r>
        <w:rPr>
          <w:rFonts w:hint="eastAsia"/>
          <w:color w:val="000000" w:themeColor="text1"/>
          <w:szCs w:val="32"/>
          <w:lang w:eastAsia="zh-CN"/>
          <w14:textFill>
            <w14:solidFill>
              <w14:schemeClr w14:val="tx1"/>
            </w14:solidFill>
          </w14:textFill>
        </w:rPr>
        <w:t>，加强机构和设施的建设，切实</w:t>
      </w:r>
      <w:r>
        <w:rPr>
          <w:rFonts w:hint="eastAsia"/>
          <w:color w:val="000000" w:themeColor="text1"/>
          <w:szCs w:val="32"/>
          <w14:textFill>
            <w14:solidFill>
              <w14:schemeClr w14:val="tx1"/>
            </w14:solidFill>
          </w14:textFill>
        </w:rPr>
        <w:t>保障未成年人合法权益</w:t>
      </w:r>
      <w:r>
        <w:rPr>
          <w:rFonts w:hint="eastAsia"/>
          <w:color w:val="000000" w:themeColor="text1"/>
          <w:szCs w:val="32"/>
          <w:lang w:eastAsia="zh-CN"/>
          <w14:textFill>
            <w14:solidFill>
              <w14:schemeClr w14:val="tx1"/>
            </w14:solidFill>
          </w14:textFill>
        </w:rPr>
        <w:t>。</w:t>
      </w:r>
      <w:r>
        <w:rPr>
          <w:color w:val="000000" w:themeColor="text1"/>
          <w:szCs w:val="32"/>
          <w14:textFill>
            <w14:solidFill>
              <w14:schemeClr w14:val="tx1"/>
            </w14:solidFill>
          </w14:textFill>
        </w:rPr>
        <w:t>加强“救急难”工作与最低生活保障、特困人员供养、受灾人员救助、各类专项救助、临时救助制度对接。加大对因病支出型贫困家庭、获得最低生活保障后生活仍有困难家庭的救助力度。</w:t>
      </w:r>
    </w:p>
    <w:p>
      <w:pPr>
        <w:pStyle w:val="4"/>
        <w:rPr>
          <w:color w:val="000000" w:themeColor="text1"/>
          <w14:textFill>
            <w14:solidFill>
              <w14:schemeClr w14:val="tx1"/>
            </w14:solidFill>
          </w14:textFill>
        </w:rPr>
      </w:pPr>
      <w:bookmarkStart w:id="139" w:name="_Toc18725"/>
      <w:r>
        <w:rPr>
          <w:color w:val="000000" w:themeColor="text1"/>
          <w14:textFill>
            <w14:solidFill>
              <w14:schemeClr w14:val="tx1"/>
            </w14:solidFill>
          </w14:textFill>
        </w:rPr>
        <w:t>第五节　着力繁荣文化事业</w:t>
      </w:r>
      <w:bookmarkEnd w:id="139"/>
    </w:p>
    <w:p>
      <w:pPr>
        <w:pStyle w:val="5"/>
        <w:rPr>
          <w:color w:val="000000" w:themeColor="text1"/>
          <w14:textFill>
            <w14:solidFill>
              <w14:schemeClr w14:val="tx1"/>
            </w14:solidFill>
          </w14:textFill>
        </w:rPr>
      </w:pPr>
      <w:r>
        <w:rPr>
          <w:color w:val="000000" w:themeColor="text1"/>
          <w14:textFill>
            <w14:solidFill>
              <w14:schemeClr w14:val="tx1"/>
            </w14:solidFill>
          </w14:textFill>
        </w:rPr>
        <w:t>一、加快完善公共文化服务体系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完善公共文化服务网络。</w:t>
      </w:r>
      <w:r>
        <w:rPr>
          <w:color w:val="000000" w:themeColor="text1"/>
          <w:szCs w:val="32"/>
          <w14:textFill>
            <w14:solidFill>
              <w14:schemeClr w14:val="tx1"/>
            </w14:solidFill>
          </w14:textFill>
        </w:rPr>
        <w:t>健全各级各类公共文化基础设施，以区、街道、社区为重点，全面实施文化馆、站、室达标建设，推动公共文化数字化建设，落实基层公共文化建设有关政策，建成均衡发展、供给丰富、服务高效、保障有力的现代公共文化服务体系。</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建立基本公共文化服务标准体系。</w:t>
      </w:r>
      <w:r>
        <w:rPr>
          <w:color w:val="000000" w:themeColor="text1"/>
          <w:szCs w:val="32"/>
          <w14:textFill>
            <w14:solidFill>
              <w14:schemeClr w14:val="tx1"/>
            </w14:solidFill>
          </w14:textFill>
        </w:rPr>
        <w:t>健全公共文化设施运行管理和服务标准体系，规范各级各类公共文化机构服务项目和流程，完善内部管理制度，提高服务水平。因地制宜设置受群众欢迎的服务项目，不断明确管理和考核的服务种类、数量、规模和质量要求，做到建设规范、管理科学、运营高效。建立基本公共文化服务标准动态调整机制，根据经济社会的发展变化，适时调整提高具体指标。</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二、加强公共文化产品供给</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提升公共文化服务效能。</w:t>
      </w:r>
      <w:r>
        <w:rPr>
          <w:color w:val="000000" w:themeColor="text1"/>
          <w:szCs w:val="32"/>
          <w14:textFill>
            <w14:solidFill>
              <w14:schemeClr w14:val="tx1"/>
            </w14:solidFill>
          </w14:textFill>
        </w:rPr>
        <w:t>推动文化馆、站、室</w:t>
      </w:r>
      <w:r>
        <w:rPr>
          <w:rFonts w:hint="eastAsia"/>
          <w:color w:val="000000" w:themeColor="text1"/>
          <w:szCs w:val="32"/>
          <w14:textFill>
            <w14:solidFill>
              <w14:schemeClr w14:val="tx1"/>
            </w14:solidFill>
          </w14:textFill>
        </w:rPr>
        <w:t>等</w:t>
      </w:r>
      <w:r>
        <w:rPr>
          <w:color w:val="000000" w:themeColor="text1"/>
          <w:szCs w:val="32"/>
          <w14:textFill>
            <w14:solidFill>
              <w14:schemeClr w14:val="tx1"/>
            </w14:solidFill>
          </w14:textFill>
        </w:rPr>
        <w:t>场所提供基本公共文化服务免费项目，健全群众文化供需对接平台，建立群众文化需求反馈机制，制定公共文化服务提供目录，开展“菜单式”“订单式”服务。依托文化信息资源共享平台，推动数字文化资源共建共享。加强公共文化服务品牌建设，推动形成具有鲜明特色和社会影响力的服务项目。</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丰富优秀公共文化产品供给。</w:t>
      </w:r>
      <w:r>
        <w:rPr>
          <w:color w:val="000000" w:themeColor="text1"/>
          <w:szCs w:val="32"/>
          <w14:textFill>
            <w14:solidFill>
              <w14:schemeClr w14:val="tx1"/>
            </w14:solidFill>
          </w14:textFill>
        </w:rPr>
        <w:t>鼓励创作生产更多传播当代中国价值观念、体现中华文化精神，思想性、艺术性、观赏性有机统一的优秀文化产品，将花灯等传统戏剧和撒梅扁鼓舞等民族歌舞纳入基本公共文化服务范围。持续开展“优秀非物质文化遗产进校园、进社区”活动，提升送戏、送电影、送书到社区的活动效果，进一步开展优秀出版物推荐活动。</w:t>
      </w:r>
    </w:p>
    <w:p>
      <w:pPr>
        <w:ind w:firstLine="640"/>
        <w:rPr>
          <w:color w:val="000000" w:themeColor="text1"/>
          <w14:textFill>
            <w14:solidFill>
              <w14:schemeClr w14:val="tx1"/>
            </w14:solidFill>
          </w14:textFill>
        </w:rPr>
      </w:pPr>
      <w:bookmarkStart w:id="140" w:name="_Toc65069796"/>
      <w:bookmarkStart w:id="141" w:name="_Toc21738"/>
      <w:bookmarkStart w:id="142" w:name="_Toc32551"/>
      <w:r>
        <w:rPr>
          <w:color w:val="000000" w:themeColor="text1"/>
          <w14:textFill>
            <w14:solidFill>
              <w14:schemeClr w14:val="tx1"/>
            </w14:solidFill>
          </w14:textFill>
        </w:rPr>
        <w:br w:type="page"/>
      </w:r>
    </w:p>
    <w:bookmarkEnd w:id="124"/>
    <w:bookmarkEnd w:id="125"/>
    <w:bookmarkEnd w:id="126"/>
    <w:bookmarkEnd w:id="140"/>
    <w:bookmarkEnd w:id="141"/>
    <w:bookmarkEnd w:id="142"/>
    <w:p>
      <w:pPr>
        <w:spacing w:line="560" w:lineRule="atLeast"/>
        <w:ind w:firstLine="640"/>
        <w:rPr>
          <w:color w:val="000000" w:themeColor="text1"/>
          <w:szCs w:val="32"/>
          <w14:textFill>
            <w14:solidFill>
              <w14:schemeClr w14:val="tx1"/>
            </w14:solidFill>
          </w14:textFill>
        </w:rPr>
      </w:pPr>
    </w:p>
    <w:p>
      <w:pPr>
        <w:pStyle w:val="3"/>
        <w:rPr>
          <w:color w:val="000000" w:themeColor="text1"/>
          <w14:textFill>
            <w14:solidFill>
              <w14:schemeClr w14:val="tx1"/>
            </w14:solidFill>
          </w14:textFill>
        </w:rPr>
      </w:pPr>
      <w:bookmarkStart w:id="143" w:name="_Toc31723"/>
      <w:r>
        <w:rPr>
          <w:color w:val="000000" w:themeColor="text1"/>
          <w14:textFill>
            <w14:solidFill>
              <w14:schemeClr w14:val="tx1"/>
            </w14:solidFill>
          </w14:textFill>
        </w:rPr>
        <w:t>第九章  构建社会治理新格局</w:t>
      </w:r>
      <w:bookmarkEnd w:id="143"/>
    </w:p>
    <w:p>
      <w:pPr>
        <w:ind w:firstLine="640"/>
        <w:rPr>
          <w:color w:val="000000" w:themeColor="text1"/>
          <w14:textFill>
            <w14:solidFill>
              <w14:schemeClr w14:val="tx1"/>
            </w14:solidFill>
          </w14:textFill>
        </w:rPr>
      </w:pPr>
      <w:bookmarkStart w:id="144" w:name="_Toc32131"/>
      <w:bookmarkEnd w:id="144"/>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毫不动摇坚持和巩固中国特色社会主义制度，从维护最广大人民群众根本利益出发，加快法治建设、平安建设，完善共建共治共享的社会治理制度，切实将推进治理体系治理能力现代化作为提升园区综合竞争力的先导工程，提升全区社会治理效能。</w:t>
      </w:r>
    </w:p>
    <w:p>
      <w:pPr>
        <w:pStyle w:val="4"/>
        <w:rPr>
          <w:color w:val="000000" w:themeColor="text1"/>
          <w14:textFill>
            <w14:solidFill>
              <w14:schemeClr w14:val="tx1"/>
            </w14:solidFill>
          </w14:textFill>
        </w:rPr>
      </w:pPr>
      <w:bookmarkStart w:id="145" w:name="_Toc32198"/>
      <w:bookmarkStart w:id="146" w:name="_Toc31395"/>
      <w:bookmarkStart w:id="147" w:name="_Toc7194"/>
      <w:bookmarkStart w:id="148" w:name="_Toc2147"/>
      <w:bookmarkStart w:id="149" w:name="_Toc65069797"/>
      <w:bookmarkStart w:id="150" w:name="_Toc54533689"/>
      <w:bookmarkStart w:id="151" w:name="_Toc5152"/>
      <w:bookmarkStart w:id="152" w:name="_Toc21798"/>
      <w:bookmarkStart w:id="153" w:name="_Toc56452589"/>
      <w:bookmarkStart w:id="154" w:name="_Toc28291"/>
      <w:bookmarkStart w:id="155" w:name="_Toc4462"/>
      <w:bookmarkStart w:id="156" w:name="_Toc18360"/>
      <w:bookmarkStart w:id="157" w:name="_Toc7257"/>
      <w:r>
        <w:rPr>
          <w:color w:val="000000" w:themeColor="text1"/>
          <w14:textFill>
            <w14:solidFill>
              <w14:schemeClr w14:val="tx1"/>
            </w14:solidFill>
          </w14:textFill>
        </w:rPr>
        <w:t>第一</w:t>
      </w:r>
      <w:bookmarkEnd w:id="145"/>
      <w:r>
        <w:rPr>
          <w:color w:val="000000" w:themeColor="text1"/>
          <w14:textFill>
            <w14:solidFill>
              <w14:schemeClr w14:val="tx1"/>
            </w14:solidFill>
          </w14:textFill>
        </w:rPr>
        <w:t>节　建设法治园区</w:t>
      </w:r>
      <w:bookmarkEnd w:id="146"/>
      <w:bookmarkEnd w:id="147"/>
      <w:bookmarkEnd w:id="148"/>
      <w:bookmarkEnd w:id="149"/>
    </w:p>
    <w:p>
      <w:pPr>
        <w:pStyle w:val="5"/>
        <w:rPr>
          <w:color w:val="000000" w:themeColor="text1"/>
          <w14:textFill>
            <w14:solidFill>
              <w14:schemeClr w14:val="tx1"/>
            </w14:solidFill>
          </w14:textFill>
        </w:rPr>
      </w:pPr>
      <w:r>
        <w:rPr>
          <w:color w:val="000000" w:themeColor="text1"/>
          <w14:textFill>
            <w14:solidFill>
              <w14:schemeClr w14:val="tx1"/>
            </w14:solidFill>
          </w14:textFill>
        </w:rPr>
        <w:t>一、不断强化制度创新的法治保障</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优化园区法治基础环境</w:t>
      </w:r>
      <w:r>
        <w:rPr>
          <w:color w:val="000000" w:themeColor="text1"/>
          <w:szCs w:val="32"/>
          <w14:textFill>
            <w14:solidFill>
              <w14:schemeClr w14:val="tx1"/>
            </w14:solidFill>
          </w14:textFill>
        </w:rPr>
        <w:t>。广泛借鉴国内其他自贸试验区以及新加坡、香港等国家和地区推进法制建设特别是法治园区建设的创新实践，积极探索建立符合自贸区特点的法治环境评估指标体系，开展法治环境第三方年度评估工作。争取设立中国（云南）自贸区昆明片区法院、检察院。</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健全商事争端解决机制</w:t>
      </w:r>
      <w:r>
        <w:rPr>
          <w:color w:val="000000" w:themeColor="text1"/>
          <w:szCs w:val="32"/>
          <w14:textFill>
            <w14:solidFill>
              <w14:schemeClr w14:val="tx1"/>
            </w14:solidFill>
          </w14:textFill>
        </w:rPr>
        <w:t>。进一步优化以昆明法院自贸试验区诉讼服务中心和分调裁审、多元解纷中心、昆明国际商事仲裁服务中心为支撑的国际商事法律保护机制，逐步建成符合国际惯例的集司法、仲裁、调解于一体的多元争议化解体系。积极探索资本市场专业调解、商事仲裁、行业自律、行政监管“四位一体”纠纷解决新模式。针对金融和高科技产业</w:t>
      </w:r>
      <w:r>
        <w:rPr>
          <w:rFonts w:hint="eastAsia"/>
          <w:color w:val="000000" w:themeColor="text1"/>
          <w:szCs w:val="32"/>
          <w14:textFill>
            <w14:solidFill>
              <w14:schemeClr w14:val="tx1"/>
            </w14:solidFill>
          </w14:textFill>
        </w:rPr>
        <w:t>发展</w:t>
      </w:r>
      <w:r>
        <w:rPr>
          <w:color w:val="000000" w:themeColor="text1"/>
          <w:szCs w:val="32"/>
          <w14:textFill>
            <w14:solidFill>
              <w14:schemeClr w14:val="tx1"/>
            </w14:solidFill>
          </w14:textFill>
        </w:rPr>
        <w:t>的需要，筹建金融仲裁、高科技和知识产权仲裁等专业化平台。</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二、全面推进法治政府建设</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强化法律意识和法治观念</w:t>
      </w:r>
      <w:r>
        <w:rPr>
          <w:color w:val="000000" w:themeColor="text1"/>
          <w:szCs w:val="32"/>
          <w14:textFill>
            <w14:solidFill>
              <w14:schemeClr w14:val="tx1"/>
            </w14:solidFill>
          </w14:textFill>
        </w:rPr>
        <w:t>。始终坚持以依法行政为重要抓手推进法治政府建设，不断提升各级领导干部运用法治思维和法治方式维护人民权益、化解矛盾纠纷、促进社会和谐稳定的能力和水平。全面推行</w:t>
      </w:r>
      <w:r>
        <w:rPr>
          <w:color w:val="000000" w:themeColor="text1"/>
          <w:szCs w:val="32"/>
          <w:lang w:val="zh-CN"/>
          <w14:textFill>
            <w14:solidFill>
              <w14:schemeClr w14:val="tx1"/>
            </w14:solidFill>
          </w14:textFill>
        </w:rPr>
        <w:t>行政权力清单制度，</w:t>
      </w:r>
      <w:r>
        <w:rPr>
          <w:color w:val="000000" w:themeColor="text1"/>
          <w:szCs w:val="32"/>
          <w14:textFill>
            <w14:solidFill>
              <w14:schemeClr w14:val="tx1"/>
            </w14:solidFill>
          </w14:textFill>
        </w:rPr>
        <w:t>完善</w:t>
      </w:r>
      <w:r>
        <w:rPr>
          <w:color w:val="000000" w:themeColor="text1"/>
          <w:szCs w:val="32"/>
          <w:lang w:val="zh-CN"/>
          <w14:textFill>
            <w14:solidFill>
              <w14:schemeClr w14:val="tx1"/>
            </w14:solidFill>
          </w14:textFill>
        </w:rPr>
        <w:t>行政权力清单动态调整机制，</w:t>
      </w:r>
      <w:r>
        <w:rPr>
          <w:color w:val="000000" w:themeColor="text1"/>
          <w:szCs w:val="32"/>
          <w14:textFill>
            <w14:solidFill>
              <w14:schemeClr w14:val="tx1"/>
            </w14:solidFill>
          </w14:textFill>
        </w:rPr>
        <w:t>把权力清单作为行政决策、行政管理、行政监督的重要标尺。加强对行政权力的制约，依法强化权力运行监督，加大政务公开力度，切实做到有权必有责、用权受监督、违法必追究。</w:t>
      </w:r>
    </w:p>
    <w:p>
      <w:pPr>
        <w:spacing w:line="560" w:lineRule="atLeast"/>
        <w:ind w:firstLine="643"/>
        <w:rPr>
          <w:color w:val="000000" w:themeColor="text1"/>
          <w:szCs w:val="32"/>
          <w:shd w:val="clear" w:color="auto" w:fill="FFFFFF"/>
          <w:lang w:val="zh-CN"/>
          <w14:textFill>
            <w14:solidFill>
              <w14:schemeClr w14:val="tx1"/>
            </w14:solidFill>
          </w14:textFill>
        </w:rPr>
      </w:pPr>
      <w:r>
        <w:rPr>
          <w:b/>
          <w:bCs/>
          <w:color w:val="000000" w:themeColor="text1"/>
          <w:szCs w:val="32"/>
          <w14:textFill>
            <w14:solidFill>
              <w14:schemeClr w14:val="tx1"/>
            </w14:solidFill>
          </w14:textFill>
        </w:rPr>
        <w:t>加强和改进行政执法</w:t>
      </w:r>
      <w:r>
        <w:rPr>
          <w:b/>
          <w:bCs/>
          <w:color w:val="000000" w:themeColor="text1"/>
          <w:szCs w:val="32"/>
          <w:lang w:val="zh-CN"/>
          <w14:textFill>
            <w14:solidFill>
              <w14:schemeClr w14:val="tx1"/>
            </w14:solidFill>
          </w14:textFill>
        </w:rPr>
        <w:t>。</w:t>
      </w:r>
      <w:r>
        <w:rPr>
          <w:color w:val="000000" w:themeColor="text1"/>
          <w:szCs w:val="32"/>
          <w:shd w:val="clear" w:color="auto" w:fill="FFFFFF"/>
          <w14:textFill>
            <w14:solidFill>
              <w14:schemeClr w14:val="tx1"/>
            </w14:solidFill>
          </w14:textFill>
        </w:rPr>
        <w:t>依托大部制</w:t>
      </w:r>
      <w:r>
        <w:rPr>
          <w:color w:val="000000" w:themeColor="text1"/>
          <w:szCs w:val="32"/>
          <w:shd w:val="clear" w:color="auto" w:fill="FFFFFF"/>
          <w:lang w:val="zh-CN"/>
          <w14:textFill>
            <w14:solidFill>
              <w14:schemeClr w14:val="tx1"/>
            </w14:solidFill>
          </w14:textFill>
        </w:rPr>
        <w:t>推进综合行政执法体制改革，积极探索跨领域、跨部门、跨行业、跨层级的综合执法。落实行政执法“三项制度”。健全行政执法机关联动协调机制和信息共享机制，实现信息资源开放共享、互联互通。健全行政执法和刑事司法衔接机制，</w:t>
      </w:r>
      <w:r>
        <w:rPr>
          <w:color w:val="000000" w:themeColor="text1"/>
          <w:szCs w:val="32"/>
          <w:shd w:val="clear" w:color="auto" w:fill="FFFFFF"/>
          <w14:textFill>
            <w14:solidFill>
              <w14:schemeClr w14:val="tx1"/>
            </w14:solidFill>
          </w14:textFill>
        </w:rPr>
        <w:t>进一步完善</w:t>
      </w:r>
      <w:r>
        <w:rPr>
          <w:color w:val="000000" w:themeColor="text1"/>
          <w:szCs w:val="32"/>
          <w:shd w:val="clear" w:color="auto" w:fill="FFFFFF"/>
          <w:lang w:val="zh-CN"/>
          <w14:textFill>
            <w14:solidFill>
              <w14:schemeClr w14:val="tx1"/>
            </w14:solidFill>
          </w14:textFill>
        </w:rPr>
        <w:t>信息通报、案件移送、个案协商、联合专项检查等具体程序，实现行政执法和刑事司法无缝对接。探索推进标准化执法，以行政处罚领域为重点，实现执法用语、执法文书、执法依据、执法方式、执法判定标准化。</w:t>
      </w:r>
    </w:p>
    <w:p>
      <w:pPr>
        <w:pStyle w:val="5"/>
        <w:rPr>
          <w:color w:val="000000" w:themeColor="text1"/>
          <w14:textFill>
            <w14:solidFill>
              <w14:schemeClr w14:val="tx1"/>
            </w14:solidFill>
          </w14:textFill>
        </w:rPr>
      </w:pPr>
      <w:r>
        <w:rPr>
          <w:color w:val="000000" w:themeColor="text1"/>
          <w14:textFill>
            <w14:solidFill>
              <w14:schemeClr w14:val="tx1"/>
            </w14:solidFill>
          </w14:textFill>
        </w:rPr>
        <w:t>三、持续深化法治社会建设</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不断增强全民法治意识。</w:t>
      </w:r>
      <w:r>
        <w:rPr>
          <w:color w:val="000000" w:themeColor="text1"/>
          <w:szCs w:val="32"/>
          <w:lang w:val="zh-CN"/>
          <w14:textFill>
            <w14:solidFill>
              <w14:schemeClr w14:val="tx1"/>
            </w14:solidFill>
          </w14:textFill>
        </w:rPr>
        <w:t>学习宣传贯彻习近平法治思想，</w:t>
      </w:r>
      <w:r>
        <w:rPr>
          <w:color w:val="000000" w:themeColor="text1"/>
          <w:szCs w:val="32"/>
          <w14:textFill>
            <w14:solidFill>
              <w14:schemeClr w14:val="tx1"/>
            </w14:solidFill>
          </w14:textFill>
        </w:rPr>
        <w:t>坚持把全民普法和守法作为法治园区建设的基础工程，</w:t>
      </w:r>
      <w:r>
        <w:rPr>
          <w:color w:val="000000" w:themeColor="text1"/>
          <w:szCs w:val="32"/>
          <w:lang w:val="zh-CN"/>
          <w14:textFill>
            <w14:solidFill>
              <w14:schemeClr w14:val="tx1"/>
            </w14:solidFill>
          </w14:textFill>
        </w:rPr>
        <w:t>不断创新工作方式和载体，引导全民自觉守法、遇事找法、解决问题靠法。健全法治宣传教育机制，</w:t>
      </w:r>
      <w:r>
        <w:rPr>
          <w:color w:val="000000" w:themeColor="text1"/>
          <w:szCs w:val="32"/>
          <w14:textFill>
            <w14:solidFill>
              <w14:schemeClr w14:val="tx1"/>
            </w14:solidFill>
          </w14:textFill>
        </w:rPr>
        <w:t>实行“谁执法、谁普法”“谁主管、谁普法”“谁服务、谁普法”责任制。大力开展群众性法治文化活动，</w:t>
      </w:r>
      <w:r>
        <w:rPr>
          <w:color w:val="000000" w:themeColor="text1"/>
          <w:szCs w:val="32"/>
          <w:lang w:val="zh-CN"/>
          <w14:textFill>
            <w14:solidFill>
              <w14:schemeClr w14:val="tx1"/>
            </w14:solidFill>
          </w14:textFill>
        </w:rPr>
        <w:t>把法治文化作为公共文化的重要组成部分，</w:t>
      </w:r>
      <w:r>
        <w:rPr>
          <w:color w:val="000000" w:themeColor="text1"/>
          <w:szCs w:val="32"/>
          <w14:textFill>
            <w14:solidFill>
              <w14:schemeClr w14:val="tx1"/>
            </w14:solidFill>
          </w14:textFill>
        </w:rPr>
        <w:t>使法治理念要求真正融入到群众生活之中。严厉打击利用新兴经济业态、虚假注册空壳公司等方式虚开发票、骗取出口退税等违法犯罪活动，确保各类市场主体合法、合规经营与发展，维护国家税收和其他市场主体的合法利益。</w:t>
      </w:r>
    </w:p>
    <w:p>
      <w:pPr>
        <w:spacing w:line="560" w:lineRule="atLeast"/>
        <w:ind w:firstLine="643"/>
        <w:rPr>
          <w:color w:val="000000" w:themeColor="text1"/>
          <w:szCs w:val="32"/>
          <w14:textFill>
            <w14:solidFill>
              <w14:schemeClr w14:val="tx1"/>
            </w14:solidFill>
          </w14:textFill>
        </w:rPr>
      </w:pPr>
      <w:r>
        <w:rPr>
          <w:b/>
          <w:bCs/>
          <w:color w:val="000000" w:themeColor="text1"/>
          <w:szCs w:val="32"/>
          <w:lang w:val="zh-CN"/>
          <w14:textFill>
            <w14:solidFill>
              <w14:schemeClr w14:val="tx1"/>
            </w14:solidFill>
          </w14:textFill>
        </w:rPr>
        <w:t>建设完备的普惠型法律服务体系。</w:t>
      </w:r>
      <w:r>
        <w:rPr>
          <w:color w:val="000000" w:themeColor="text1"/>
          <w:szCs w:val="32"/>
          <w14:textFill>
            <w14:solidFill>
              <w14:schemeClr w14:val="tx1"/>
            </w14:solidFill>
          </w14:textFill>
        </w:rPr>
        <w:t>进一步完善以公共法律服务实体、热线、网络等平台为载体，由律师事务所、法律援助中心、公证处、司法鉴定机构、仲裁机构、司法所、人民调解等机构为支撑，覆盖城乡的公共法律服务体系。</w:t>
      </w:r>
      <w:r>
        <w:rPr>
          <w:color w:val="000000" w:themeColor="text1"/>
          <w:szCs w:val="32"/>
          <w:lang w:val="zh-CN"/>
          <w14:textFill>
            <w14:solidFill>
              <w14:schemeClr w14:val="tx1"/>
            </w14:solidFill>
          </w14:textFill>
        </w:rPr>
        <w:t>健全律师、公证、司法鉴定等法律服务从业人员执业评价和奖惩机制，推行法律服务行业信息化动态监督管理。加强法律服务基础设施建设，完善政府按照市场规则向社会组织购买法律服务制度，加强法律服务志愿者队伍建设。</w:t>
      </w:r>
    </w:p>
    <w:p>
      <w:pPr>
        <w:pStyle w:val="6"/>
        <w:spacing w:line="560" w:lineRule="atLeast"/>
        <w:ind w:firstLine="643"/>
        <w:rPr>
          <w:color w:val="000000" w:themeColor="text1"/>
          <w:szCs w:val="32"/>
          <w14:textFill>
            <w14:solidFill>
              <w14:schemeClr w14:val="tx1"/>
            </w14:solidFill>
          </w14:textFill>
        </w:rPr>
      </w:pPr>
      <w:r>
        <w:rPr>
          <w:b/>
          <w:bCs/>
          <w:color w:val="000000" w:themeColor="text1"/>
          <w:szCs w:val="32"/>
          <w:lang w:val="zh-CN"/>
          <w14:textFill>
            <w14:solidFill>
              <w14:schemeClr w14:val="tx1"/>
            </w14:solidFill>
          </w14:textFill>
        </w:rPr>
        <w:t>发挥德治教化作用。</w:t>
      </w:r>
      <w:r>
        <w:rPr>
          <w:color w:val="000000" w:themeColor="text1"/>
          <w:szCs w:val="32"/>
          <w14:textFill>
            <w14:solidFill>
              <w14:schemeClr w14:val="tx1"/>
            </w14:solidFill>
          </w14:textFill>
        </w:rPr>
        <w:t>以社会主义核心价值观为引领，打造具有中国特色、彰显时代精神的德治体系。大力弘扬“抗疫精神”，把抗疫斗争中彰显的制度优势和展现的中国力量、中国精神、中国效率转化为园区建设的强大动力。推进社会公德、职业道德、家庭美德、个体品德建设。发挥村规民约、居民公约、行业规章、</w:t>
      </w:r>
      <w:r>
        <w:rPr>
          <w:rStyle w:val="56"/>
          <w:color w:val="000000" w:themeColor="text1"/>
          <w14:textFill>
            <w14:solidFill>
              <w14:schemeClr w14:val="tx1"/>
            </w14:solidFill>
          </w14:textFill>
        </w:rPr>
        <w:t>团体章程等社会规范作用，引导公众自觉履行法定义务、社会责</w:t>
      </w:r>
      <w:r>
        <w:rPr>
          <w:color w:val="000000" w:themeColor="text1"/>
          <w:szCs w:val="32"/>
          <w14:textFill>
            <w14:solidFill>
              <w14:schemeClr w14:val="tx1"/>
            </w14:solidFill>
          </w14:textFill>
        </w:rPr>
        <w:t>任。</w:t>
      </w:r>
    </w:p>
    <w:p>
      <w:pPr>
        <w:pStyle w:val="4"/>
        <w:rPr>
          <w:color w:val="000000" w:themeColor="text1"/>
          <w14:textFill>
            <w14:solidFill>
              <w14:schemeClr w14:val="tx1"/>
            </w14:solidFill>
          </w14:textFill>
        </w:rPr>
      </w:pPr>
      <w:bookmarkStart w:id="158" w:name="_Toc32072"/>
      <w:bookmarkStart w:id="159" w:name="_Toc30450"/>
      <w:bookmarkStart w:id="160" w:name="_Toc3533"/>
      <w:bookmarkStart w:id="161" w:name="_Toc65069798"/>
      <w:r>
        <w:rPr>
          <w:color w:val="000000" w:themeColor="text1"/>
          <w14:textFill>
            <w14:solidFill>
              <w14:schemeClr w14:val="tx1"/>
            </w14:solidFill>
          </w14:textFill>
        </w:rPr>
        <w:t>第二</w:t>
      </w:r>
      <w:bookmarkEnd w:id="150"/>
      <w:bookmarkEnd w:id="151"/>
      <w:bookmarkEnd w:id="152"/>
      <w:bookmarkEnd w:id="153"/>
      <w:bookmarkEnd w:id="154"/>
      <w:bookmarkEnd w:id="155"/>
      <w:bookmarkEnd w:id="156"/>
      <w:bookmarkEnd w:id="157"/>
      <w:r>
        <w:rPr>
          <w:color w:val="000000" w:themeColor="text1"/>
          <w14:textFill>
            <w14:solidFill>
              <w14:schemeClr w14:val="tx1"/>
            </w14:solidFill>
          </w14:textFill>
        </w:rPr>
        <w:t>节　建设平安园区</w:t>
      </w:r>
      <w:bookmarkEnd w:id="158"/>
      <w:bookmarkEnd w:id="159"/>
      <w:bookmarkEnd w:id="160"/>
      <w:bookmarkEnd w:id="161"/>
    </w:p>
    <w:p>
      <w:pPr>
        <w:pStyle w:val="5"/>
        <w:rPr>
          <w:color w:val="000000" w:themeColor="text1"/>
          <w14:textFill>
            <w14:solidFill>
              <w14:schemeClr w14:val="tx1"/>
            </w14:solidFill>
          </w14:textFill>
        </w:rPr>
      </w:pPr>
      <w:bookmarkStart w:id="162" w:name="_Toc2323"/>
      <w:r>
        <w:rPr>
          <w:color w:val="000000" w:themeColor="text1"/>
          <w14:textFill>
            <w14:solidFill>
              <w14:schemeClr w14:val="tx1"/>
            </w14:solidFill>
          </w14:textFill>
        </w:rPr>
        <w:t>一、</w:t>
      </w:r>
      <w:bookmarkEnd w:id="162"/>
      <w:r>
        <w:rPr>
          <w:color w:val="000000" w:themeColor="text1"/>
          <w14:textFill>
            <w14:solidFill>
              <w14:schemeClr w14:val="tx1"/>
            </w14:solidFill>
          </w14:textFill>
        </w:rPr>
        <w:t>加强社会安全管理</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加强公共安全保障体系建设</w:t>
      </w:r>
      <w:r>
        <w:rPr>
          <w:color w:val="000000" w:themeColor="text1"/>
          <w:szCs w:val="32"/>
          <w14:textFill>
            <w14:solidFill>
              <w14:schemeClr w14:val="tx1"/>
            </w14:solidFill>
          </w14:textFill>
        </w:rPr>
        <w:t>。坚持总体国家安全观，把安全发展贯穿经济社会发展各领域和全过程，防范和化解重大风险。建立党政“一把手”负责、多部门参与的平安建设领导工作机制，把维护国家政治安全放在首位，严密防范和坚决打击各类渗透颠覆破坏活动、暴力恐怖活动、民族分裂活动、宗教极端活动和邪教活动。建立常态化扫黑除恶机制，完善社会治安防控体系，切实增强人民群众安全感。强化“全周期管理”意识，把好公共安全风险源头关、监测关、管控关，推动治安防控重心下移。充分运用现代信息化手段，加强社会治安综合治理和应急指挥协调体系建设。</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加强灾害应急管理体系建设</w:t>
      </w:r>
      <w:r>
        <w:rPr>
          <w:color w:val="000000" w:themeColor="text1"/>
          <w:szCs w:val="32"/>
          <w14:textFill>
            <w14:solidFill>
              <w14:schemeClr w14:val="tx1"/>
            </w14:solidFill>
          </w14:textFill>
        </w:rPr>
        <w:t>。坚持预防为主，抓好常态减灾，强化灾害监测预报预警、风险评估、工程防御、宣传教育等预防工作。完善灾害应急处置机制，制定完善应急处置预案，加大应急物资储备力度。进一步提高综合防灾减灾信息化水平，提高自然灾害监测网络装备水平，进一步增强预警监测能力。强化灾害应急综合实战演练，提高快速反应和应急处置能力。强化基层灾害信息员、社会工作者和志愿者等队伍建设，打造形成一支结构合理、素质优良、专业过硬的防灾减灾救灾人才队伍。</w:t>
      </w:r>
    </w:p>
    <w:p>
      <w:pPr>
        <w:pStyle w:val="5"/>
        <w:rPr>
          <w:color w:val="000000" w:themeColor="text1"/>
          <w14:textFill>
            <w14:solidFill>
              <w14:schemeClr w14:val="tx1"/>
            </w14:solidFill>
          </w14:textFill>
        </w:rPr>
      </w:pPr>
      <w:r>
        <w:rPr>
          <w:color w:val="000000" w:themeColor="text1"/>
          <w14:textFill>
            <w14:solidFill>
              <w14:schemeClr w14:val="tx1"/>
            </w14:solidFill>
          </w14:textFill>
        </w:rPr>
        <w:t>二、加强生产安全管理</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强化安全生产管理</w:t>
      </w:r>
      <w:r>
        <w:rPr>
          <w:color w:val="000000" w:themeColor="text1"/>
          <w:szCs w:val="32"/>
          <w14:textFill>
            <w14:solidFill>
              <w14:schemeClr w14:val="tx1"/>
            </w14:solidFill>
          </w14:textFill>
        </w:rPr>
        <w:t>。落实安全生产主体责任，实现安全生产监管“全覆盖”。建立全员参与、全方位覆盖、全过程衔接的隐患排查机制，实现隐患排查常态化、制度化、规范化、专业化。强化安全监管执法能力建设，加强执法人员业务素质和能力培训。强化企业主要负责人、安全管理人员和普通员工的安全教育培训和安全文化建设，形成全体员工自觉严格遵守安全生产规章制度的良好氛围。在“十四五”期间确保实现区内企业安全设施“三同时”落实率、标准化创建率和重大隐患治理率均达到100%。</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完善食品药品安全监管体系</w:t>
      </w:r>
      <w:r>
        <w:rPr>
          <w:color w:val="000000" w:themeColor="text1"/>
          <w:szCs w:val="32"/>
          <w14:textFill>
            <w14:solidFill>
              <w14:schemeClr w14:val="tx1"/>
            </w14:solidFill>
          </w14:textFill>
        </w:rPr>
        <w:t>。全面建成责任体系更加健全、体制机制更加完善、全程监管更加科学的食品药品安全现代化治理体系。有效遏制制假售假、无证经营等行为，杜绝和控制重特大食品药品安全事故，控制和减少较大及一般食品药品安全事故。继续深化食品安全“四项治理”行动，全面推进小作坊登记和小餐饮、小摊贩备案管理。保持打击食品药品违法犯罪案件的高压态势。推动实现顺向可追、逆向可溯、风险可控的地区食品领域全产业链追溯体系。</w:t>
      </w:r>
    </w:p>
    <w:p>
      <w:pPr>
        <w:pStyle w:val="4"/>
        <w:rPr>
          <w:color w:val="000000" w:themeColor="text1"/>
          <w14:textFill>
            <w14:solidFill>
              <w14:schemeClr w14:val="tx1"/>
            </w14:solidFill>
          </w14:textFill>
        </w:rPr>
      </w:pPr>
      <w:bookmarkStart w:id="163" w:name="_Toc8634"/>
      <w:bookmarkStart w:id="164" w:name="_Toc23280"/>
      <w:bookmarkStart w:id="165" w:name="_Toc6914"/>
      <w:bookmarkStart w:id="166" w:name="_Toc18423"/>
      <w:bookmarkStart w:id="167" w:name="_Toc54533690"/>
      <w:bookmarkStart w:id="168" w:name="_Toc19230"/>
      <w:bookmarkStart w:id="169" w:name="_Toc21833"/>
      <w:bookmarkStart w:id="170" w:name="_Toc56452590"/>
      <w:bookmarkStart w:id="171" w:name="_Toc26894"/>
      <w:bookmarkStart w:id="172" w:name="_Toc65069799"/>
      <w:bookmarkStart w:id="173" w:name="_Toc26518"/>
      <w:bookmarkStart w:id="174" w:name="_Toc22530"/>
      <w:r>
        <w:rPr>
          <w:color w:val="000000" w:themeColor="text1"/>
          <w14:textFill>
            <w14:solidFill>
              <w14:schemeClr w14:val="tx1"/>
            </w14:solidFill>
          </w14:textFill>
        </w:rPr>
        <w:t>第三</w:t>
      </w:r>
      <w:bookmarkEnd w:id="163"/>
      <w:bookmarkEnd w:id="164"/>
      <w:bookmarkEnd w:id="165"/>
      <w:bookmarkEnd w:id="166"/>
      <w:bookmarkEnd w:id="167"/>
      <w:bookmarkEnd w:id="168"/>
      <w:bookmarkEnd w:id="169"/>
      <w:bookmarkEnd w:id="170"/>
      <w:r>
        <w:rPr>
          <w:color w:val="000000" w:themeColor="text1"/>
          <w14:textFill>
            <w14:solidFill>
              <w14:schemeClr w14:val="tx1"/>
            </w14:solidFill>
          </w14:textFill>
        </w:rPr>
        <w:t>节　建设善治园区</w:t>
      </w:r>
      <w:bookmarkEnd w:id="171"/>
      <w:bookmarkEnd w:id="172"/>
      <w:bookmarkEnd w:id="173"/>
      <w:bookmarkEnd w:id="174"/>
    </w:p>
    <w:p>
      <w:pPr>
        <w:pStyle w:val="5"/>
        <w:rPr>
          <w:color w:val="000000" w:themeColor="text1"/>
          <w14:textFill>
            <w14:solidFill>
              <w14:schemeClr w14:val="tx1"/>
            </w14:solidFill>
          </w14:textFill>
        </w:rPr>
      </w:pPr>
      <w:bookmarkStart w:id="175" w:name="_Toc30728"/>
      <w:r>
        <w:rPr>
          <w:color w:val="000000" w:themeColor="text1"/>
          <w14:textFill>
            <w14:solidFill>
              <w14:schemeClr w14:val="tx1"/>
            </w14:solidFill>
          </w14:textFill>
        </w:rPr>
        <w:t>一、构建综合协调的矛盾化解机制</w:t>
      </w:r>
      <w:bookmarkEnd w:id="175"/>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坚持和发展新时代“枫桥经验”。</w:t>
      </w:r>
      <w:r>
        <w:rPr>
          <w:color w:val="000000" w:themeColor="text1"/>
          <w:szCs w:val="32"/>
          <w14:textFill>
            <w14:solidFill>
              <w14:schemeClr w14:val="tx1"/>
            </w14:solidFill>
          </w14:textFill>
        </w:rPr>
        <w:t>紧密联系实际，不断提高从源头上、根本上预防化解人民内部矛盾的能力水平。畅通和规范群众诉求表达、利益协调、权益保障通道，建立重大事项决策听证与社会稳定风险评估制度，依托群团组织、社会组织、大众传媒等平台进一步加强社会协商对话。切实做好信访维稳工作，发挥好纪检政法信访部门解决群众诉求“三级联动”工作机制，有效确保信访工作依法规范运行、群众诉求依法理性表达、合法权益依法有效保护。主动适应大数据、人工智能技术发展趋势，建立线上线下相结合的群众诉求表达通道。完善矛盾纠纷多元预防调处综合化解机制，推动人民调解、行政调解、司法调解联动联调，形成司法机关、行政机关、企事业单位、社会组织等多主体联合调解机制，重点化解跨地域、跨行业、跨部门、重大疑难复杂矛盾纠纷。</w:t>
      </w:r>
    </w:p>
    <w:p>
      <w:pPr>
        <w:spacing w:line="560" w:lineRule="atLeas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维护广大职工合法权益。</w:t>
      </w:r>
      <w:r>
        <w:rPr>
          <w:color w:val="000000" w:themeColor="text1"/>
          <w:szCs w:val="32"/>
          <w14:textFill>
            <w14:solidFill>
              <w14:schemeClr w14:val="tx1"/>
            </w14:solidFill>
          </w14:textFill>
        </w:rPr>
        <w:t>始终坚持把竭诚为广大职工服务作为园区各部门工作的重要内容，维护好广大职工群众包括农民工合法权益。坚持党对工会工作的全面领导，健全工会参与园区重大事项决策的制度保障，鼓励各部门在制定政策法规、改革举措过程中广泛倾听职工群众意见。推动构建和谐劳动关系，在区内大型企业开展创建和谐劳动关系试点，进一步扩大厂务公开民主管理覆盖面，健全企业职工工资协商共决、适度增长、支付保障机制。健全劳动争议预测、预警和调处机制，加强矛盾纠纷排查，从源头上预防和减少劳动争议。</w:t>
      </w:r>
    </w:p>
    <w:p>
      <w:pPr>
        <w:pStyle w:val="5"/>
        <w:rPr>
          <w:color w:val="000000" w:themeColor="text1"/>
          <w14:textFill>
            <w14:solidFill>
              <w14:schemeClr w14:val="tx1"/>
            </w14:solidFill>
          </w14:textFill>
        </w:rPr>
      </w:pPr>
      <w:bookmarkStart w:id="176" w:name="_Toc7456"/>
      <w:r>
        <w:rPr>
          <w:color w:val="000000" w:themeColor="text1"/>
          <w14:textFill>
            <w14:solidFill>
              <w14:schemeClr w14:val="tx1"/>
            </w14:solidFill>
          </w14:textFill>
        </w:rPr>
        <w:t>二、构建充满活力的社会自治制度</w:t>
      </w:r>
      <w:bookmarkEnd w:id="176"/>
    </w:p>
    <w:p>
      <w:pPr>
        <w:spacing w:line="560" w:lineRule="exact"/>
        <w:ind w:firstLine="643"/>
        <w:rPr>
          <w:color w:val="000000" w:themeColor="text1"/>
          <w:szCs w:val="32"/>
          <w14:textFill>
            <w14:solidFill>
              <w14:schemeClr w14:val="tx1"/>
            </w14:solidFill>
          </w14:textFill>
        </w:rPr>
      </w:pPr>
      <w:r>
        <w:rPr>
          <w:b/>
          <w:bCs/>
          <w:color w:val="000000" w:themeColor="text1"/>
          <w:szCs w:val="32"/>
          <w14:textFill>
            <w14:solidFill>
              <w14:schemeClr w14:val="tx1"/>
            </w14:solidFill>
          </w14:textFill>
        </w:rPr>
        <w:t>激发基层社区发展活力。</w:t>
      </w:r>
      <w:r>
        <w:rPr>
          <w:color w:val="000000" w:themeColor="text1"/>
          <w:szCs w:val="32"/>
          <w14:textFill>
            <w14:solidFill>
              <w14:schemeClr w14:val="tx1"/>
            </w14:solidFill>
          </w14:textFill>
        </w:rPr>
        <w:t>构建社区治理新方式，进一步培育发扬社区公共价值，促进社区居民多元融合。搭建社区服务新体系，高水平建设一批邻里中心和居民联络所，夯实社区商业服务和公共服务基础载体平台。创新社区议事协商机制，建立以基层党组织、居委会、居民代表共同商讨社区重大事务的议事制度。全面提升社区居民道德修养和文明素质，增强广大居民作为园区人的自豪感、责任感。着力打造职业化专业化规范化社区工作者队伍，建立健全社区志愿者激励机制。</w:t>
      </w:r>
    </w:p>
    <w:p>
      <w:pPr>
        <w:pStyle w:val="2"/>
        <w:spacing w:line="560" w:lineRule="exact"/>
        <w:ind w:firstLine="649"/>
        <w:rPr>
          <w:color w:val="000000" w:themeColor="text1"/>
          <w14:textFill>
            <w14:solidFill>
              <w14:schemeClr w14:val="tx1"/>
            </w14:solidFill>
          </w14:textFill>
        </w:rPr>
      </w:pPr>
      <w:r>
        <w:rPr>
          <w:b/>
          <w:bCs/>
          <w:color w:val="000000" w:themeColor="text1"/>
          <w:szCs w:val="32"/>
          <w14:textFill>
            <w14:solidFill>
              <w14:schemeClr w14:val="tx1"/>
            </w14:solidFill>
          </w14:textFill>
        </w:rPr>
        <w:t>推动社会组织健康发展。</w:t>
      </w:r>
      <w:r>
        <w:rPr>
          <w:color w:val="000000" w:themeColor="text1"/>
          <w:szCs w:val="32"/>
          <w14:textFill>
            <w14:solidFill>
              <w14:schemeClr w14:val="tx1"/>
            </w14:solidFill>
          </w14:textFill>
        </w:rPr>
        <w:t>按照创建全国社会组织建设创新示范区统一部署，重点培育和优先发展协会商会类、科技服务类、公益慈善类、城乡社区服务类社会组织，打造形成一批有较大影响力的社会组织品牌。依法做好社会组织登记管理，推动社会组织直接登记和备案登记相结合的登记模式创新，探索建立专业社工独立的职业体系，加强群团组织建设，支持工会、共青团、妇联等群团组织培育孵化服务群众类社会组织。建立完善社会组织综合执法监管机制，加强对社会组织内部治理、资金使用、业务活动、对外交往等方面的管理监督。支持社会组织提供公共服务。完善政府购买服务机制，鼓励同等条件下优先向社会组织购买民生保障、社会治理、行业管理、公益慈善等公共服务项目。</w:t>
      </w:r>
    </w:p>
    <w:p>
      <w:pPr>
        <w:spacing w:line="560" w:lineRule="atLeast"/>
        <w:ind w:firstLine="640"/>
        <w:rPr>
          <w:color w:val="000000" w:themeColor="text1"/>
          <w:szCs w:val="32"/>
          <w14:textFill>
            <w14:solidFill>
              <w14:schemeClr w14:val="tx1"/>
            </w14:solidFill>
          </w14:textFill>
        </w:rPr>
      </w:pPr>
    </w:p>
    <w:p>
      <w:pPr>
        <w:pStyle w:val="3"/>
        <w:rPr>
          <w:color w:val="000000" w:themeColor="text1"/>
          <w14:textFill>
            <w14:solidFill>
              <w14:schemeClr w14:val="tx1"/>
            </w14:solidFill>
          </w14:textFill>
        </w:rPr>
        <w:sectPr>
          <w:headerReference r:id="rId27" w:type="default"/>
          <w:pgSz w:w="11906" w:h="16838"/>
          <w:pgMar w:top="2041" w:right="1418" w:bottom="1701" w:left="1418" w:header="851" w:footer="1361" w:gutter="0"/>
          <w:cols w:space="720" w:num="1"/>
          <w:docGrid w:linePitch="312" w:charSpace="0"/>
        </w:sectPr>
      </w:pPr>
    </w:p>
    <w:p>
      <w:pPr>
        <w:ind w:firstLine="640"/>
        <w:rPr>
          <w:color w:val="000000" w:themeColor="text1"/>
          <w14:textFill>
            <w14:solidFill>
              <w14:schemeClr w14:val="tx1"/>
            </w14:solidFill>
          </w14:textFill>
        </w:rPr>
      </w:pPr>
      <w:bookmarkStart w:id="177" w:name="_Toc56452591"/>
      <w:bookmarkStart w:id="178" w:name="_Toc26788"/>
    </w:p>
    <w:bookmarkEnd w:id="127"/>
    <w:bookmarkEnd w:id="128"/>
    <w:bookmarkEnd w:id="177"/>
    <w:bookmarkEnd w:id="178"/>
    <w:p>
      <w:pPr>
        <w:pStyle w:val="3"/>
        <w:rPr>
          <w:color w:val="000000" w:themeColor="text1"/>
          <w14:textFill>
            <w14:solidFill>
              <w14:schemeClr w14:val="tx1"/>
            </w14:solidFill>
          </w14:textFill>
        </w:rPr>
      </w:pPr>
      <w:bookmarkStart w:id="179" w:name="_Toc10470"/>
      <w:bookmarkStart w:id="180" w:name="_Toc65069800"/>
      <w:bookmarkStart w:id="181" w:name="_Toc3060"/>
      <w:bookmarkStart w:id="182" w:name="_Toc4354"/>
      <w:r>
        <w:rPr>
          <w:color w:val="000000" w:themeColor="text1"/>
          <w14:textFill>
            <w14:solidFill>
              <w14:schemeClr w14:val="tx1"/>
            </w14:solidFill>
          </w14:textFill>
        </w:rPr>
        <w:t>第十章  规划实施</w:t>
      </w:r>
      <w:bookmarkEnd w:id="179"/>
      <w:bookmarkEnd w:id="180"/>
      <w:bookmarkEnd w:id="181"/>
      <w:r>
        <w:rPr>
          <w:rFonts w:hint="eastAsia"/>
          <w:color w:val="000000" w:themeColor="text1"/>
          <w14:textFill>
            <w14:solidFill>
              <w14:schemeClr w14:val="tx1"/>
            </w14:solidFill>
          </w14:textFill>
        </w:rPr>
        <w:t>保障</w:t>
      </w:r>
      <w:bookmarkEnd w:id="182"/>
    </w:p>
    <w:p>
      <w:pPr>
        <w:ind w:firstLine="640"/>
        <w:rPr>
          <w:color w:val="000000" w:themeColor="text1"/>
          <w14:textFill>
            <w14:solidFill>
              <w14:schemeClr w14:val="tx1"/>
            </w14:solidFill>
          </w14:textFill>
        </w:rPr>
      </w:pPr>
    </w:p>
    <w:p>
      <w:pPr>
        <w:spacing w:line="54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规划纲要》是区内各部门、各街道依法履行职责、编制年度计划和制定各项政策措施的重要依据，是园区各单位和广大人民群众共同奋斗的行动纲领。实现《规划纲要》中确定的发展目标，完成《规划纲要》中明确的重点任务，必须坚持党的全面领导，充分调动一切积极因素，广泛团结一切可以团结的力量，形成推动发展的强大合力，动员和引导全社会力量共同推进《规划纲要》落实。</w:t>
      </w:r>
    </w:p>
    <w:p>
      <w:pPr>
        <w:pStyle w:val="4"/>
        <w:spacing w:line="540" w:lineRule="atLeast"/>
        <w:rPr>
          <w:color w:val="000000" w:themeColor="text1"/>
          <w14:textFill>
            <w14:solidFill>
              <w14:schemeClr w14:val="tx1"/>
            </w14:solidFill>
          </w14:textFill>
        </w:rPr>
      </w:pPr>
      <w:bookmarkStart w:id="183" w:name="_Toc17454"/>
      <w:bookmarkStart w:id="184" w:name="_Toc65069801"/>
      <w:bookmarkStart w:id="185" w:name="_Toc9963"/>
      <w:bookmarkStart w:id="186" w:name="_Toc4796"/>
      <w:r>
        <w:rPr>
          <w:color w:val="000000" w:themeColor="text1"/>
          <w14:textFill>
            <w14:solidFill>
              <w14:schemeClr w14:val="tx1"/>
            </w14:solidFill>
          </w14:textFill>
        </w:rPr>
        <w:t>第一节　坚持和加强党的全面领导</w:t>
      </w:r>
      <w:bookmarkEnd w:id="183"/>
      <w:bookmarkEnd w:id="184"/>
      <w:bookmarkEnd w:id="185"/>
      <w:bookmarkEnd w:id="186"/>
    </w:p>
    <w:p>
      <w:pPr>
        <w:spacing w:line="54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强化党总揽全局、协调各方的领导核心作用，以高质量党建引领高质量发展。全面贯彻落实新时代党的建设总要求和新时代党的组织路线，扎实推进全面从严治党向纵深发展。健全完善党的领导体系和党建工作机制，</w:t>
      </w:r>
      <w:r>
        <w:rPr>
          <w:color w:val="000000" w:themeColor="text1"/>
          <w:kern w:val="0"/>
          <w:szCs w:val="32"/>
          <w:lang w:val="zh-CN"/>
          <w14:textFill>
            <w14:solidFill>
              <w14:schemeClr w14:val="tx1"/>
            </w14:solidFill>
          </w14:textFill>
        </w:rPr>
        <w:t>不断提高把方向、谋大局、定政策、促改革的能力水平，增强</w:t>
      </w:r>
      <w:r>
        <w:rPr>
          <w:color w:val="000000" w:themeColor="text1"/>
          <w:kern w:val="0"/>
          <w:szCs w:val="32"/>
          <w14:textFill>
            <w14:solidFill>
              <w14:schemeClr w14:val="tx1"/>
            </w14:solidFill>
          </w14:textFill>
        </w:rPr>
        <w:t>党领导经济社会发展</w:t>
      </w:r>
      <w:r>
        <w:rPr>
          <w:color w:val="000000" w:themeColor="text1"/>
          <w:kern w:val="0"/>
          <w:szCs w:val="32"/>
          <w:lang w:val="zh-CN"/>
          <w14:textFill>
            <w14:solidFill>
              <w14:schemeClr w14:val="tx1"/>
            </w14:solidFill>
          </w14:textFill>
        </w:rPr>
        <w:t>的原则性、系统性、预见性、创新性。</w:t>
      </w:r>
      <w:r>
        <w:rPr>
          <w:color w:val="000000" w:themeColor="text1"/>
          <w:szCs w:val="32"/>
          <w14:textFill>
            <w14:solidFill>
              <w14:schemeClr w14:val="tx1"/>
            </w14:solidFill>
          </w14:textFill>
        </w:rPr>
        <w:t>扎实做好基层党组织建设工作，探索完善新兴领域党建工作机制，推动形成“一网四品”党建工作新格局，打造昆明城市基层党建新高地。</w:t>
      </w:r>
    </w:p>
    <w:p>
      <w:pPr>
        <w:pStyle w:val="4"/>
        <w:spacing w:line="540" w:lineRule="atLeast"/>
        <w:rPr>
          <w:color w:val="000000" w:themeColor="text1"/>
          <w14:textFill>
            <w14:solidFill>
              <w14:schemeClr w14:val="tx1"/>
            </w14:solidFill>
          </w14:textFill>
        </w:rPr>
      </w:pPr>
      <w:bookmarkStart w:id="187" w:name="_Toc24835"/>
      <w:bookmarkStart w:id="188" w:name="_Toc15633"/>
      <w:bookmarkStart w:id="189" w:name="_Toc65069802"/>
      <w:bookmarkStart w:id="190" w:name="_Toc155"/>
      <w:bookmarkStart w:id="191" w:name="_Toc8601_WPSOffice_Level2"/>
      <w:r>
        <w:rPr>
          <w:color w:val="000000" w:themeColor="text1"/>
          <w14:textFill>
            <w14:solidFill>
              <w14:schemeClr w14:val="tx1"/>
            </w14:solidFill>
          </w14:textFill>
        </w:rPr>
        <w:t>第二节　加强规划衔接</w:t>
      </w:r>
      <w:bookmarkEnd w:id="187"/>
      <w:bookmarkEnd w:id="188"/>
      <w:bookmarkEnd w:id="189"/>
      <w:bookmarkEnd w:id="190"/>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加快建立以《规划纲要》为统领，以空间规划为基础，以专项规划为支撑的规划体系。强化《规划纲要》的统领作用。加强各级各类规划的衔接协调，重点加强空间规划、专项规划在重要指标、支柱产业、基础设施以及关系全局的重大项目和重大政策等方面与《规划纲要》的衔接，在发展理念、战略路径、主要目标和重点任务等方面切实贯彻落实《规划纲要》的战略意图。各类规划之间要按程序做好衔接，各部门自行编制或批准的各类规划要及时做好备案。</w:t>
      </w:r>
    </w:p>
    <w:p>
      <w:pPr>
        <w:pStyle w:val="4"/>
        <w:rPr>
          <w:color w:val="000000" w:themeColor="text1"/>
          <w14:textFill>
            <w14:solidFill>
              <w14:schemeClr w14:val="tx1"/>
            </w14:solidFill>
          </w14:textFill>
        </w:rPr>
      </w:pPr>
      <w:bookmarkStart w:id="192" w:name="_Toc65069803"/>
      <w:bookmarkStart w:id="193" w:name="_Toc22222"/>
      <w:bookmarkStart w:id="194" w:name="_Toc25387"/>
      <w:bookmarkStart w:id="195" w:name="_Toc293"/>
      <w:r>
        <w:rPr>
          <w:color w:val="000000" w:themeColor="text1"/>
          <w14:textFill>
            <w14:solidFill>
              <w14:schemeClr w14:val="tx1"/>
            </w14:solidFill>
          </w14:textFill>
        </w:rPr>
        <w:t>第三节　加强政策</w:t>
      </w:r>
      <w:bookmarkEnd w:id="191"/>
      <w:r>
        <w:rPr>
          <w:color w:val="000000" w:themeColor="text1"/>
          <w14:textFill>
            <w14:solidFill>
              <w14:schemeClr w14:val="tx1"/>
            </w14:solidFill>
          </w14:textFill>
        </w:rPr>
        <w:t>协同</w:t>
      </w:r>
      <w:bookmarkEnd w:id="192"/>
      <w:bookmarkEnd w:id="193"/>
      <w:bookmarkEnd w:id="194"/>
      <w:bookmarkEnd w:id="195"/>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根据《规划纲要》提出的目标和任务，加强经济社会发展政策的统筹协调，注重短期政策与长期政策的衔接配合。围绕经济社会发展重点领域研究制定配套政策，密切联系宏观环境变化和发展实际做好政策储备工作。加快完善政府投资、产业发展、社会事业、区域发展和改革创新等领域的政策措施。改善政府投资和财政支出结构，加强存量整合，优化增量安排，优先安排涉及民生保障、公共服务、公共安全、生态环境等领域的财政投入。</w:t>
      </w:r>
    </w:p>
    <w:p>
      <w:pPr>
        <w:pStyle w:val="4"/>
        <w:rPr>
          <w:color w:val="000000" w:themeColor="text1"/>
          <w14:textFill>
            <w14:solidFill>
              <w14:schemeClr w14:val="tx1"/>
            </w14:solidFill>
          </w14:textFill>
        </w:rPr>
      </w:pPr>
      <w:bookmarkStart w:id="196" w:name="_Toc7719"/>
      <w:bookmarkStart w:id="197" w:name="_Toc18407_WPSOffice_Level2"/>
      <w:bookmarkStart w:id="198" w:name="_Toc20211"/>
      <w:bookmarkStart w:id="199" w:name="_Toc65069804"/>
      <w:bookmarkStart w:id="200" w:name="_Toc12240"/>
      <w:r>
        <w:rPr>
          <w:color w:val="000000" w:themeColor="text1"/>
          <w14:textFill>
            <w14:solidFill>
              <w14:schemeClr w14:val="tx1"/>
            </w14:solidFill>
          </w14:textFill>
        </w:rPr>
        <w:t>第四节　加强项目保障</w:t>
      </w:r>
      <w:bookmarkEnd w:id="196"/>
      <w:bookmarkEnd w:id="197"/>
      <w:bookmarkEnd w:id="198"/>
      <w:bookmarkEnd w:id="199"/>
      <w:bookmarkEnd w:id="200"/>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坚持以规划确定项目、以项目落实规划，发挥重大项目对转变经济发展方式的带动作用，在对外开放、基础设施、产业发展、科技创新、生态环保、社会民生等领域，组织实施150个具有全局带动性和目标导向性的重大项目，投资770亿元以上。对纳入《规划纲要》的重大工程项目，简化审批核准程序，优先保障规划选址、土地供应和资金安排。构建重大项目开发策划体系，加大重大项目开发策划前期经费投入，落实项目前期条件，建立重大项目储备库。</w:t>
      </w:r>
    </w:p>
    <w:p>
      <w:pPr>
        <w:pStyle w:val="4"/>
        <w:rPr>
          <w:color w:val="000000" w:themeColor="text1"/>
          <w14:textFill>
            <w14:solidFill>
              <w14:schemeClr w14:val="tx1"/>
            </w14:solidFill>
          </w14:textFill>
        </w:rPr>
      </w:pPr>
      <w:bookmarkStart w:id="201" w:name="_Toc5627_WPSOffice_Level2"/>
      <w:bookmarkStart w:id="202" w:name="_Toc24014"/>
      <w:bookmarkStart w:id="203" w:name="_Toc10172"/>
      <w:bookmarkStart w:id="204" w:name="_Toc28809"/>
      <w:bookmarkStart w:id="205" w:name="_Toc65069805"/>
      <w:r>
        <w:rPr>
          <w:color w:val="000000" w:themeColor="text1"/>
          <w14:textFill>
            <w14:solidFill>
              <w14:schemeClr w14:val="tx1"/>
            </w14:solidFill>
          </w14:textFill>
        </w:rPr>
        <w:t>第五节　加强评估考核</w:t>
      </w:r>
      <w:bookmarkEnd w:id="201"/>
      <w:bookmarkEnd w:id="202"/>
      <w:bookmarkEnd w:id="203"/>
      <w:bookmarkEnd w:id="204"/>
      <w:bookmarkEnd w:id="205"/>
    </w:p>
    <w:p>
      <w:p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健全《规划纲要》监测评估制度，加强《规划纲要》实施的跟踪监测，全面推进《规划纲要》年度监测、中期评估和终期评估工作。建立健全重要目标任务实施跟踪反馈机制，对因外部环境变化导致难以完成的指标及时提出修订方案，落实目标不力的及时提出整改措施。实行严格的责任考核制度，把《规划纲要》明确的主要目标和重点任务，列入各部门领导班子的考核范围。围绕《规划纲要》提出的重要指标、重大工程项目、重大改革和政策等，明确《规划纲要》实施责任。</w:t>
      </w:r>
    </w:p>
    <w:p>
      <w:pPr>
        <w:pStyle w:val="4"/>
        <w:rPr>
          <w:color w:val="000000" w:themeColor="text1"/>
          <w14:textFill>
            <w14:solidFill>
              <w14:schemeClr w14:val="tx1"/>
            </w14:solidFill>
          </w14:textFill>
        </w:rPr>
      </w:pPr>
      <w:bookmarkStart w:id="206" w:name="_Toc32761_WPSOffice_Level2"/>
      <w:bookmarkStart w:id="207" w:name="_Toc3541"/>
      <w:bookmarkStart w:id="208" w:name="_Toc65069806"/>
      <w:bookmarkStart w:id="209" w:name="_Toc1387"/>
      <w:bookmarkStart w:id="210" w:name="_Toc12357"/>
      <w:r>
        <w:rPr>
          <w:color w:val="000000" w:themeColor="text1"/>
          <w14:textFill>
            <w14:solidFill>
              <w14:schemeClr w14:val="tx1"/>
            </w14:solidFill>
          </w14:textFill>
        </w:rPr>
        <w:t>第六节　加强宣传</w:t>
      </w:r>
      <w:bookmarkEnd w:id="206"/>
      <w:r>
        <w:rPr>
          <w:color w:val="000000" w:themeColor="text1"/>
          <w14:textFill>
            <w14:solidFill>
              <w14:schemeClr w14:val="tx1"/>
            </w14:solidFill>
          </w14:textFill>
        </w:rPr>
        <w:t>解读</w:t>
      </w:r>
      <w:bookmarkEnd w:id="207"/>
      <w:bookmarkEnd w:id="208"/>
      <w:bookmarkEnd w:id="209"/>
      <w:bookmarkEnd w:id="210"/>
    </w:p>
    <w:p>
      <w:pPr>
        <w:pStyle w:val="24"/>
        <w:autoSpaceDE/>
        <w:autoSpaceDN/>
        <w:spacing w:line="560" w:lineRule="atLeast"/>
        <w:ind w:firstLine="640" w:firstLineChars="200"/>
        <w:jc w:val="both"/>
        <w:rPr>
          <w:rFonts w:ascii="Times New Roman" w:eastAsia="楷体_GB2312" w:cs="Times New Roman"/>
          <w:b/>
          <w:bCs/>
          <w:color w:val="000000" w:themeColor="text1"/>
          <w:sz w:val="32"/>
          <w:szCs w:val="32"/>
          <w14:textFill>
            <w14:solidFill>
              <w14:schemeClr w14:val="tx1"/>
            </w14:solidFill>
          </w14:textFill>
        </w:rPr>
      </w:pPr>
      <w:r>
        <w:rPr>
          <w:rFonts w:ascii="Times New Roman" w:eastAsia="仿宋_GB2312" w:cs="Times New Roman"/>
          <w:color w:val="000000" w:themeColor="text1"/>
          <w:kern w:val="2"/>
          <w:sz w:val="32"/>
          <w:szCs w:val="32"/>
          <w14:textFill>
            <w14:solidFill>
              <w14:schemeClr w14:val="tx1"/>
            </w14:solidFill>
          </w14:textFill>
        </w:rPr>
        <w:t>有效提升社会各界对《规划纲要》的了解认同，推动社会各界参与《规划纲要》实施的社会监督。开展规划宣传和展示工作，着力推进《规划纲要》实施的信息公开，营造全社会共同参与和支持《规划纲要》实施的良好氛围。提高《规划纲要》实施的民主化和透明度，增进市场主体、民众、社会组织对《规划纲要》方针政策的认知，特别是要促进企业积极参与《规划纲要》的实施。发挥新闻媒体、群众社团的桥梁和监督作用，促进各级各类《规划纲要》的有效实施。</w:t>
      </w:r>
    </w:p>
    <w:p>
      <w:pPr>
        <w:spacing w:line="560" w:lineRule="atLeast"/>
        <w:ind w:firstLine="640"/>
        <w:rPr>
          <w:color w:val="000000" w:themeColor="text1"/>
          <w:szCs w:val="32"/>
          <w14:textFill>
            <w14:solidFill>
              <w14:schemeClr w14:val="tx1"/>
            </w14:solidFill>
          </w14:textFill>
        </w:rPr>
        <w:sectPr>
          <w:pgSz w:w="11906" w:h="16838"/>
          <w:pgMar w:top="2041" w:right="1418" w:bottom="1701" w:left="1418" w:header="851" w:footer="1361" w:gutter="0"/>
          <w:cols w:space="720" w:num="1"/>
          <w:docGrid w:linePitch="312" w:charSpace="0"/>
        </w:sectPr>
      </w:pPr>
    </w:p>
    <w:p>
      <w:pPr>
        <w:pStyle w:val="34"/>
        <w:outlineLvl w:val="0"/>
        <w:rPr>
          <w:color w:val="000000" w:themeColor="text1"/>
          <w14:textFill>
            <w14:solidFill>
              <w14:schemeClr w14:val="tx1"/>
            </w14:solidFill>
          </w14:textFill>
        </w:rPr>
      </w:pPr>
      <w:bookmarkStart w:id="211" w:name="_Toc23884"/>
      <w:bookmarkStart w:id="212" w:name="_Toc28974"/>
      <w:bookmarkStart w:id="213" w:name="_Toc17470"/>
      <w:r>
        <w:rPr>
          <w:color w:val="000000" w:themeColor="text1"/>
          <w14:textFill>
            <w14:solidFill>
              <w14:schemeClr w14:val="tx1"/>
            </w14:solidFill>
          </w14:textFill>
        </w:rPr>
        <w:t>附件1</w:t>
      </w:r>
      <w:bookmarkEnd w:id="211"/>
      <w:bookmarkEnd w:id="212"/>
      <w:bookmarkEnd w:id="213"/>
    </w:p>
    <w:p>
      <w:pPr>
        <w:pStyle w:val="3"/>
        <w:rPr>
          <w:color w:val="000000" w:themeColor="text1"/>
          <w14:textFill>
            <w14:solidFill>
              <w14:schemeClr w14:val="tx1"/>
            </w14:solidFill>
          </w14:textFill>
        </w:rPr>
      </w:pPr>
      <w:bookmarkStart w:id="214" w:name="_Toc65069807"/>
      <w:bookmarkStart w:id="215" w:name="_Toc61645588"/>
      <w:bookmarkStart w:id="216" w:name="_Toc27266"/>
      <w:bookmarkStart w:id="217" w:name="_Toc2756"/>
      <w:bookmarkStart w:id="218" w:name="_Toc17448"/>
      <w:bookmarkStart w:id="219" w:name="_Toc10402"/>
      <w:bookmarkStart w:id="220" w:name="_Toc7628"/>
      <w:r>
        <w:rPr>
          <w:color w:val="000000" w:themeColor="text1"/>
          <w14:textFill>
            <w14:solidFill>
              <w14:schemeClr w14:val="tx1"/>
            </w14:solidFill>
          </w14:textFill>
        </w:rPr>
        <w:t>名词解释</w:t>
      </w:r>
      <w:bookmarkEnd w:id="214"/>
      <w:bookmarkEnd w:id="215"/>
      <w:bookmarkEnd w:id="216"/>
      <w:bookmarkEnd w:id="217"/>
      <w:bookmarkEnd w:id="218"/>
      <w:bookmarkEnd w:id="219"/>
      <w:bookmarkEnd w:id="220"/>
    </w:p>
    <w:p>
      <w:pPr>
        <w:ind w:firstLine="640"/>
        <w:rPr>
          <w:color w:val="000000" w:themeColor="text1"/>
          <w14:textFill>
            <w14:solidFill>
              <w14:schemeClr w14:val="tx1"/>
            </w14:solidFill>
          </w14:textFill>
        </w:rPr>
      </w:pP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新发展理念：创新、协调、绿色、开放、共享的发展理念。</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“五位一体”总体布局：全面推进</w:t>
      </w:r>
      <w:r>
        <w:fldChar w:fldCharType="begin"/>
      </w:r>
      <w:r>
        <w:instrText xml:space="preserve"> HYPERLINK "https://baike.so.com/doc/134431-142023.html" \t "https://baike.so.com/doc/_blank" </w:instrText>
      </w:r>
      <w:r>
        <w:fldChar w:fldCharType="separate"/>
      </w:r>
      <w:r>
        <w:rPr>
          <w:color w:val="000000" w:themeColor="text1"/>
          <w:szCs w:val="32"/>
          <w14:textFill>
            <w14:solidFill>
              <w14:schemeClr w14:val="tx1"/>
            </w14:solidFill>
          </w14:textFill>
        </w:rPr>
        <w:t>经济建设</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w:t>
      </w:r>
      <w:r>
        <w:fldChar w:fldCharType="begin"/>
      </w:r>
      <w:r>
        <w:instrText xml:space="preserve"> HYPERLINK "https://baike.so.com/doc/6204205-6417472.html" \t "https://baike.so.com/doc/_blank" </w:instrText>
      </w:r>
      <w:r>
        <w:fldChar w:fldCharType="separate"/>
      </w:r>
      <w:r>
        <w:rPr>
          <w:color w:val="000000" w:themeColor="text1"/>
          <w:szCs w:val="32"/>
          <w14:textFill>
            <w14:solidFill>
              <w14:schemeClr w14:val="tx1"/>
            </w14:solidFill>
          </w14:textFill>
        </w:rPr>
        <w:t>政治建设</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w:t>
      </w:r>
      <w:r>
        <w:fldChar w:fldCharType="begin"/>
      </w:r>
      <w:r>
        <w:instrText xml:space="preserve"> HYPERLINK "https://baike.so.com/doc/5407232-5645141.html" \t "https://baike.so.com/doc/_blank" </w:instrText>
      </w:r>
      <w:r>
        <w:fldChar w:fldCharType="separate"/>
      </w:r>
      <w:r>
        <w:rPr>
          <w:color w:val="000000" w:themeColor="text1"/>
          <w:szCs w:val="32"/>
          <w14:textFill>
            <w14:solidFill>
              <w14:schemeClr w14:val="tx1"/>
            </w14:solidFill>
          </w14:textFill>
        </w:rPr>
        <w:t>文化建设</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、社会建设、</w:t>
      </w:r>
      <w:r>
        <w:fldChar w:fldCharType="begin"/>
      </w:r>
      <w:r>
        <w:instrText xml:space="preserve"> HYPERLINK "https://baike.so.com/doc/5450038-5688407.html" \t "https://baike.so.com/doc/_blank" </w:instrText>
      </w:r>
      <w:r>
        <w:fldChar w:fldCharType="separate"/>
      </w:r>
      <w:r>
        <w:rPr>
          <w:color w:val="000000" w:themeColor="text1"/>
          <w:szCs w:val="32"/>
          <w14:textFill>
            <w14:solidFill>
              <w14:schemeClr w14:val="tx1"/>
            </w14:solidFill>
          </w14:textFill>
        </w:rPr>
        <w:t>生态文明建设</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“四个全面”战略布局：协调推进全面建设社会主义现代化国家、全面深化改革、全面依法治国、全面从严治党的战略布局。</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新发展格局：加快构建以国内大循环为主体、国内国际双循环相互促进的新发展格局。</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大部制：即</w:t>
      </w:r>
      <w:r>
        <w:fldChar w:fldCharType="begin"/>
      </w:r>
      <w:r>
        <w:instrText xml:space="preserve"> HYPERLINK "https://baike.baidu.com/item/%E5%A4%A7%E9%83%A8%E9%97%A8%E4%BD%93%E5%88%B6/8573695" \t "_blank" </w:instrText>
      </w:r>
      <w:r>
        <w:fldChar w:fldCharType="separate"/>
      </w:r>
      <w:r>
        <w:rPr>
          <w:color w:val="000000" w:themeColor="text1"/>
          <w:szCs w:val="32"/>
          <w14:textFill>
            <w14:solidFill>
              <w14:schemeClr w14:val="tx1"/>
            </w14:solidFill>
          </w14:textFill>
        </w:rPr>
        <w:t>大部门体制</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，即为推进</w:t>
      </w:r>
      <w:r>
        <w:fldChar w:fldCharType="begin"/>
      </w:r>
      <w:r>
        <w:instrText xml:space="preserve"> HYPERLINK "https://baike.baidu.com/item/%E6%94%BF%E5%BA%9C/1416952" \t "_blank" </w:instrText>
      </w:r>
      <w:r>
        <w:fldChar w:fldCharType="separate"/>
      </w:r>
      <w:r>
        <w:rPr>
          <w:color w:val="000000" w:themeColor="text1"/>
          <w:szCs w:val="32"/>
          <w14:textFill>
            <w14:solidFill>
              <w14:schemeClr w14:val="tx1"/>
            </w14:solidFill>
          </w14:textFill>
        </w:rPr>
        <w:t>政府</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事务综合管理与协调，按政府综合管理职能合并政府部门，组成超级大部的政府组织体制。特点是扩大一个部所管理的业务范围，把多种内容有联系的事务交由一个部管辖，从而最大限度地避免政府职能交叉、政出多门、多头管理，从而提高行政效率，降低行政成本。</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三个区分开来：指把因缺乏经验先行先试出现的失误与明知故犯行为区分开来，把国家尚无明确规定的探索性试验与国家明令禁止后的有规不依行为区分开来，把为推动改革的无意过失与为谋取私利的故意行为区分开来。</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单一窗口：指参与国际贸易和运输的各方，通过单一的平台提交标准化的信息和单证以满足相关法律法规及管理的要求。</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两段准入：是海关综合考量进境货物风险类别、高低、紧急等情况，实施的分类施策、精准监管模式。具体包括“转场检查”“附条件提离”“合并检查”等作业方式，通过将“安全入境”与“合格入市”分段监管，既加强了进境高风险管控，也实现了大多数中低风险进口货物的快速通关和流转，有效减少货物在口岸积压，降低货物滞港产生的仓储和时间成本。</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海外仓：跨境电商出口卖家为提升订单交付能力而在国外接近买家的地区设立的仓储物流节点，通常具有境外货物储存、流通加工、本地配送，以及售后服务等功能。</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孟中印缅经济走廊：2013年5月</w:t>
      </w:r>
      <w:r>
        <w:fldChar w:fldCharType="begin"/>
      </w:r>
      <w:r>
        <w:instrText xml:space="preserve"> HYPERLINK "https://baike.baidu.com/item/%E5%9B%BD%E5%8A%A1%E9%99%A2/343590" \t "_blank" </w:instrText>
      </w:r>
      <w:r>
        <w:fldChar w:fldCharType="separate"/>
      </w:r>
      <w:r>
        <w:rPr>
          <w:color w:val="000000" w:themeColor="text1"/>
          <w:szCs w:val="32"/>
          <w14:textFill>
            <w14:solidFill>
              <w14:schemeClr w14:val="tx1"/>
            </w14:solidFill>
          </w14:textFill>
        </w:rPr>
        <w:t>国务院</w:t>
      </w:r>
      <w:r>
        <w:rPr>
          <w:color w:val="000000" w:themeColor="text1"/>
          <w:szCs w:val="32"/>
          <w14:textFill>
            <w14:solidFill>
              <w14:schemeClr w14:val="tx1"/>
            </w14:solidFill>
          </w14:textFill>
        </w:rPr>
        <w:fldChar w:fldCharType="end"/>
      </w:r>
      <w:r>
        <w:fldChar w:fldCharType="begin"/>
      </w:r>
      <w:r>
        <w:instrText xml:space="preserve"> HYPERLINK "https://baike.baidu.com/item/%E6%9D%8E%E5%85%8B%E5%BC%BA/632714" \t "_blank" </w:instrText>
      </w:r>
      <w:r>
        <w:fldChar w:fldCharType="separate"/>
      </w:r>
      <w:r>
        <w:rPr>
          <w:color w:val="000000" w:themeColor="text1"/>
          <w:szCs w:val="32"/>
          <w14:textFill>
            <w14:solidFill>
              <w14:schemeClr w14:val="tx1"/>
            </w14:solidFill>
          </w14:textFill>
        </w:rPr>
        <w:t>李克强</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总理访问印度期间提出的，得到印度、</w:t>
      </w:r>
      <w:r>
        <w:fldChar w:fldCharType="begin"/>
      </w:r>
      <w:r>
        <w:instrText xml:space="preserve"> HYPERLINK "https://baike.baidu.com/item/%E5%AD%9F%E5%8A%A0%E6%8B%89%E5%9B%BD/205224" \t "_blank" </w:instrText>
      </w:r>
      <w:r>
        <w:fldChar w:fldCharType="separate"/>
      </w:r>
      <w:r>
        <w:rPr>
          <w:color w:val="000000" w:themeColor="text1"/>
          <w:szCs w:val="32"/>
          <w14:textFill>
            <w14:solidFill>
              <w14:schemeClr w14:val="tx1"/>
            </w14:solidFill>
          </w14:textFill>
        </w:rPr>
        <w:t>孟加拉国</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、缅甸三国的积极响应。该倡议对深化四国间友好合作关系，建立东亚与南亚两大区域互联互通有重要意义。</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中国-中南半岛经济走廊：以中国广西南宁和云南昆明为起点，以新加坡为终点，纵贯中南半岛的越南、老挝、柬埔寨、泰国、缅甸、马来西亚等国家，是中国连接中南半岛的大陆桥，也是中国与东盟合作的跨国经济走廊。</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西部陆海新通道：是中新（重庆）战略性互联互通示范项目的重要组成部分。该通道利用铁路、公路、水运、航空等多种运输方式，由重庆向南经贵州等省份，通过广西北部湾等沿海沿边口岸，通达新加坡及东盟主要物流节点，运行时间比经东部地区出海节约10天左右。西部陆海新通道位于我国西部地区腹地，北接丝绸之路经济带，南连21世纪海上丝绸之路，协同衔接长江经济带，在区域协调发展格局中具有重要战略地位。</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人民币海外基金：旨在为我国开展对外投融资合作提供人民币资金支持。具体业务范围主要包括人民币境外</w:t>
      </w:r>
      <w:r>
        <w:fldChar w:fldCharType="begin"/>
      </w:r>
      <w:r>
        <w:instrText xml:space="preserve"> HYPERLINK "https://www.66law.cn/question/20535979.aspx" \t "_blank" \o "贷款" </w:instrText>
      </w:r>
      <w:r>
        <w:fldChar w:fldCharType="separate"/>
      </w:r>
      <w:r>
        <w:rPr>
          <w:color w:val="000000" w:themeColor="text1"/>
          <w:szCs w:val="32"/>
          <w14:textFill>
            <w14:solidFill>
              <w14:schemeClr w14:val="tx1"/>
            </w14:solidFill>
          </w14:textFill>
        </w:rPr>
        <w:t>贷款</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和境外债权投资、相关</w:t>
      </w:r>
      <w:r>
        <w:fldChar w:fldCharType="begin"/>
      </w:r>
      <w:r>
        <w:instrText xml:space="preserve"> HYPERLINK "https://www.66law.cn/special/guquantouzi/" \t "_blank" \o "股权投资" </w:instrText>
      </w:r>
      <w:r>
        <w:fldChar w:fldCharType="separate"/>
      </w:r>
      <w:r>
        <w:rPr>
          <w:color w:val="000000" w:themeColor="text1"/>
          <w:szCs w:val="32"/>
          <w14:textFill>
            <w14:solidFill>
              <w14:schemeClr w14:val="tx1"/>
            </w14:solidFill>
          </w14:textFill>
        </w:rPr>
        <w:t>股权投资</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、跨境担保；与国际开发机构、境内外金融机构、行业龙头企业等发起设立人民币共同投资基金，进行资产受托管理、对外委托投资等。</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融资租赁：是目前国际上最为普遍、最基本的非银行金融形式。它是指出租人根据承租人(用户)的请求，与第三方(供货商)订立供货合同，根据此合同，出租人出资向供货商购买承租人选定的设备。同时，出租人与承租人订立一项租赁合同，将设备出租给承租人，并向承租人收取一定的租金。</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数字贸易：是随着互联网的产生和普及而随之出现的，因为它是依托互联网为基础，以数字交换技术为手段，为供求双方提供交互动所需的数字化电子信息，实现以数字化信息为贸易标准的，创新的商业模式。</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证照分离：指工商部门颁发的营业执照和各相关行业主管部门颁发的经营许可证审批的改革。</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多证合一：指证照整合改革，</w:t>
      </w:r>
      <w:r>
        <w:rPr>
          <w:rFonts w:hint="eastAsia"/>
          <w:color w:val="000000" w:themeColor="text1"/>
          <w:szCs w:val="32"/>
          <w14:textFill>
            <w14:solidFill>
              <w14:schemeClr w14:val="tx1"/>
            </w14:solidFill>
          </w14:textFill>
        </w:rPr>
        <w:t>以</w:t>
      </w:r>
      <w:r>
        <w:rPr>
          <w:color w:val="000000" w:themeColor="text1"/>
          <w:szCs w:val="32"/>
          <w14:textFill>
            <w14:solidFill>
              <w14:schemeClr w14:val="tx1"/>
            </w14:solidFill>
          </w14:textFill>
        </w:rPr>
        <w:t>实现企业一照一码走天下。</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一业一证：指优化行业准入业务流程，将一个行业准入涉及的多张许可证整合为一张“行业综合许可证”，大幅压减审批环节和时限，简化审批手续，有效提升行政效能和办事效率，更大</w:t>
      </w:r>
      <w:r>
        <w:rPr>
          <w:rFonts w:hint="eastAsia"/>
          <w:color w:val="000000" w:themeColor="text1"/>
          <w:szCs w:val="32"/>
          <w14:textFill>
            <w14:solidFill>
              <w14:schemeClr w14:val="tx1"/>
            </w14:solidFill>
          </w14:textFill>
        </w:rPr>
        <w:t>程度</w:t>
      </w:r>
      <w:r>
        <w:rPr>
          <w:color w:val="000000" w:themeColor="text1"/>
          <w:szCs w:val="32"/>
          <w14:textFill>
            <w14:solidFill>
              <w14:schemeClr w14:val="tx1"/>
            </w14:solidFill>
          </w14:textFill>
        </w:rPr>
        <w:t>激发市场主体发展活力。</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一照多址：指在公司或者个体户注册登记后，取得一个营业执照后，因业务拓展在本区域内开办经营范围相符的第二处经营场所无需重新登记即可将正本盖章后悬挂在经营场所新址。</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集群虚拟注册：指在自贸片区内成立管理公司，允许多家企业以托管的方式将其营业执照住所登记在管理公司的地址上，实现“虚拟注册”。</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三一四最：一窗受理、一网通办、一次办成“三个一”高效审批服务；流程最简、速度最快、效率最高、成本最低，“四个最”服务理念。</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“双随机、一公开”：即在监管过程中随机抽取检查对象，随机选派执法检查人员，抽查情况及查处结果及时向社会公开。</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监管沙盒：指在可控环境内实施监管，让新产品/模式在真实市场环境中迭代验证，去伪存真；让用户在受保护的前提下接触新产品，享受新模式的效率而不被风险所伤（事前约定风险补偿机制）</w:t>
      </w:r>
      <w:r>
        <w:rPr>
          <w:rFonts w:hint="eastAsia"/>
          <w:color w:val="000000" w:themeColor="text1"/>
          <w:szCs w:val="32"/>
          <w14:textFill>
            <w14:solidFill>
              <w14:schemeClr w14:val="tx1"/>
            </w14:solidFill>
          </w14:textFill>
        </w:rPr>
        <w:t>。</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财园助企贷：指昆明市政府安排专项资金与银行合作，帮助试点工业园区企业申请获得1年期以内、500万元以下流动资金贷款，主要支持</w:t>
      </w:r>
      <w:r>
        <w:rPr>
          <w:rFonts w:hint="eastAsia"/>
          <w:color w:val="000000" w:themeColor="text1"/>
          <w:szCs w:val="32"/>
          <w14:textFill>
            <w14:solidFill>
              <w14:schemeClr w14:val="tx1"/>
            </w14:solidFill>
          </w14:textFill>
        </w:rPr>
        <w:t>昆明</w:t>
      </w:r>
      <w:r>
        <w:rPr>
          <w:color w:val="000000" w:themeColor="text1"/>
          <w:szCs w:val="32"/>
          <w14:textFill>
            <w14:solidFill>
              <w14:schemeClr w14:val="tx1"/>
            </w14:solidFill>
          </w14:textFill>
        </w:rPr>
        <w:t>市工业园区内技术有优势、产品有市场、发展潜力较大、社会诚信良好，但抵押担保不够银行贷款条件的中小微企业。</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银园助企贷：中国（云南）自贸区昆明片区试点设立“银园助企贷”项目，引入省级政策性担保机构，初期设立500万元保证金资金池，通过合作银行向中小微企业提供信用担保贷款。</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春城计划：昆明市围绕高层次</w:t>
      </w:r>
      <w:r>
        <w:rPr>
          <w:rFonts w:hint="eastAsia"/>
          <w:color w:val="000000" w:themeColor="text1"/>
          <w:szCs w:val="32"/>
          <w14:textFill>
            <w14:solidFill>
              <w14:schemeClr w14:val="tx1"/>
            </w14:solidFill>
          </w14:textFill>
        </w:rPr>
        <w:t>人才</w:t>
      </w:r>
      <w:r>
        <w:rPr>
          <w:color w:val="000000" w:themeColor="text1"/>
          <w:szCs w:val="32"/>
          <w14:textFill>
            <w14:solidFill>
              <w14:schemeClr w14:val="tx1"/>
            </w14:solidFill>
          </w14:textFill>
        </w:rPr>
        <w:t>引进制定的专项行动计划，旨在用5年至10年时间重点引进一批自然科学、工程技术、人文社科、管理咨询以及其他紧缺急需的高层次人才。领军人才、领衔团队最高可获3000万元经费支持。</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产教融合：是指职业学校根据所设专业，积极开办专业产业，把产业与教学密切结合，相互支持，相互促进，把学校办成集人才培养</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科学研究</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科技服务为一体的产业性经营实体，形成</w:t>
      </w:r>
      <w:r>
        <w:fldChar w:fldCharType="begin"/>
      </w:r>
      <w:r>
        <w:instrText xml:space="preserve"> HYPERLINK "https://baike.sogou.com/lemma/ShowInnerLink.htm?lemmaId=72394311&amp;ss_c=ssc.citiao.link" \t "https://baike.sogou.com/_blank" </w:instrText>
      </w:r>
      <w:r>
        <w:fldChar w:fldCharType="separate"/>
      </w:r>
      <w:r>
        <w:rPr>
          <w:color w:val="000000" w:themeColor="text1"/>
          <w:szCs w:val="32"/>
          <w14:textFill>
            <w14:solidFill>
              <w14:schemeClr w14:val="tx1"/>
            </w14:solidFill>
          </w14:textFill>
        </w:rPr>
        <w:t>学校与企业</w:t>
      </w:r>
      <w:r>
        <w:rPr>
          <w:color w:val="000000" w:themeColor="text1"/>
          <w:szCs w:val="32"/>
          <w14:textFill>
            <w14:solidFill>
              <w14:schemeClr w14:val="tx1"/>
            </w14:solidFill>
          </w14:textFill>
        </w:rPr>
        <w:fldChar w:fldCharType="end"/>
      </w:r>
      <w:r>
        <w:rPr>
          <w:color w:val="000000" w:themeColor="text1"/>
          <w:szCs w:val="32"/>
          <w14:textFill>
            <w14:solidFill>
              <w14:schemeClr w14:val="tx1"/>
            </w14:solidFill>
          </w14:textFill>
        </w:rPr>
        <w:t>浑然一体的办学模式。</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首台（套）重大技术装备：指在国内和省内实现重大技术突破、拥有自主知识产权、用户初步使用或尚未取得市场业绩的装备产品。包括成套设备、整机设备及核心部件、控制系统、基础材料、软件系统等。</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单一来源采购：也称直接采购，是指采购人向唯一供应商进行采购的方式。适用于达到了限购标准和公开招标数额标准，但所购商品的来源渠道单一，或属专利、首次制造、合同追加、原有采购项目的后续扩充和发生了不可预见的紧急情况不能从其他供应商处采购等情况。</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虚拟空港”：是一个全新的“空陆联程中转转关”物流模式，在“虚拟空港”模式下，航空公司地面代理对进口货物进行分拨理货，拥有特殊标志的“虚拟空港”的货物将不再与普通货物一起被分拨到货代仓库，而是被分拨到指定的监管车辆，直接运抵开发区。收货人就地办理通关、提货手续。将国际机场的部分功能延伸至经济技术开发区，形成具备部分机场功能的“虚拟空港”。</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供应链管理：就是指在满足一定的客户服务水平的条件下，为了使整个供应链系统成本达到最小而把供应商、制造商、仓库、配送中心和渠道商等有效地组织在一起</w:t>
      </w:r>
      <w:r>
        <w:rPr>
          <w:rFonts w:hint="eastAsia"/>
          <w:color w:val="000000" w:themeColor="text1"/>
          <w:szCs w:val="32"/>
          <w14:textFill>
            <w14:solidFill>
              <w14:schemeClr w14:val="tx1"/>
            </w14:solidFill>
          </w14:textFill>
        </w:rPr>
        <w:t>从而</w:t>
      </w:r>
      <w:r>
        <w:rPr>
          <w:color w:val="000000" w:themeColor="text1"/>
          <w:szCs w:val="32"/>
          <w14:textFill>
            <w14:solidFill>
              <w14:schemeClr w14:val="tx1"/>
            </w14:solidFill>
          </w14:textFill>
        </w:rPr>
        <w:t>进行产品制造、转运、分销及销售的管理方法。</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普惠金融，是指立足机会平等要求和商业可持续原则，以可负担的成本为有金融服务需求的社会各阶层和群体提供适当、有效的金融服务。小微企业、农民、城镇低收入人群、贫困人群和残疾人、老年人等特殊群体是当前我国普惠金融重点服务对象。</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两业融合：指的是先进制造业与现代服务业的深度融合，即价值链、产业链与创新链、供应链、信息链、资金链、人才链等紧密结合，以数字技术改造传统的制造业，推动制造业改变价值输出模式，提高服务创造价值的能力。</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新基建：全称新型基础设施建设，主要包括5G基站建设、特高压、城际高速铁路和城市轨道交通、新能源汽车充电桩、大数据中心、人工智能、工业互联网七大领域，涉及诸多产业链。</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职住平衡：指在某一给定的地域范围内，居民中劳动者的数量和就业岗位的数量大致相等，即职工的数量与住户的数量大体保持平衡状态，大部分居民可以就近工作。</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“六个百分百”：施工工地周边100%围挡，物料堆放100%覆盖，出入车辆100%冲洗，施工现场地面100%硬化，拆迁工地100%湿法作业，渣土车辆100%密闭运输。</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“三同时”：同时设计、同时施工、同时投产使用。</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“四节一环保”：节能、节地、节水、节材和环境保护。</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“PPP”：政府和社会资本合作，是公共基础设施中的一种项目运作模式。在该模式下，鼓励私营企业、民营资本与政府进行合作，参与公共基础设施的建设。</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重点项目建设与就业“三同时”：重点项目立项时投资经济效益与就业安置效益同时评估与规划；重点项目在建时，工程施工与员工招聘和培训同时进行；重点项目工程竣工投产时，就业政策同时落实。</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区管校聘：即建立编制岗位总量控制、动态调整、统筹使用的新机制，合理配置区域内教师资源。建立中小学教师按岗聘用、竞争择优、强化考核的新机制，落实中小学用人自主权。</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救急难：是指居民因遭遇突发紧急事件或意外事故，致使基本生活陷入困境，乃至生存面临危机的一种状态，需要政府和社会向这部分人群提供必要的物质、精神上的帮助。</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抗疫精神：在惊心动魄的抗疫大战和艰苦卓绝的历史大考中孕育形成的生命至上、举国同心、舍生忘死、尊重科学、命运与共的精神。</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企业安全设施“三同时”：指建设项目安全设施必须与主体工程同时设计、同时施工、同时投入生产和使用。</w:t>
      </w:r>
    </w:p>
    <w:p>
      <w:pPr>
        <w:pStyle w:val="6"/>
        <w:numPr>
          <w:ilvl w:val="0"/>
          <w:numId w:val="1"/>
        </w:numPr>
        <w:spacing w:line="560" w:lineRule="atLeast"/>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一网四品：“一网”即以昆明经开区党工委为轴心，对园区-街道-园中园（楼宇、平台、商圈、市场）进行“一张网”全覆盖管理。“四品”即开展“两圈一廊一带”四个品牌建设。</w:t>
      </w:r>
    </w:p>
    <w:p>
      <w:pPr>
        <w:pStyle w:val="34"/>
        <w:rPr>
          <w:color w:val="000000" w:themeColor="text1"/>
          <w14:textFill>
            <w14:solidFill>
              <w14:schemeClr w14:val="tx1"/>
            </w14:solidFill>
          </w14:textFill>
        </w:rPr>
        <w:sectPr>
          <w:pgSz w:w="11906" w:h="16838"/>
          <w:pgMar w:top="2041" w:right="1418" w:bottom="1701" w:left="1418" w:header="851" w:footer="1361" w:gutter="0"/>
          <w:cols w:space="720" w:num="1"/>
          <w:docGrid w:linePitch="312" w:charSpace="0"/>
        </w:sectPr>
      </w:pPr>
      <w:bookmarkStart w:id="221" w:name="_Toc14581"/>
      <w:bookmarkStart w:id="222" w:name="_Toc13947"/>
    </w:p>
    <w:p>
      <w:pPr>
        <w:pStyle w:val="34"/>
        <w:outlineLvl w:val="0"/>
        <w:rPr>
          <w:color w:val="000000" w:themeColor="text1"/>
          <w14:textFill>
            <w14:solidFill>
              <w14:schemeClr w14:val="tx1"/>
            </w14:solidFill>
          </w14:textFill>
        </w:rPr>
      </w:pPr>
      <w:bookmarkStart w:id="223" w:name="_Toc14109"/>
      <w:r>
        <w:rPr>
          <w:color w:val="000000" w:themeColor="text1"/>
          <w14:textFill>
            <w14:solidFill>
              <w14:schemeClr w14:val="tx1"/>
            </w14:solidFill>
          </w14:textFill>
        </w:rPr>
        <w:t>附件2</w:t>
      </w:r>
      <w:bookmarkEnd w:id="223"/>
    </w:p>
    <w:p>
      <w:pPr>
        <w:ind w:firstLine="0" w:firstLineChars="0"/>
        <w:jc w:val="center"/>
        <w:outlineLvl w:val="0"/>
        <w:rPr>
          <w:rFonts w:eastAsia="方正小标宋_GBK"/>
          <w:color w:val="000000" w:themeColor="text1"/>
          <w:sz w:val="36"/>
          <w:szCs w:val="28"/>
          <w14:textFill>
            <w14:solidFill>
              <w14:schemeClr w14:val="tx1"/>
            </w14:solidFill>
          </w14:textFill>
        </w:rPr>
      </w:pPr>
      <w:bookmarkStart w:id="224" w:name="_Toc21392"/>
      <w:r>
        <w:rPr>
          <w:rFonts w:eastAsia="方正小标宋_GBK"/>
          <w:color w:val="000000" w:themeColor="text1"/>
          <w:sz w:val="36"/>
          <w:szCs w:val="28"/>
          <w14:textFill>
            <w14:solidFill>
              <w14:schemeClr w14:val="tx1"/>
            </w14:solidFill>
          </w14:textFill>
        </w:rPr>
        <w:t>区位示意图</w:t>
      </w:r>
      <w:bookmarkEnd w:id="224"/>
    </w:p>
    <w:p>
      <w:pPr>
        <w:pStyle w:val="37"/>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334000" cy="7512050"/>
            <wp:effectExtent l="0" t="0" r="0" b="12700"/>
            <wp:docPr id="85" name="图片 3" descr="区位图＋图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descr="区位图＋图框"/>
                    <pic:cNvPicPr>
                      <a:picLocks noChangeAspect="1"/>
                    </pic:cNvPicPr>
                  </pic:nvPicPr>
                  <pic:blipFill>
                    <a:blip r:embed="rId29"/>
                    <a:stretch>
                      <a:fillRect/>
                    </a:stretch>
                  </pic:blipFill>
                  <pic:spPr>
                    <a:xfrm>
                      <a:off x="0" y="0"/>
                      <a:ext cx="5334000" cy="7512050"/>
                    </a:xfrm>
                    <a:prstGeom prst="rect">
                      <a:avLst/>
                    </a:prstGeom>
                    <a:noFill/>
                    <a:ln>
                      <a:noFill/>
                    </a:ln>
                  </pic:spPr>
                </pic:pic>
              </a:graphicData>
            </a:graphic>
          </wp:inline>
        </w:drawing>
      </w:r>
    </w:p>
    <w:p>
      <w:pPr>
        <w:pStyle w:val="34"/>
        <w:outlineLvl w:val="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225" w:name="_Toc30192"/>
      <w:r>
        <w:rPr>
          <w:color w:val="000000" w:themeColor="text1"/>
          <w14:textFill>
            <w14:solidFill>
              <w14:schemeClr w14:val="tx1"/>
            </w14:solidFill>
          </w14:textFill>
        </w:rPr>
        <w:t>附件3</w:t>
      </w:r>
      <w:bookmarkEnd w:id="225"/>
    </w:p>
    <w:p>
      <w:pPr>
        <w:ind w:firstLine="0" w:firstLineChars="0"/>
        <w:jc w:val="center"/>
        <w:outlineLvl w:val="0"/>
        <w:rPr>
          <w:rFonts w:eastAsia="方正小标宋_GBK"/>
          <w:color w:val="000000" w:themeColor="text1"/>
          <w:sz w:val="36"/>
          <w:szCs w:val="28"/>
          <w14:textFill>
            <w14:solidFill>
              <w14:schemeClr w14:val="tx1"/>
            </w14:solidFill>
          </w14:textFill>
        </w:rPr>
      </w:pPr>
      <w:bookmarkStart w:id="226" w:name="_Toc24725"/>
      <w:r>
        <w:rPr>
          <w:rFonts w:eastAsia="方正小标宋_GBK"/>
          <w:color w:val="000000" w:themeColor="text1"/>
          <w:sz w:val="36"/>
          <w:szCs w:val="28"/>
          <w14:textFill>
            <w14:solidFill>
              <w14:schemeClr w14:val="tx1"/>
            </w14:solidFill>
          </w14:textFill>
        </w:rPr>
        <w:t>三区联动发展示意图</w:t>
      </w:r>
      <w:bookmarkEnd w:id="226"/>
    </w:p>
    <w:p>
      <w:pPr>
        <w:pStyle w:val="9"/>
        <w:ind w:firstLine="0" w:firstLineChars="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5323205" cy="7512050"/>
            <wp:effectExtent l="0" t="0" r="10795" b="12700"/>
            <wp:docPr id="86" name="图片 4" descr="三区联动发展示意图＋图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descr="三区联动发展示意图＋图框"/>
                    <pic:cNvPicPr>
                      <a:picLocks noChangeAspect="1"/>
                    </pic:cNvPicPr>
                  </pic:nvPicPr>
                  <pic:blipFill>
                    <a:blip r:embed="rId30"/>
                    <a:stretch>
                      <a:fillRect/>
                    </a:stretch>
                  </pic:blipFill>
                  <pic:spPr>
                    <a:xfrm>
                      <a:off x="0" y="0"/>
                      <a:ext cx="5323205" cy="7512050"/>
                    </a:xfrm>
                    <a:prstGeom prst="rect">
                      <a:avLst/>
                    </a:prstGeom>
                    <a:noFill/>
                    <a:ln>
                      <a:noFill/>
                    </a:ln>
                  </pic:spPr>
                </pic:pic>
              </a:graphicData>
            </a:graphic>
          </wp:inline>
        </w:drawing>
      </w:r>
    </w:p>
    <w:p>
      <w:pPr>
        <w:pStyle w:val="34"/>
        <w:outlineLvl w:val="0"/>
        <w:rPr>
          <w:color w:val="000000" w:themeColor="text1"/>
          <w14:textFill>
            <w14:solidFill>
              <w14:schemeClr w14:val="tx1"/>
            </w14:solidFill>
          </w14:textFill>
        </w:rPr>
      </w:pPr>
      <w:bookmarkStart w:id="227" w:name="_Toc16524"/>
      <w:r>
        <w:rPr>
          <w:color w:val="000000" w:themeColor="text1"/>
          <w14:textFill>
            <w14:solidFill>
              <w14:schemeClr w14:val="tx1"/>
            </w14:solidFill>
          </w14:textFill>
        </w:rPr>
        <w:t>附件4</w:t>
      </w:r>
      <w:bookmarkEnd w:id="227"/>
    </w:p>
    <w:p>
      <w:pPr>
        <w:ind w:firstLine="0" w:firstLineChars="0"/>
        <w:jc w:val="center"/>
        <w:outlineLvl w:val="0"/>
        <w:rPr>
          <w:rFonts w:eastAsia="方正小标宋_GBK"/>
          <w:color w:val="000000" w:themeColor="text1"/>
          <w:sz w:val="36"/>
          <w:szCs w:val="28"/>
          <w14:textFill>
            <w14:solidFill>
              <w14:schemeClr w14:val="tx1"/>
            </w14:solidFill>
          </w14:textFill>
        </w:rPr>
      </w:pPr>
      <w:bookmarkStart w:id="228" w:name="_Toc16742"/>
      <w:r>
        <w:rPr>
          <w:rFonts w:eastAsia="方正小标宋_GBK"/>
          <w:color w:val="000000" w:themeColor="text1"/>
          <w:sz w:val="36"/>
          <w:szCs w:val="28"/>
          <w14:textFill>
            <w14:solidFill>
              <w14:schemeClr w14:val="tx1"/>
            </w14:solidFill>
          </w14:textFill>
        </w:rPr>
        <w:t>“一轴两带双核五中心七片区”示意图</w:t>
      </w:r>
      <w:bookmarkEnd w:id="228"/>
    </w:p>
    <w:p>
      <w:pPr>
        <w:pStyle w:val="34"/>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266065</wp:posOffset>
                </wp:positionH>
                <wp:positionV relativeFrom="paragraph">
                  <wp:posOffset>34290</wp:posOffset>
                </wp:positionV>
                <wp:extent cx="5196840" cy="639445"/>
                <wp:effectExtent l="4445" t="4445" r="18415" b="22860"/>
                <wp:wrapNone/>
                <wp:docPr id="87" name="矩形 87"/>
                <wp:cNvGraphicFramePr/>
                <a:graphic xmlns:a="http://schemas.openxmlformats.org/drawingml/2006/main">
                  <a:graphicData uri="http://schemas.microsoft.com/office/word/2010/wordprocessingShape">
                    <wps:wsp>
                      <wps:cNvSpPr/>
                      <wps:spPr>
                        <a:xfrm>
                          <a:off x="0" y="0"/>
                          <a:ext cx="5196840" cy="639445"/>
                        </a:xfrm>
                        <a:prstGeom prst="rect">
                          <a:avLst/>
                        </a:prstGeom>
                        <a:no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400" w:lineRule="exact"/>
                              <w:ind w:firstLine="480"/>
                              <w:jc w:val="center"/>
                              <w:rPr>
                                <w:rFonts w:ascii="微软雅黑" w:hAnsi="微软雅黑" w:eastAsia="微软雅黑" w:cs="微软雅黑"/>
                                <w:color w:val="262626" w:themeColor="text1" w:themeTint="D9"/>
                                <w:sz w:val="24"/>
                                <w:szCs w:val="21"/>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1"/>
                                <w14:textFill>
                                  <w14:solidFill>
                                    <w14:schemeClr w14:val="tx1">
                                      <w14:lumMod w14:val="85000"/>
                                      <w14:lumOff w14:val="15000"/>
                                    </w14:schemeClr>
                                  </w14:solidFill>
                                </w14:textFill>
                              </w:rPr>
                              <w:t>中国（云南）自贸区昆明片区“一轴两带双核五中心七片区”</w:t>
                            </w:r>
                          </w:p>
                          <w:p>
                            <w:pPr>
                              <w:spacing w:line="400" w:lineRule="exact"/>
                              <w:ind w:firstLine="480"/>
                              <w:jc w:val="center"/>
                              <w:rPr>
                                <w:rFonts w:ascii="微软雅黑" w:hAnsi="微软雅黑" w:eastAsia="微软雅黑" w:cs="微软雅黑"/>
                                <w:color w:val="262626" w:themeColor="text1" w:themeTint="D9"/>
                                <w:sz w:val="24"/>
                                <w:szCs w:val="21"/>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1"/>
                                <w14:textFill>
                                  <w14:solidFill>
                                    <w14:schemeClr w14:val="tx1">
                                      <w14:lumMod w14:val="85000"/>
                                      <w14:lumOff w14:val="15000"/>
                                    </w14:schemeClr>
                                  </w14:solidFill>
                                </w14:textFill>
                              </w:rPr>
                              <w:t>总体格局示意图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5pt;margin-top:2.7pt;height:50.35pt;width:409.2pt;z-index:251742208;v-text-anchor:middle;mso-width-relative:page;mso-height-relative:page;" filled="f" stroked="t" coordsize="21600,21600" o:gfxdata="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U2OSrXAAAACAEAAA8AAAAAAAAAAQAgAAAA&#10;IgAAAGRycy9kb3ducmV2LnhtbFBLAQIUABQAAAAIAIdO4kDlLd49fgIAAPkEAAAOAAAAAAAAAAEA&#10;IAAAACYBAABkcnMvZTJvRG9jLnhtbFBLBQYAAAAABgAGAFkBAAAWBgAAAAA=&#10;">
                <v:fill on="f" focussize="0,0"/>
                <v:stroke weight="0.25pt" color="#404040 [2429]" joinstyle="round"/>
                <v:imagedata o:title=""/>
                <o:lock v:ext="edit" aspectratio="f"/>
                <v:textbox>
                  <w:txbxContent>
                    <w:p>
                      <w:pPr>
                        <w:spacing w:line="400" w:lineRule="exact"/>
                        <w:ind w:firstLine="480"/>
                        <w:jc w:val="center"/>
                        <w:rPr>
                          <w:rFonts w:ascii="微软雅黑" w:hAnsi="微软雅黑" w:eastAsia="微软雅黑" w:cs="微软雅黑"/>
                          <w:color w:val="262626" w:themeColor="text1" w:themeTint="D9"/>
                          <w:sz w:val="24"/>
                          <w:szCs w:val="21"/>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1"/>
                          <w14:textFill>
                            <w14:solidFill>
                              <w14:schemeClr w14:val="tx1">
                                <w14:lumMod w14:val="85000"/>
                                <w14:lumOff w14:val="15000"/>
                              </w14:schemeClr>
                            </w14:solidFill>
                          </w14:textFill>
                        </w:rPr>
                        <w:t>中国（云南）自贸区昆明片区“一轴两带双核五中心七片区”</w:t>
                      </w:r>
                    </w:p>
                    <w:p>
                      <w:pPr>
                        <w:spacing w:line="400" w:lineRule="exact"/>
                        <w:ind w:firstLine="480"/>
                        <w:jc w:val="center"/>
                        <w:rPr>
                          <w:rFonts w:ascii="微软雅黑" w:hAnsi="微软雅黑" w:eastAsia="微软雅黑" w:cs="微软雅黑"/>
                          <w:color w:val="262626" w:themeColor="text1" w:themeTint="D9"/>
                          <w:sz w:val="24"/>
                          <w:szCs w:val="21"/>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1"/>
                          <w14:textFill>
                            <w14:solidFill>
                              <w14:schemeClr w14:val="tx1">
                                <w14:lumMod w14:val="85000"/>
                                <w14:lumOff w14:val="15000"/>
                              </w14:schemeClr>
                            </w14:solidFill>
                          </w14:textFill>
                        </w:rPr>
                        <w:t>总体格局示意图</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265430</wp:posOffset>
                </wp:positionH>
                <wp:positionV relativeFrom="paragraph">
                  <wp:posOffset>40640</wp:posOffset>
                </wp:positionV>
                <wp:extent cx="5196840" cy="7355205"/>
                <wp:effectExtent l="4445" t="4445" r="18415" b="12700"/>
                <wp:wrapNone/>
                <wp:docPr id="88" name="矩形 88"/>
                <wp:cNvGraphicFramePr/>
                <a:graphic xmlns:a="http://schemas.openxmlformats.org/drawingml/2006/main">
                  <a:graphicData uri="http://schemas.microsoft.com/office/word/2010/wordprocessingShape">
                    <wps:wsp>
                      <wps:cNvSpPr/>
                      <wps:spPr>
                        <a:xfrm>
                          <a:off x="7112000" y="5215890"/>
                          <a:ext cx="5196840" cy="7355205"/>
                        </a:xfrm>
                        <a:prstGeom prst="rect">
                          <a:avLst/>
                        </a:prstGeom>
                        <a:no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pt;margin-top:3.2pt;height:579.15pt;width:409.2pt;z-index:251741184;v-text-anchor:middle;mso-width-relative:page;mso-height-relative:page;" filled="f" stroked="t" coordsize="21600,21600" o:gfxdata="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EQPg63WAAAACQEAAA8AAAAAAAAA&#10;AQAgAAAAIgAAAGRycy9kb3ducmV2LnhtbFBLAQIUABQAAAAIAIdO4kAum1vchQIAAPsEAAAOAAAA&#10;AAAAAAEAIAAAACUBAABkcnMvZTJvRG9jLnhtbFBLBQYAAAAABgAGAFkBAAAcBgAAAAA=&#10;">
                <v:fill on="f" focussize="0,0"/>
                <v:stroke weight="0.25pt" color="#404040 [2429]" joinstyle="round"/>
                <v:imagedata o:title=""/>
                <o:lock v:ext="edit" aspectratio="f"/>
              </v:rect>
            </w:pict>
          </mc:Fallback>
        </mc:AlternateContent>
      </w:r>
      <w:r>
        <w:rPr>
          <w:rFonts w:hint="eastAsia"/>
          <w:color w:val="000000" w:themeColor="text1"/>
          <w14:textFill>
            <w14:solidFill>
              <w14:schemeClr w14:val="tx1"/>
            </w14:solidFill>
          </w14:textFill>
        </w:rPr>
        <w:drawing>
          <wp:inline distT="0" distB="0" distL="114300" distR="114300">
            <wp:extent cx="5299075" cy="7469505"/>
            <wp:effectExtent l="0" t="0" r="15875" b="17145"/>
            <wp:docPr id="89" name="图片 89" descr="微信图片_2021031210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微信图片_20210312100417"/>
                    <pic:cNvPicPr>
                      <a:picLocks noChangeAspect="1"/>
                    </pic:cNvPicPr>
                  </pic:nvPicPr>
                  <pic:blipFill>
                    <a:blip r:embed="rId31"/>
                    <a:stretch>
                      <a:fillRect/>
                    </a:stretch>
                  </pic:blipFill>
                  <pic:spPr>
                    <a:xfrm>
                      <a:off x="0" y="0"/>
                      <a:ext cx="5299075" cy="7469505"/>
                    </a:xfrm>
                    <a:prstGeom prst="rect">
                      <a:avLst/>
                    </a:prstGeom>
                  </pic:spPr>
                </pic:pic>
              </a:graphicData>
            </a:graphic>
          </wp:inline>
        </w:drawing>
      </w:r>
    </w:p>
    <w:p>
      <w:pPr>
        <w:pStyle w:val="34"/>
        <w:outlineLvl w:val="0"/>
        <w:rPr>
          <w:color w:val="000000" w:themeColor="text1"/>
          <w14:textFill>
            <w14:solidFill>
              <w14:schemeClr w14:val="tx1"/>
            </w14:solidFill>
          </w14:textFill>
        </w:rPr>
      </w:pPr>
      <w:bookmarkStart w:id="229" w:name="_Toc6985"/>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5</w:t>
      </w:r>
      <w:bookmarkEnd w:id="229"/>
    </w:p>
    <w:p>
      <w:pPr>
        <w:ind w:firstLine="0" w:firstLineChars="0"/>
        <w:jc w:val="center"/>
        <w:outlineLvl w:val="0"/>
        <w:rPr>
          <w:rFonts w:eastAsia="方正小标宋_GBK"/>
          <w:color w:val="000000" w:themeColor="text1"/>
          <w:sz w:val="36"/>
          <w:szCs w:val="28"/>
          <w14:textFill>
            <w14:solidFill>
              <w14:schemeClr w14:val="tx1"/>
            </w14:solidFill>
          </w14:textFill>
        </w:rPr>
      </w:pPr>
      <w:bookmarkStart w:id="230" w:name="_Toc31806"/>
      <w:r>
        <w:rPr>
          <w:rFonts w:eastAsia="方正小标宋_GBK"/>
          <w:color w:val="000000" w:themeColor="text1"/>
          <w:sz w:val="36"/>
          <w:szCs w:val="28"/>
          <w14:textFill>
            <w14:solidFill>
              <w14:schemeClr w14:val="tx1"/>
            </w14:solidFill>
          </w14:textFill>
        </w:rPr>
        <w:t>“一区八片”示意图</w:t>
      </w:r>
      <w:bookmarkEnd w:id="230"/>
    </w:p>
    <w:p>
      <w:pPr>
        <w:pStyle w:val="9"/>
        <w:ind w:firstLine="0" w:firstLineChars="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5323205" cy="7512050"/>
            <wp:effectExtent l="0" t="0" r="10795" b="12700"/>
            <wp:docPr id="90" name="图片 23" descr="一区八片空间结构图＋图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 descr="一区八片空间结构图＋图框"/>
                    <pic:cNvPicPr>
                      <a:picLocks noChangeAspect="1"/>
                    </pic:cNvPicPr>
                  </pic:nvPicPr>
                  <pic:blipFill>
                    <a:blip r:embed="rId32"/>
                    <a:stretch>
                      <a:fillRect/>
                    </a:stretch>
                  </pic:blipFill>
                  <pic:spPr>
                    <a:xfrm>
                      <a:off x="0" y="0"/>
                      <a:ext cx="5323205" cy="7512050"/>
                    </a:xfrm>
                    <a:prstGeom prst="rect">
                      <a:avLst/>
                    </a:prstGeom>
                    <a:noFill/>
                    <a:ln>
                      <a:noFill/>
                    </a:ln>
                  </pic:spPr>
                </pic:pic>
              </a:graphicData>
            </a:graphic>
          </wp:inline>
        </w:drawing>
      </w:r>
    </w:p>
    <w:p>
      <w:pPr>
        <w:pStyle w:val="34"/>
        <w:outlineLvl w:val="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231" w:name="_Toc16819"/>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6</w:t>
      </w:r>
      <w:bookmarkEnd w:id="231"/>
    </w:p>
    <w:p>
      <w:pPr>
        <w:ind w:firstLine="0" w:firstLineChars="0"/>
        <w:jc w:val="center"/>
        <w:outlineLvl w:val="0"/>
        <w:rPr>
          <w:rFonts w:eastAsia="方正小标宋_GBK"/>
          <w:color w:val="000000" w:themeColor="text1"/>
          <w:sz w:val="36"/>
          <w:szCs w:val="28"/>
          <w14:textFill>
            <w14:solidFill>
              <w14:schemeClr w14:val="tx1"/>
            </w14:solidFill>
          </w14:textFill>
        </w:rPr>
      </w:pPr>
      <w:bookmarkStart w:id="232" w:name="_Toc23501"/>
      <w:r>
        <w:rPr>
          <w:rFonts w:eastAsia="方正小标宋_GBK"/>
          <w:color w:val="000000" w:themeColor="text1"/>
          <w:sz w:val="36"/>
          <w:szCs w:val="28"/>
          <w14:textFill>
            <w14:solidFill>
              <w14:schemeClr w14:val="tx1"/>
            </w14:solidFill>
          </w14:textFill>
        </w:rPr>
        <w:t>综合交通规划示意图</w:t>
      </w:r>
      <w:bookmarkEnd w:id="232"/>
    </w:p>
    <w:p>
      <w:pPr>
        <w:ind w:firstLine="0" w:firstLineChars="0"/>
        <w:jc w:val="center"/>
        <w:rPr>
          <w:color w:val="000000" w:themeColor="text1"/>
          <w14:textFill>
            <w14:solidFill>
              <w14:schemeClr w14:val="tx1"/>
            </w14:solidFill>
          </w14:textFill>
        </w:rPr>
        <w:sectPr>
          <w:pgSz w:w="11906" w:h="16838"/>
          <w:pgMar w:top="2041" w:right="1418" w:bottom="1701" w:left="1418" w:header="851" w:footer="1361" w:gutter="0"/>
          <w:cols w:space="720" w:num="1"/>
          <w:docGrid w:linePitch="312" w:charSpace="0"/>
        </w:sectPr>
      </w:pPr>
      <w:r>
        <w:rPr>
          <w:color w:val="000000" w:themeColor="text1"/>
          <w14:textFill>
            <w14:solidFill>
              <w14:schemeClr w14:val="tx1"/>
            </w14:solidFill>
          </w14:textFill>
        </w:rPr>
        <w:drawing>
          <wp:inline distT="0" distB="0" distL="114300" distR="114300">
            <wp:extent cx="5260340" cy="7440295"/>
            <wp:effectExtent l="0" t="0" r="16510" b="8255"/>
            <wp:docPr id="91" name="图片 27" descr="微信图片_2021030214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7" descr="微信图片_20210302141105"/>
                    <pic:cNvPicPr>
                      <a:picLocks noChangeAspect="1"/>
                    </pic:cNvPicPr>
                  </pic:nvPicPr>
                  <pic:blipFill>
                    <a:blip r:embed="rId33"/>
                    <a:stretch>
                      <a:fillRect/>
                    </a:stretch>
                  </pic:blipFill>
                  <pic:spPr>
                    <a:xfrm>
                      <a:off x="0" y="0"/>
                      <a:ext cx="5260340" cy="7440295"/>
                    </a:xfrm>
                    <a:prstGeom prst="rect">
                      <a:avLst/>
                    </a:prstGeom>
                    <a:noFill/>
                    <a:ln>
                      <a:noFill/>
                    </a:ln>
                  </pic:spPr>
                </pic:pic>
              </a:graphicData>
            </a:graphic>
          </wp:inline>
        </w:drawing>
      </w:r>
    </w:p>
    <w:bookmarkEnd w:id="221"/>
    <w:bookmarkEnd w:id="222"/>
    <w:p>
      <w:pPr>
        <w:ind w:firstLine="0" w:firstLineChars="0"/>
        <w:jc w:val="center"/>
        <w:rPr>
          <w:rFonts w:eastAsia="方正小标宋_GBK"/>
          <w:color w:val="000000" w:themeColor="text1"/>
          <w:w w:val="80"/>
          <w:sz w:val="52"/>
          <w:szCs w:val="52"/>
          <w14:textFill>
            <w14:solidFill>
              <w14:schemeClr w14:val="tx1"/>
            </w14:solidFill>
          </w14:textFill>
        </w:rPr>
      </w:pPr>
    </w:p>
    <w:p>
      <w:pPr>
        <w:ind w:firstLine="0" w:firstLineChars="0"/>
        <w:outlineLvl w:val="0"/>
        <w:rPr>
          <w:rFonts w:eastAsia="黑体"/>
          <w:caps/>
          <w:color w:val="000000" w:themeColor="text1"/>
          <w14:textFill>
            <w14:solidFill>
              <w14:schemeClr w14:val="tx1"/>
            </w14:solidFill>
          </w14:textFill>
        </w:rPr>
      </w:pPr>
      <w:bookmarkStart w:id="233" w:name="_Toc15755"/>
      <w:bookmarkStart w:id="234" w:name="_Toc16556"/>
      <w:bookmarkStart w:id="235" w:name="_Toc20594"/>
      <w:bookmarkStart w:id="236" w:name="_Toc9153"/>
      <w:r>
        <w:rPr>
          <w:rFonts w:eastAsia="黑体"/>
          <w:caps/>
          <w:color w:val="000000" w:themeColor="text1"/>
          <w14:textFill>
            <w14:solidFill>
              <w14:schemeClr w14:val="tx1"/>
            </w14:solidFill>
          </w14:textFill>
        </w:rPr>
        <w:t>附件</w:t>
      </w:r>
      <w:bookmarkEnd w:id="233"/>
      <w:bookmarkEnd w:id="234"/>
      <w:bookmarkEnd w:id="235"/>
      <w:r>
        <w:rPr>
          <w:rFonts w:hint="eastAsia" w:eastAsia="黑体"/>
          <w:caps/>
          <w:color w:val="000000" w:themeColor="text1"/>
          <w14:textFill>
            <w14:solidFill>
              <w14:schemeClr w14:val="tx1"/>
            </w14:solidFill>
          </w14:textFill>
        </w:rPr>
        <w:t>7</w:t>
      </w:r>
      <w:bookmarkEnd w:id="236"/>
    </w:p>
    <w:p>
      <w:pPr>
        <w:ind w:firstLine="0" w:firstLineChars="0"/>
        <w:jc w:val="center"/>
        <w:outlineLvl w:val="0"/>
        <w:rPr>
          <w:rFonts w:eastAsia="方正小标宋_GBK"/>
          <w:color w:val="000000" w:themeColor="text1"/>
          <w:sz w:val="36"/>
          <w:szCs w:val="28"/>
          <w14:textFill>
            <w14:solidFill>
              <w14:schemeClr w14:val="tx1"/>
            </w14:solidFill>
          </w14:textFill>
        </w:rPr>
      </w:pPr>
      <w:bookmarkStart w:id="237" w:name="_Toc8597"/>
      <w:bookmarkStart w:id="238" w:name="_Toc8290"/>
      <w:bookmarkStart w:id="239" w:name="_Toc18444"/>
      <w:bookmarkStart w:id="240" w:name="_Toc32277"/>
      <w:r>
        <w:rPr>
          <w:rFonts w:eastAsia="方正小标宋_GBK"/>
          <w:color w:val="000000" w:themeColor="text1"/>
          <w:sz w:val="36"/>
          <w:szCs w:val="28"/>
          <w14:textFill>
            <w14:solidFill>
              <w14:schemeClr w14:val="tx1"/>
            </w14:solidFill>
          </w14:textFill>
        </w:rPr>
        <w:t>中国（云南）自贸区昆明片区（昆明经开区）“十四五”规划重点项目表</w:t>
      </w:r>
      <w:bookmarkEnd w:id="237"/>
      <w:bookmarkEnd w:id="238"/>
      <w:bookmarkEnd w:id="239"/>
      <w:bookmarkEnd w:id="240"/>
    </w:p>
    <w:p>
      <w:pPr>
        <w:ind w:firstLine="0" w:firstLineChars="0"/>
        <w:jc w:val="right"/>
        <w:rPr>
          <w:color w:val="000000" w:themeColor="text1"/>
          <w:sz w:val="28"/>
          <w:szCs w:val="28"/>
          <w14:textFill>
            <w14:solidFill>
              <w14:schemeClr w14:val="tx1"/>
            </w14:solidFill>
          </w14:textFill>
        </w:rPr>
      </w:pPr>
      <w:bookmarkStart w:id="241" w:name="_Toc899"/>
      <w:bookmarkStart w:id="242" w:name="_Toc19787"/>
      <w:bookmarkStart w:id="243" w:name="_Toc29161"/>
      <w:r>
        <w:rPr>
          <w:color w:val="000000" w:themeColor="text1"/>
          <w:sz w:val="28"/>
          <w:szCs w:val="28"/>
          <w14:textFill>
            <w14:solidFill>
              <w14:schemeClr w14:val="tx1"/>
            </w14:solidFill>
          </w14:textFill>
        </w:rPr>
        <w:t>单位：万元</w:t>
      </w:r>
      <w:bookmarkEnd w:id="241"/>
      <w:bookmarkEnd w:id="242"/>
      <w:bookmarkEnd w:id="243"/>
    </w:p>
    <w:tbl>
      <w:tblPr>
        <w:tblStyle w:val="18"/>
        <w:tblW w:w="13983" w:type="dxa"/>
        <w:jc w:val="center"/>
        <w:tblLayout w:type="fixed"/>
        <w:tblCellMar>
          <w:top w:w="0" w:type="dxa"/>
          <w:left w:w="0" w:type="dxa"/>
          <w:bottom w:w="0" w:type="dxa"/>
          <w:right w:w="0" w:type="dxa"/>
        </w:tblCellMar>
      </w:tblPr>
      <w:tblGrid>
        <w:gridCol w:w="690"/>
        <w:gridCol w:w="2026"/>
        <w:gridCol w:w="1664"/>
        <w:gridCol w:w="1253"/>
        <w:gridCol w:w="4948"/>
        <w:gridCol w:w="1134"/>
        <w:gridCol w:w="1134"/>
        <w:gridCol w:w="1134"/>
      </w:tblGrid>
      <w:tr>
        <w:tblPrEx>
          <w:tblCellMar>
            <w:top w:w="0" w:type="dxa"/>
            <w:left w:w="0" w:type="dxa"/>
            <w:bottom w:w="0" w:type="dxa"/>
            <w:right w:w="0" w:type="dxa"/>
          </w:tblCellMar>
        </w:tblPrEx>
        <w:trPr>
          <w:trHeight w:val="780" w:hRule="atLeast"/>
          <w:tblHeader/>
          <w:jc w:val="center"/>
        </w:trPr>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b/>
                <w:bCs/>
                <w:color w:val="000000" w:themeColor="text1"/>
                <w:sz w:val="20"/>
                <w:szCs w:val="20"/>
                <w14:textFill>
                  <w14:solidFill>
                    <w14:schemeClr w14:val="tx1"/>
                  </w14:solidFill>
                </w14:textFill>
              </w:rPr>
            </w:pPr>
            <w:r>
              <w:rPr>
                <w:b/>
                <w:bCs/>
                <w:color w:val="000000" w:themeColor="text1"/>
                <w:kern w:val="0"/>
                <w:sz w:val="20"/>
                <w:szCs w:val="20"/>
                <w:lang w:bidi="ar"/>
                <w14:textFill>
                  <w14:solidFill>
                    <w14:schemeClr w14:val="tx1"/>
                  </w14:solidFill>
                </w14:textFill>
              </w:rPr>
              <w:t>序号</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b/>
                <w:bCs/>
                <w:color w:val="000000" w:themeColor="text1"/>
                <w:sz w:val="20"/>
                <w:szCs w:val="20"/>
                <w14:textFill>
                  <w14:solidFill>
                    <w14:schemeClr w14:val="tx1"/>
                  </w14:solidFill>
                </w14:textFill>
              </w:rPr>
            </w:pPr>
            <w:r>
              <w:rPr>
                <w:b/>
                <w:bCs/>
                <w:color w:val="000000" w:themeColor="text1"/>
                <w:kern w:val="0"/>
                <w:sz w:val="20"/>
                <w:szCs w:val="20"/>
                <w:lang w:bidi="ar"/>
                <w14:textFill>
                  <w14:solidFill>
                    <w14:schemeClr w14:val="tx1"/>
                  </w14:solidFill>
                </w14:textFill>
              </w:rPr>
              <w:t>项目名称</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b/>
                <w:bCs/>
                <w:color w:val="000000" w:themeColor="text1"/>
                <w:sz w:val="20"/>
                <w:szCs w:val="20"/>
                <w14:textFill>
                  <w14:solidFill>
                    <w14:schemeClr w14:val="tx1"/>
                  </w14:solidFill>
                </w14:textFill>
              </w:rPr>
            </w:pPr>
            <w:r>
              <w:rPr>
                <w:b/>
                <w:bCs/>
                <w:color w:val="000000" w:themeColor="text1"/>
                <w:kern w:val="0"/>
                <w:sz w:val="20"/>
                <w:szCs w:val="20"/>
                <w:lang w:bidi="ar"/>
                <w14:textFill>
                  <w14:solidFill>
                    <w14:schemeClr w14:val="tx1"/>
                  </w14:solidFill>
                </w14:textFill>
              </w:rPr>
              <w:t>项目业主</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b/>
                <w:bCs/>
                <w:color w:val="000000" w:themeColor="text1"/>
                <w:sz w:val="20"/>
                <w:szCs w:val="20"/>
                <w14:textFill>
                  <w14:solidFill>
                    <w14:schemeClr w14:val="tx1"/>
                  </w14:solidFill>
                </w14:textFill>
              </w:rPr>
            </w:pPr>
            <w:r>
              <w:rPr>
                <w:b/>
                <w:bCs/>
                <w:color w:val="000000" w:themeColor="text1"/>
                <w:kern w:val="0"/>
                <w:sz w:val="20"/>
                <w:szCs w:val="20"/>
                <w:lang w:bidi="ar"/>
                <w14:textFill>
                  <w14:solidFill>
                    <w14:schemeClr w14:val="tx1"/>
                  </w14:solidFill>
                </w14:textFill>
              </w:rPr>
              <w:t>责任单位</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b/>
                <w:bCs/>
                <w:color w:val="000000" w:themeColor="text1"/>
                <w:sz w:val="20"/>
                <w:szCs w:val="20"/>
                <w14:textFill>
                  <w14:solidFill>
                    <w14:schemeClr w14:val="tx1"/>
                  </w14:solidFill>
                </w14:textFill>
              </w:rPr>
            </w:pPr>
            <w:r>
              <w:rPr>
                <w:b/>
                <w:bCs/>
                <w:color w:val="000000" w:themeColor="text1"/>
                <w:kern w:val="0"/>
                <w:sz w:val="20"/>
                <w:szCs w:val="20"/>
                <w:lang w:bidi="ar"/>
                <w14:textFill>
                  <w14:solidFill>
                    <w14:schemeClr w14:val="tx1"/>
                  </w14:solidFill>
                </w14:textFill>
              </w:rPr>
              <w:t>建设内容及规模</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b/>
                <w:bCs/>
                <w:color w:val="000000" w:themeColor="text1"/>
                <w:sz w:val="20"/>
                <w:szCs w:val="20"/>
                <w14:textFill>
                  <w14:solidFill>
                    <w14:schemeClr w14:val="tx1"/>
                  </w14:solidFill>
                </w14:textFill>
              </w:rPr>
            </w:pPr>
            <w:r>
              <w:rPr>
                <w:b/>
                <w:bCs/>
                <w:color w:val="000000" w:themeColor="text1"/>
                <w:kern w:val="0"/>
                <w:sz w:val="20"/>
                <w:szCs w:val="20"/>
                <w:lang w:bidi="ar"/>
                <w14:textFill>
                  <w14:solidFill>
                    <w14:schemeClr w14:val="tx1"/>
                  </w14:solidFill>
                </w14:textFill>
              </w:rPr>
              <w:t>总投资</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b/>
                <w:bCs/>
                <w:color w:val="000000" w:themeColor="text1"/>
                <w:sz w:val="20"/>
                <w:szCs w:val="20"/>
                <w14:textFill>
                  <w14:solidFill>
                    <w14:schemeClr w14:val="tx1"/>
                  </w14:solidFill>
                </w14:textFill>
              </w:rPr>
            </w:pPr>
            <w:r>
              <w:rPr>
                <w:b/>
                <w:bCs/>
                <w:color w:val="000000" w:themeColor="text1"/>
                <w:kern w:val="0"/>
                <w:sz w:val="20"/>
                <w:szCs w:val="20"/>
                <w:lang w:bidi="ar"/>
                <w14:textFill>
                  <w14:solidFill>
                    <w14:schemeClr w14:val="tx1"/>
                  </w14:solidFill>
                </w14:textFill>
              </w:rPr>
              <w:t>自开工以来累计完成投资</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b/>
                <w:bCs/>
                <w:color w:val="000000" w:themeColor="text1"/>
                <w:sz w:val="20"/>
                <w:szCs w:val="20"/>
                <w14:textFill>
                  <w14:solidFill>
                    <w14:schemeClr w14:val="tx1"/>
                  </w14:solidFill>
                </w14:textFill>
              </w:rPr>
            </w:pPr>
            <w:r>
              <w:rPr>
                <w:b/>
                <w:bCs/>
                <w:color w:val="000000" w:themeColor="text1"/>
                <w:kern w:val="0"/>
                <w:sz w:val="20"/>
                <w:szCs w:val="20"/>
                <w:lang w:bidi="ar"/>
                <w14:textFill>
                  <w14:solidFill>
                    <w14:schemeClr w14:val="tx1"/>
                  </w14:solidFill>
                </w14:textFill>
              </w:rPr>
              <w:t>十四五计划完成投资</w:t>
            </w:r>
          </w:p>
        </w:tc>
      </w:tr>
      <w:tr>
        <w:tblPrEx>
          <w:tblCellMar>
            <w:top w:w="0" w:type="dxa"/>
            <w:left w:w="0" w:type="dxa"/>
            <w:bottom w:w="0" w:type="dxa"/>
            <w:right w:w="0" w:type="dxa"/>
          </w:tblCellMar>
        </w:tblPrEx>
        <w:trPr>
          <w:trHeight w:val="270"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b/>
                <w:color w:val="000000" w:themeColor="text1"/>
                <w:sz w:val="20"/>
                <w:szCs w:val="20"/>
                <w14:textFill>
                  <w14:solidFill>
                    <w14:schemeClr w14:val="tx1"/>
                  </w14:solidFill>
                </w14:textFill>
              </w:rPr>
            </w:pPr>
            <w:r>
              <w:rPr>
                <w:b/>
                <w:color w:val="000000" w:themeColor="text1"/>
                <w:kern w:val="0"/>
                <w:sz w:val="20"/>
                <w:szCs w:val="20"/>
                <w:lang w:bidi="ar"/>
                <w14:textFill>
                  <w14:solidFill>
                    <w14:schemeClr w14:val="tx1"/>
                  </w14:solidFill>
                </w14:textFill>
              </w:rPr>
              <w:t>合计：（150项）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18068397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1790332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7709606 </w:t>
            </w:r>
          </w:p>
        </w:tc>
      </w:tr>
      <w:tr>
        <w:tblPrEx>
          <w:tblCellMar>
            <w:top w:w="0" w:type="dxa"/>
            <w:left w:w="0" w:type="dxa"/>
            <w:bottom w:w="0" w:type="dxa"/>
            <w:right w:w="0" w:type="dxa"/>
          </w:tblCellMar>
        </w:tblPrEx>
        <w:trPr>
          <w:trHeight w:val="270"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b/>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一、产业发展（58项）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3554683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225142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1995540 </w:t>
            </w:r>
          </w:p>
        </w:tc>
      </w:tr>
      <w:tr>
        <w:tblPrEx>
          <w:tblCellMar>
            <w:top w:w="0" w:type="dxa"/>
            <w:left w:w="0" w:type="dxa"/>
            <w:bottom w:w="0" w:type="dxa"/>
            <w:right w:w="0" w:type="dxa"/>
          </w:tblCellMar>
        </w:tblPrEx>
        <w:trPr>
          <w:trHeight w:val="270"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b/>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(一)续建（15项）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812514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225142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527100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云南绿色能源产业园</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云南能投新能源产业园区投资开发有限公司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建设工业标准厂房及配套办公服务设施约11万平方米。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hint="eastAsia" w:eastAsia="宋体"/>
                <w:color w:val="000000" w:themeColor="text1"/>
                <w:kern w:val="0"/>
                <w:sz w:val="20"/>
                <w:szCs w:val="20"/>
                <w:lang w:bidi="ar"/>
                <w14:textFill>
                  <w14:solidFill>
                    <w14:schemeClr w14:val="tx1"/>
                  </w14:solidFill>
                </w14:textFill>
              </w:rPr>
              <w:t>5000</w:t>
            </w:r>
            <w:r>
              <w:rPr>
                <w:rFonts w:eastAsia="宋体"/>
                <w:color w:val="000000" w:themeColor="text1"/>
                <w:kern w:val="0"/>
                <w:sz w:val="20"/>
                <w:szCs w:val="20"/>
                <w:lang w:bidi="ar"/>
                <w14:textFill>
                  <w14:solidFill>
                    <w14:schemeClr w14:val="tx1"/>
                  </w14:solidFill>
                </w14:textFill>
              </w:rPr>
              <w:t xml:space="preserve">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97192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244000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普洛斯昆明环普产业园一期</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昆明普昆产业发展有限公司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项目占地593亩，建设14栋单层厂房、2栋单层物流仓库、4栋双层物流仓库及配套设施。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86440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18565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67800 </w:t>
            </w:r>
          </w:p>
        </w:tc>
      </w:tr>
      <w:tr>
        <w:tblPrEx>
          <w:tblCellMar>
            <w:top w:w="0" w:type="dxa"/>
            <w:left w:w="0" w:type="dxa"/>
            <w:bottom w:w="0" w:type="dxa"/>
            <w:right w:w="0" w:type="dxa"/>
          </w:tblCellMar>
        </w:tblPrEx>
        <w:trPr>
          <w:trHeight w:val="96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G系列节能环保轻型商用车汽油机产业化建设项目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昆明云内动力股份有限公司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在公司现有厂区内新建三联合厂房，建设汽油机缸体、缸盖机加工生产线各一条，建设汽油机装试生产线一条，建设配套的公用系统，利用先进的智能装备，打造集自动化、智能化、信息化的节能环保轻型商用车汽油机生产基地。</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50167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14268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35800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G系列节能环保轻型商用车汽油机研发平台建设项目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昆明云内动力股份有限公司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建设2套发动机性能试验台架、1套耐久试验台架、1套重型动力总成试验台架、1套CVS全流稀释系统试验台架、1套轻型动力总成试验台架，建设试验台架配套辅助系统、供油系统及供电系统。</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10467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1701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8700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云内动力装配车间智能化生产线改造项目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昆明云内动力股份有限公司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对原YNF40、90/95/100/102机型的总装分装线、涂装线、后装线、试车台架的共线生产进行智能化升级改造，提升到国六排放标准，且YNF40产品型号变更为D40，新增国六D45发动机的生产。</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3620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2400 </w:t>
            </w:r>
          </w:p>
        </w:tc>
      </w:tr>
      <w:tr>
        <w:tblPrEx>
          <w:tblCellMar>
            <w:top w:w="0" w:type="dxa"/>
            <w:left w:w="0" w:type="dxa"/>
            <w:bottom w:w="0" w:type="dxa"/>
            <w:right w:w="0" w:type="dxa"/>
          </w:tblCellMar>
        </w:tblPrEx>
        <w:trPr>
          <w:trHeight w:val="9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红星电线电缆生产项目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昆明红星电缆有限公司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投资建设生产车间、原料及成品仓库、研发及办公楼等配套设施。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8427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14500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潘祥记烘焙食品、农副产品加工生产基地</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云南潘祥记工贸有限公司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建设生产车间、成品和原材料仓库及其他生活配套设施。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14298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云南粮油公司肉食仓储及加工项目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云南粮油贸易有限公司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项目占地面积52599.59平方米，建筑集生猪屠宰100万元头/年、肉食加工10万吨/年、车间及相关配套设施建设。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云南省能源科研双创示范园</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云南省能源研究院有限公司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科技研发，原建筑进行更新改造，新增地下停车场，园林景观重新施工，建筑面积30868.28平方米。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17828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14220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3600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10</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云南精宬实业新型建材基地项目</w:t>
            </w:r>
          </w:p>
        </w:tc>
        <w:tc>
          <w:tcPr>
            <w:tcW w:w="1664" w:type="dxa"/>
            <w:tcBorders>
              <w:top w:val="nil"/>
              <w:left w:val="nil"/>
              <w:bottom w:val="nil"/>
              <w:right w:val="nil"/>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云南精宬实业有限公司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项目占地约33亩，厂房建设面积11000平方米，包括三个标准化厂房建设等。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10500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1291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9200 </w:t>
            </w:r>
          </w:p>
        </w:tc>
      </w:tr>
      <w:tr>
        <w:tblPrEx>
          <w:tblCellMar>
            <w:top w:w="0" w:type="dxa"/>
            <w:left w:w="0" w:type="dxa"/>
            <w:bottom w:w="0" w:type="dxa"/>
            <w:right w:w="0" w:type="dxa"/>
          </w:tblCellMar>
        </w:tblPrEx>
        <w:trPr>
          <w:trHeight w:val="96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植源生物工业大麻花叶加工</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云南植源生物科技有限公司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按年产1吨CBD原料的规模进行一期建设，全厂建（构）筑物主要包括生产车间、原料库、成品库、辅料库、锅炉房（含燃料库），配电室、综合楼（含办公室、检验室、会议室、食堂）、废水处理池、冷却水池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出版印刷各工序全链条智能化生产线关键技术研发及推广应用</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云南出版印刷集团有限责任公司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建成两条出版印刷各工序全链条智能化生产线，形成年产教材教辅绿色书刊印刷1.2亿册的生产能力。</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1255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3700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云南省质量技术监督综合技术检验检测基地建设项目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云南省质量技术监督局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市场监管分局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建设产品质量检验检测、建筑材料质量检测、计量技术测试、特种设备安全检测用房。</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66978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40126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26800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高原特色农副产品现代物流园建设项目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云南省粮食产业集团有限公司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商务金融服务局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w:t>
            </w:r>
            <w:r>
              <w:rPr>
                <w:rFonts w:hint="eastAsia"/>
                <w:color w:val="000000" w:themeColor="text1"/>
                <w:kern w:val="0"/>
                <w:sz w:val="20"/>
                <w:szCs w:val="20"/>
                <w:lang w:bidi="ar"/>
                <w14:textFill>
                  <w14:solidFill>
                    <w14:schemeClr w14:val="tx1"/>
                  </w14:solidFill>
                </w14:textFill>
              </w:rPr>
              <w:t>占地</w:t>
            </w:r>
            <w:r>
              <w:rPr>
                <w:color w:val="000000" w:themeColor="text1"/>
                <w:kern w:val="0"/>
                <w:sz w:val="20"/>
                <w:szCs w:val="20"/>
                <w:lang w:bidi="ar"/>
                <w14:textFill>
                  <w14:solidFill>
                    <w14:schemeClr w14:val="tx1"/>
                  </w14:solidFill>
                </w14:textFill>
              </w:rPr>
              <w:t>约240亩，总建筑面积约146314平方米，建设专用线装卸站台及站台仓库，多层仓库。</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137700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7862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70000 </w:t>
            </w:r>
          </w:p>
        </w:tc>
      </w:tr>
      <w:tr>
        <w:tblPrEx>
          <w:tblCellMar>
            <w:top w:w="0" w:type="dxa"/>
            <w:left w:w="0" w:type="dxa"/>
            <w:bottom w:w="0" w:type="dxa"/>
            <w:right w:w="0" w:type="dxa"/>
          </w:tblCellMar>
        </w:tblPrEx>
        <w:trPr>
          <w:trHeight w:val="120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中国（昆明）跨境电商综试区（经开片区）综合服务平台建设项目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出口加工管理局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商务金融服务局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跨境E贸易通关服务系统、EDI数据交换系统、O2O跨境新零售监管系统、保税仓储/电商仓储管理系统、商品溯源管理系统、“一站到家”综合物流管理系统、跨境大数据综合信息展示系统、综合通关进口管理系统、综合通关出口管理系统以及1210、9610跨境电商业务查验场所。</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7234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2317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4900 </w:t>
            </w:r>
          </w:p>
        </w:tc>
      </w:tr>
      <w:tr>
        <w:tblPrEx>
          <w:tblCellMar>
            <w:top w:w="0" w:type="dxa"/>
            <w:left w:w="0" w:type="dxa"/>
            <w:bottom w:w="0" w:type="dxa"/>
            <w:right w:w="0" w:type="dxa"/>
          </w:tblCellMar>
        </w:tblPrEx>
        <w:trPr>
          <w:trHeight w:val="432"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（二）新开工（43项）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2742169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1468440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昆明国际工业大麻产业园二期项目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昆明经济技术开发区投资开发(集团)有限公司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投资公司</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建设标准厂房9万平米以上，园区内部水、电、气等综合管网10KM，园区电力配套设施、环保配套设施等基础配套设施。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181518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181000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昆明国际工业大麻产业园一期升级改造建设项目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云南浩宏工业大麻产业园运营管理有限公司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昆明国际工业大麻产业园一期基建配套及形象提升建设，工业大麻监管仓、交易网络数字平台研发及搭建。</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6010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滇金公司云南黄金产业园</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云南滇金投资有限公司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预计用地200亩，按照五大核心板块实施，分别为黄金精深加工、西南银库、贵金属交易平台、贵金属检测基地、工业旅游。</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55000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55000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昆明雪兰牛奶有限责任公司整体搬迁技术改造项目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昆明雪兰牛奶有限责任公司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建设常低温加工厂房、研发中心、质量检测中心、库房、动力车间、配电房、天然气锅炉、倒班宿舍、食堂、污水处理站、办公用房等建成年产30万吨的生产能力的现代化工厂。</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昆明醋酸纤维有限公司整体搬迁</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昆明醋酸纤维有限公司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用地267亩，用于生产和制造香烟过滤嘴用二醋酸纤维丝束。</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60000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G系列节能环保轻型商用车汽油机20万台产能提升项目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昆明云内动力股份有限公司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rFonts w:hint="eastAsia"/>
                <w:color w:val="000000" w:themeColor="text1"/>
                <w:kern w:val="0"/>
                <w:sz w:val="20"/>
                <w:szCs w:val="20"/>
                <w:lang w:bidi="ar"/>
                <w14:textFill>
                  <w14:solidFill>
                    <w14:schemeClr w14:val="tx1"/>
                  </w14:solidFill>
                </w14:textFill>
              </w:rPr>
              <w:t>实施</w:t>
            </w:r>
            <w:r>
              <w:rPr>
                <w:color w:val="000000" w:themeColor="text1"/>
                <w:kern w:val="0"/>
                <w:sz w:val="20"/>
                <w:szCs w:val="20"/>
                <w:lang w:bidi="ar"/>
                <w14:textFill>
                  <w14:solidFill>
                    <w14:schemeClr w14:val="tx1"/>
                  </w14:solidFill>
                </w14:textFill>
              </w:rPr>
              <w:t>汽油机20万台总产能提升：缸体产能从5万台提升至20万台，缸盖产能从5万台提升至20万台，冷试台架、电控系统检测产能从15万台提升至20万台，新增相关的生产线，并配套公用系统等。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25000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 </w:t>
            </w:r>
          </w:p>
        </w:tc>
      </w:tr>
      <w:tr>
        <w:tblPrEx>
          <w:tblCellMar>
            <w:top w:w="0" w:type="dxa"/>
            <w:left w:w="0" w:type="dxa"/>
            <w:bottom w:w="0" w:type="dxa"/>
            <w:right w:w="0" w:type="dxa"/>
          </w:tblCellMar>
        </w:tblPrEx>
        <w:trPr>
          <w:trHeight w:val="96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D25/D30国六柴油机缸体缸盖年产10万件智能化生产线产能扩建项目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昆明云内动力股份有限公司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59264"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67" name="Picture_1073"/>
                  <wp:cNvGraphicFramePr/>
                  <a:graphic xmlns:a="http://schemas.openxmlformats.org/drawingml/2006/main">
                    <a:graphicData uri="http://schemas.openxmlformats.org/drawingml/2006/picture">
                      <pic:pic xmlns:pic="http://schemas.openxmlformats.org/drawingml/2006/picture">
                        <pic:nvPicPr>
                          <pic:cNvPr id="167" name="Picture_1073"/>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60288"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68" name="Picture_1075"/>
                  <wp:cNvGraphicFramePr/>
                  <a:graphic xmlns:a="http://schemas.openxmlformats.org/drawingml/2006/main">
                    <a:graphicData uri="http://schemas.openxmlformats.org/drawingml/2006/picture">
                      <pic:pic xmlns:pic="http://schemas.openxmlformats.org/drawingml/2006/picture">
                        <pic:nvPicPr>
                          <pic:cNvPr id="168" name="Picture_1075"/>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61312"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69" name="Picture_1074"/>
                  <wp:cNvGraphicFramePr/>
                  <a:graphic xmlns:a="http://schemas.openxmlformats.org/drawingml/2006/main">
                    <a:graphicData uri="http://schemas.openxmlformats.org/drawingml/2006/picture">
                      <pic:pic xmlns:pic="http://schemas.openxmlformats.org/drawingml/2006/picture">
                        <pic:nvPicPr>
                          <pic:cNvPr id="169" name="Picture_1074"/>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62336"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70" name="Picture_1074_SpCnt_1"/>
                  <wp:cNvGraphicFramePr/>
                  <a:graphic xmlns:a="http://schemas.openxmlformats.org/drawingml/2006/main">
                    <a:graphicData uri="http://schemas.openxmlformats.org/drawingml/2006/picture">
                      <pic:pic xmlns:pic="http://schemas.openxmlformats.org/drawingml/2006/picture">
                        <pic:nvPicPr>
                          <pic:cNvPr id="170" name="Picture_1074_SpCnt_1"/>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63360"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71" name="Picture_1074_SpCnt_2"/>
                  <wp:cNvGraphicFramePr/>
                  <a:graphic xmlns:a="http://schemas.openxmlformats.org/drawingml/2006/main">
                    <a:graphicData uri="http://schemas.openxmlformats.org/drawingml/2006/picture">
                      <pic:pic xmlns:pic="http://schemas.openxmlformats.org/drawingml/2006/picture">
                        <pic:nvPicPr>
                          <pic:cNvPr id="171" name="Picture_1074_SpCnt_2"/>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64384"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72" name="Picture_1073_SpCnt_1"/>
                  <wp:cNvGraphicFramePr/>
                  <a:graphic xmlns:a="http://schemas.openxmlformats.org/drawingml/2006/main">
                    <a:graphicData uri="http://schemas.openxmlformats.org/drawingml/2006/picture">
                      <pic:pic xmlns:pic="http://schemas.openxmlformats.org/drawingml/2006/picture">
                        <pic:nvPicPr>
                          <pic:cNvPr id="172" name="Picture_1073_SpCnt_1"/>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65408"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73" name="Picture_1075_SpCnt_1"/>
                  <wp:cNvGraphicFramePr/>
                  <a:graphic xmlns:a="http://schemas.openxmlformats.org/drawingml/2006/main">
                    <a:graphicData uri="http://schemas.openxmlformats.org/drawingml/2006/picture">
                      <pic:pic xmlns:pic="http://schemas.openxmlformats.org/drawingml/2006/picture">
                        <pic:nvPicPr>
                          <pic:cNvPr id="173" name="Picture_1075_SpCnt_1"/>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66432"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74" name="Picture_1074_SpCnt_3"/>
                  <wp:cNvGraphicFramePr/>
                  <a:graphic xmlns:a="http://schemas.openxmlformats.org/drawingml/2006/main">
                    <a:graphicData uri="http://schemas.openxmlformats.org/drawingml/2006/picture">
                      <pic:pic xmlns:pic="http://schemas.openxmlformats.org/drawingml/2006/picture">
                        <pic:nvPicPr>
                          <pic:cNvPr id="174" name="Picture_1074_SpCnt_3"/>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67456"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75" name="Picture_1073_SpCnt_2"/>
                  <wp:cNvGraphicFramePr/>
                  <a:graphic xmlns:a="http://schemas.openxmlformats.org/drawingml/2006/main">
                    <a:graphicData uri="http://schemas.openxmlformats.org/drawingml/2006/picture">
                      <pic:pic xmlns:pic="http://schemas.openxmlformats.org/drawingml/2006/picture">
                        <pic:nvPicPr>
                          <pic:cNvPr id="175" name="Picture_1073_SpCnt_2"/>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68480"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76" name="Picture_1073_SpCnt_3"/>
                  <wp:cNvGraphicFramePr/>
                  <a:graphic xmlns:a="http://schemas.openxmlformats.org/drawingml/2006/main">
                    <a:graphicData uri="http://schemas.openxmlformats.org/drawingml/2006/picture">
                      <pic:pic xmlns:pic="http://schemas.openxmlformats.org/drawingml/2006/picture">
                        <pic:nvPicPr>
                          <pic:cNvPr id="176" name="Picture_1073_SpCnt_3"/>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69504"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77" name="Picture_1075_SpCnt_2"/>
                  <wp:cNvGraphicFramePr/>
                  <a:graphic xmlns:a="http://schemas.openxmlformats.org/drawingml/2006/main">
                    <a:graphicData uri="http://schemas.openxmlformats.org/drawingml/2006/picture">
                      <pic:pic xmlns:pic="http://schemas.openxmlformats.org/drawingml/2006/picture">
                        <pic:nvPicPr>
                          <pic:cNvPr id="177" name="Picture_1075_SpCnt_2"/>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70528"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78" name="Picture_1074_SpCnt_4"/>
                  <wp:cNvGraphicFramePr/>
                  <a:graphic xmlns:a="http://schemas.openxmlformats.org/drawingml/2006/main">
                    <a:graphicData uri="http://schemas.openxmlformats.org/drawingml/2006/picture">
                      <pic:pic xmlns:pic="http://schemas.openxmlformats.org/drawingml/2006/picture">
                        <pic:nvPicPr>
                          <pic:cNvPr id="178" name="Picture_1074_SpCnt_4"/>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71552"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79" name="Picture_1073_SpCnt_4"/>
                  <wp:cNvGraphicFramePr/>
                  <a:graphic xmlns:a="http://schemas.openxmlformats.org/drawingml/2006/main">
                    <a:graphicData uri="http://schemas.openxmlformats.org/drawingml/2006/picture">
                      <pic:pic xmlns:pic="http://schemas.openxmlformats.org/drawingml/2006/picture">
                        <pic:nvPicPr>
                          <pic:cNvPr id="179" name="Picture_1073_SpCnt_4"/>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72576"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80" name="Picture_1074_SpCnt_5"/>
                  <wp:cNvGraphicFramePr/>
                  <a:graphic xmlns:a="http://schemas.openxmlformats.org/drawingml/2006/main">
                    <a:graphicData uri="http://schemas.openxmlformats.org/drawingml/2006/picture">
                      <pic:pic xmlns:pic="http://schemas.openxmlformats.org/drawingml/2006/picture">
                        <pic:nvPicPr>
                          <pic:cNvPr id="180" name="Picture_1074_SpCnt_5"/>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73600"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81" name="Picture_1073_SpCnt_5"/>
                  <wp:cNvGraphicFramePr/>
                  <a:graphic xmlns:a="http://schemas.openxmlformats.org/drawingml/2006/main">
                    <a:graphicData uri="http://schemas.openxmlformats.org/drawingml/2006/picture">
                      <pic:pic xmlns:pic="http://schemas.openxmlformats.org/drawingml/2006/picture">
                        <pic:nvPicPr>
                          <pic:cNvPr id="181" name="Picture_1073_SpCnt_5"/>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74624"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82" name="Picture_1073_SpCnt_6"/>
                  <wp:cNvGraphicFramePr/>
                  <a:graphic xmlns:a="http://schemas.openxmlformats.org/drawingml/2006/main">
                    <a:graphicData uri="http://schemas.openxmlformats.org/drawingml/2006/picture">
                      <pic:pic xmlns:pic="http://schemas.openxmlformats.org/drawingml/2006/picture">
                        <pic:nvPicPr>
                          <pic:cNvPr id="182" name="Picture_1073_SpCnt_6"/>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75648"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83" name="Picture_1075_SpCnt_3"/>
                  <wp:cNvGraphicFramePr/>
                  <a:graphic xmlns:a="http://schemas.openxmlformats.org/drawingml/2006/main">
                    <a:graphicData uri="http://schemas.openxmlformats.org/drawingml/2006/picture">
                      <pic:pic xmlns:pic="http://schemas.openxmlformats.org/drawingml/2006/picture">
                        <pic:nvPicPr>
                          <pic:cNvPr id="183" name="Picture_1075_SpCnt_3"/>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76672"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84" name="Picture_1074_SpCnt_6"/>
                  <wp:cNvGraphicFramePr/>
                  <a:graphic xmlns:a="http://schemas.openxmlformats.org/drawingml/2006/main">
                    <a:graphicData uri="http://schemas.openxmlformats.org/drawingml/2006/picture">
                      <pic:pic xmlns:pic="http://schemas.openxmlformats.org/drawingml/2006/picture">
                        <pic:nvPicPr>
                          <pic:cNvPr id="184" name="Picture_1074_SpCnt_6"/>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77696"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85" name="Picture_1074_SpCnt_7"/>
                  <wp:cNvGraphicFramePr/>
                  <a:graphic xmlns:a="http://schemas.openxmlformats.org/drawingml/2006/main">
                    <a:graphicData uri="http://schemas.openxmlformats.org/drawingml/2006/picture">
                      <pic:pic xmlns:pic="http://schemas.openxmlformats.org/drawingml/2006/picture">
                        <pic:nvPicPr>
                          <pic:cNvPr id="185" name="Picture_1074_SpCnt_7"/>
                          <pic:cNvPicPr/>
                        </pic:nvPicPr>
                        <pic:blipFill>
                          <a:blip r:embed="rId34"/>
                          <a:stretch>
                            <a:fillRect/>
                          </a:stretch>
                        </pic:blipFill>
                        <pic:spPr>
                          <a:xfrm>
                            <a:off x="0" y="0"/>
                            <a:ext cx="11430" cy="21590"/>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78720" behindDoc="0" locked="0" layoutInCell="1" allowOverlap="1">
                  <wp:simplePos x="0" y="0"/>
                  <wp:positionH relativeFrom="column">
                    <wp:posOffset>675005</wp:posOffset>
                  </wp:positionH>
                  <wp:positionV relativeFrom="paragraph">
                    <wp:posOffset>0</wp:posOffset>
                  </wp:positionV>
                  <wp:extent cx="11430" cy="21590"/>
                  <wp:effectExtent l="0" t="0" r="0" b="0"/>
                  <wp:wrapNone/>
                  <wp:docPr id="186" name="Picture_1073_SpCnt_7"/>
                  <wp:cNvGraphicFramePr/>
                  <a:graphic xmlns:a="http://schemas.openxmlformats.org/drawingml/2006/main">
                    <a:graphicData uri="http://schemas.openxmlformats.org/drawingml/2006/picture">
                      <pic:pic xmlns:pic="http://schemas.openxmlformats.org/drawingml/2006/picture">
                        <pic:nvPicPr>
                          <pic:cNvPr id="186" name="Picture_1073_SpCnt_7"/>
                          <pic:cNvPicPr/>
                        </pic:nvPicPr>
                        <pic:blipFill>
                          <a:blip r:embed="rId34"/>
                          <a:stretch>
                            <a:fillRect/>
                          </a:stretch>
                        </pic:blipFill>
                        <pic:spPr>
                          <a:xfrm>
                            <a:off x="0" y="0"/>
                            <a:ext cx="11430" cy="21590"/>
                          </a:xfrm>
                          <a:prstGeom prst="rect">
                            <a:avLst/>
                          </a:prstGeom>
                          <a:noFill/>
                          <a:ln>
                            <a:noFill/>
                          </a:ln>
                        </pic:spPr>
                      </pic:pic>
                    </a:graphicData>
                  </a:graphic>
                </wp:anchor>
              </w:drawing>
            </w:r>
            <w:r>
              <w:rPr>
                <w:rFonts w:hint="eastAsia"/>
                <w:color w:val="000000" w:themeColor="text1"/>
                <w:kern w:val="0"/>
                <w:sz w:val="20"/>
                <w:szCs w:val="20"/>
                <w:lang w:bidi="ar"/>
                <w14:textFill>
                  <w14:solidFill>
                    <w14:schemeClr w14:val="tx1"/>
                  </w14:solidFill>
                </w14:textFill>
              </w:rPr>
              <w:t>扩建</w:t>
            </w:r>
            <w:r>
              <w:rPr>
                <w:color w:val="000000" w:themeColor="text1"/>
                <w:kern w:val="0"/>
                <w:sz w:val="20"/>
                <w:szCs w:val="20"/>
                <w:lang w:bidi="ar"/>
                <w14:textFill>
                  <w14:solidFill>
                    <w14:schemeClr w14:val="tx1"/>
                  </w14:solidFill>
                </w14:textFill>
              </w:rPr>
              <w:t>D25/D30装配线，设计年产能20万台：将原D19/D20机加工线、装配线年产能从20万台降低至10万台，保障二联合厂房装配线各产品年总产能30万台；建设生产线配套的公用动力系统，对厂房配套进行适应性改造。构建车间MES系统。</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25245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25000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智能制造转型升级项目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昆明电机厂有限责任公司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整体搬迁新建智能工厂，并完成信息化、数字化、智能化建设。项目建设总投资105898.79万元。</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59620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59000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原料药提取基地建设及综合生产车间技术建设项目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昆明赛诺制药股份有限公司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建设现代化的中药原料提取和综合生产车间及配套设施、技术研发中心、互联网+和营销信息化专项、办公及综合大楼，购买生产设备。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10</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凯富研发中心</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云南凯富投资有限公司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工程技术、软件检测、智能产品、系统仿真等分析、试验、测试以及相关技术咨询与研发服务。</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31000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华能绿色包装印刷产业园项目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昆明华能新材料有限公司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引进博斯特凹印刷机、海德堡等国外先进设备以及相应配套设备，建设烟标印刷生产线及精品礼盒生产线。</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 </w:t>
            </w:r>
          </w:p>
        </w:tc>
      </w:tr>
      <w:tr>
        <w:tblPrEx>
          <w:tblCellMar>
            <w:top w:w="0" w:type="dxa"/>
            <w:left w:w="0" w:type="dxa"/>
            <w:bottom w:w="0" w:type="dxa"/>
            <w:right w:w="0" w:type="dxa"/>
          </w:tblCellMar>
        </w:tblPrEx>
        <w:trPr>
          <w:trHeight w:val="292"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钢友精品板材生产加工项目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云南钢友工贸有限公司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建设重型钢结构生产厂房31602.01平方米及厂房内配套起重设备54台套、建设不低于3600千伏安供电配套设施、购置各型号高精度精品板材生产设备15台套、场地硬化等其他附属设施。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20800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云南东盟国际冷链物流中心三期</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昆明银筑冷链物流有限公司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商务金融服务局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rFonts w:hint="eastAsia"/>
                <w:color w:val="000000" w:themeColor="text1"/>
                <w:kern w:val="0"/>
                <w:sz w:val="20"/>
                <w:szCs w:val="20"/>
                <w:lang w:bidi="ar"/>
                <w14:textFill>
                  <w14:solidFill>
                    <w14:schemeClr w14:val="tx1"/>
                  </w14:solidFill>
                </w14:textFill>
              </w:rPr>
              <w:t>建设</w:t>
            </w:r>
            <w:r>
              <w:rPr>
                <w:color w:val="000000" w:themeColor="text1"/>
                <w:kern w:val="0"/>
                <w:sz w:val="20"/>
                <w:szCs w:val="20"/>
                <w:lang w:bidi="ar"/>
                <w14:textFill>
                  <w14:solidFill>
                    <w14:schemeClr w14:val="tx1"/>
                  </w14:solidFill>
                </w14:textFill>
              </w:rPr>
              <w:t>分拣、流通、生产、加工车间，建筑面积33304.9平方米，制冷机房1栋，面积6000平方米。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14400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通信设备维护生产项目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云南国豪通迅集团有限公司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建设生产车间、调度中心、通信机房等，项目建成后营业额达2.5亿元。</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机床机件设备生产加工中心研发生产基地项目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云南中工机床工业有限公司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项目总用地面积31981.69平方米，总建筑面积47688.72平方米。主要进行机床加工车间、装配车间及配套设施建设。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14900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城市花园高原生态食品研发加工基地建设项目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昆明登文城市花园餐饮管理有限公司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用地21亩，建设集高原生态食品加工、研发、安全检测、培训、网络管理、物流配送为一体的现代化食材加工配送基地。</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16000 </w:t>
            </w:r>
          </w:p>
        </w:tc>
      </w:tr>
      <w:tr>
        <w:tblPrEx>
          <w:tblCellMar>
            <w:top w:w="0" w:type="dxa"/>
            <w:left w:w="0" w:type="dxa"/>
            <w:bottom w:w="0" w:type="dxa"/>
            <w:right w:w="0" w:type="dxa"/>
          </w:tblCellMar>
        </w:tblPrEx>
        <w:trPr>
          <w:trHeight w:val="9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旭邦机械烟草及智能装备研发制造基地项目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昆明旭邦机械有限公司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项目总用地面积14391.94平方米；总建筑面积19991.10平方米，主要建设标准机械加工和机械装配厂房、实验室、电装车间等，集烟草、茶叶、医药、物流、花卉等行业智能装备研发制造基地。</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10500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教育教学装备仓储物流项目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云南华旭教学设备有限公司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总用地面积30.71亩，建设仓储物流基地。</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智能化泵站大数据中心平台项目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昆明嘉和科技股份有限公司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在现有厂房内建成卧式泵测试台和立式泵测试台，在产品上加装传感器，建立数据监测中心，并同步建设数字中心平台、研发中心平台、维保中心平台、供应链中心平台四大中心。</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11105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20</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北京通盈集团工业大麻项目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北京通盈集团</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建设工业大麻的提取及加工、CBD雾化系列产品、工业大麻食品、日化品、保健品、药品、宠物用品及配套产品的加工制造及出口销售项目。</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成都海德康CBD合成项目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成都海德康药业有限公司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从事工业大麻生产制备，建设CBD全合成中心项目。</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电子烟生产线项目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云南麻叶生物科技有限公司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项目主要生产电子烟，其中一期租用标准化厂房，二、三期用地100亩。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华东师范大学工业大麻项目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华东师范大学</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通过工业大麻研发微波和激光激励石墨烯量子点生产工艺与中试设备，建立研究中心。</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云南出版集团项目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云南出版集团</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项目建设3大板块：印刷物资供应板块、出版印刷板块、出版物发行板块。</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保元堂药品及健康产品生产研发项目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云南保元堂药业有限责任公司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项目用地面积45亩，主要建设GMP制剂生产车间（包括胶囊剂、散剂、酒剂、丸剂、片剂、颗粒剂6条生产线）、健康产品科研基地、提取车间、仓库及其它生活配套设施。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13800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11040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云南5G工业互联机器人智能化项目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天津爱码信自动化技术有限公司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总占地25000平方米，计划分2期投资，4年内全部完成，一期投资8000万元，建设期2年；二期投资7000万元，建设周期2年。</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15000 </w:t>
            </w:r>
          </w:p>
        </w:tc>
      </w:tr>
      <w:tr>
        <w:tblPrEx>
          <w:tblCellMar>
            <w:top w:w="0" w:type="dxa"/>
            <w:left w:w="0" w:type="dxa"/>
            <w:bottom w:w="0" w:type="dxa"/>
            <w:right w:w="0" w:type="dxa"/>
          </w:tblCellMar>
        </w:tblPrEx>
        <w:trPr>
          <w:trHeight w:val="346"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斗南花卉综合加工与物流服务中心建设项目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昆明斗南国际花卉产业园区开发有限公司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新建占地130亩，功能配置有花卉加工、仓储、物流功能的花卉中心，服务斗南花卉交易市场。</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云南养瑞集团生产基地项目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云南养瑞集团科技有限公司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用地30亩，建设多层厂房，配套科技、办公用房，用于烟草及烟草配套技术的研发、生产、销售及服务；健康产品的开发、加工。</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r>
      <w:tr>
        <w:tblPrEx>
          <w:tblCellMar>
            <w:top w:w="0" w:type="dxa"/>
            <w:left w:w="0" w:type="dxa"/>
            <w:bottom w:w="0" w:type="dxa"/>
            <w:right w:w="0" w:type="dxa"/>
          </w:tblCellMar>
        </w:tblPrEx>
        <w:trPr>
          <w:trHeight w:val="544"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智能装备研制生产能力提升建设项目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昆船智能技术股份有限公司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主要建设内容为新增工艺设备及智慧工厂产线。</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37592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37000 </w:t>
            </w:r>
          </w:p>
        </w:tc>
      </w:tr>
      <w:tr>
        <w:tblPrEx>
          <w:tblCellMar>
            <w:top w:w="0" w:type="dxa"/>
            <w:left w:w="0" w:type="dxa"/>
            <w:bottom w:w="0" w:type="dxa"/>
            <w:right w:w="0" w:type="dxa"/>
          </w:tblCellMar>
        </w:tblPrEx>
        <w:trPr>
          <w:trHeight w:val="285"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30</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昆明牙膏厂搬迁项目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昆明牙膏厂</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用地规模60亩</w:t>
            </w:r>
            <w:r>
              <w:rPr>
                <w:rFonts w:hint="eastAsia"/>
                <w:color w:val="000000" w:themeColor="text1"/>
                <w:kern w:val="0"/>
                <w:sz w:val="20"/>
                <w:szCs w:val="20"/>
                <w:lang w:bidi="ar"/>
                <w14:textFill>
                  <w14:solidFill>
                    <w14:schemeClr w14:val="tx1"/>
                  </w14:solidFill>
                </w14:textFill>
              </w:rPr>
              <w:t>，搬迁建设牙膏生产线</w:t>
            </w:r>
            <w:r>
              <w:rPr>
                <w:color w:val="000000" w:themeColor="text1"/>
                <w:kern w:val="0"/>
                <w:sz w:val="20"/>
                <w:szCs w:val="20"/>
                <w:lang w:bidi="ar"/>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 </w:t>
            </w:r>
          </w:p>
        </w:tc>
      </w:tr>
      <w:tr>
        <w:tblPrEx>
          <w:tblCellMar>
            <w:top w:w="0" w:type="dxa"/>
            <w:left w:w="0" w:type="dxa"/>
            <w:bottom w:w="0" w:type="dxa"/>
            <w:right w:w="0" w:type="dxa"/>
          </w:tblCellMar>
        </w:tblPrEx>
        <w:trPr>
          <w:trHeight w:val="394"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云南建投云上营家智造中心项目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云南省建设投资控股集团有限公司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核心产业区、检验中心和研发拓展区，占地面积215亩，以装备制造业为基础，定位智能制造、高端装备、新型材料未核心的工业集中区，重点建设包括智能仪器仪表、伺服控制系统、机器人、高档数控机床、高性能液压件等设备，及高端装备制造企业生产厂房为一体的智能智造装备产业园。</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150000 </w:t>
            </w:r>
          </w:p>
        </w:tc>
      </w:tr>
      <w:tr>
        <w:tblPrEx>
          <w:tblCellMar>
            <w:top w:w="0" w:type="dxa"/>
            <w:left w:w="0" w:type="dxa"/>
            <w:bottom w:w="0" w:type="dxa"/>
            <w:right w:w="0" w:type="dxa"/>
          </w:tblCellMar>
        </w:tblPrEx>
        <w:trPr>
          <w:trHeight w:val="16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云南省昆明军民融合军粮综合保障基地项目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云南军粮集团有限公司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商务金融服务局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成品粮仓仓容5500吨；仓间罩棚面积1350平方米；大米加工车间面积2700平台米，加工能力150吨/日；新建冷库（含箱变），面积3384平方米，库容3000吨；主食车间，面积4284平方米，30吨/日米线加工生产线，20吨/日饵丝生产线，10吨/日速热米饭加工生产线，5吨/日馒头生产线；配送物资仓，面积5134平方米；植物油灌装车间面积1936平方米，灌装能力50吨/日；污水处理站改造，综合楼改造，门卫室改造。</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9079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嘉浩物流项目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嘉浩控股有限公司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建设运营全国性的高品质物流服务中心网络，为客户提供现代物流、冷链物流服务。</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40000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菜鸟科技天猫超市项目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菜鸟网络科技有限公司投资</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建设智能束流中心项目，服务于天猫超市、盒马生鲜和阿里数字农业项目，建成后天猫超市昆明项目中心将在我区落地，并独立核算。</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32000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清水片区汽车制造配套产业项目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招商合作局重点引资项目</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汽车零配件等相关产业项目，用地规模500亩。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30000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36</w:t>
            </w:r>
          </w:p>
        </w:tc>
        <w:tc>
          <w:tcPr>
            <w:tcW w:w="202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清水片区装备制造项目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招商合作局重点引资项目</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引进一批先进装备制造企业，建设清水片区装备制造生产基地，用地规模400亩。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37</w:t>
            </w:r>
          </w:p>
        </w:tc>
        <w:tc>
          <w:tcPr>
            <w:tcW w:w="202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清水片区健康产品制造项目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招商合作局重点引资项目</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引进一批健康产品企业，打造健康产品产业集群，用地规模300亩。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38</w:t>
            </w:r>
          </w:p>
        </w:tc>
        <w:tc>
          <w:tcPr>
            <w:tcW w:w="202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清水片区新材料制造项目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招商合作局重点引资项目</w:t>
            </w:r>
          </w:p>
        </w:tc>
        <w:tc>
          <w:tcPr>
            <w:tcW w:w="1253"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引进一批新材料企业项目，打造新型材料产业集群，用地规模200亩。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39</w:t>
            </w:r>
          </w:p>
        </w:tc>
        <w:tc>
          <w:tcPr>
            <w:tcW w:w="202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清水片区仿制药项目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招商合作局重点引资项目</w:t>
            </w:r>
          </w:p>
        </w:tc>
        <w:tc>
          <w:tcPr>
            <w:tcW w:w="1253"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引进仿制药和生物医药相关产业企业入驻，用地规模400亩。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30000</w:t>
            </w:r>
          </w:p>
        </w:tc>
      </w:tr>
      <w:tr>
        <w:tblPrEx>
          <w:tblCellMar>
            <w:top w:w="0" w:type="dxa"/>
            <w:left w:w="0" w:type="dxa"/>
            <w:bottom w:w="0" w:type="dxa"/>
            <w:right w:w="0" w:type="dxa"/>
          </w:tblCellMar>
        </w:tblPrEx>
        <w:trPr>
          <w:trHeight w:val="96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40</w:t>
            </w:r>
          </w:p>
        </w:tc>
        <w:tc>
          <w:tcPr>
            <w:tcW w:w="202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王家营片区物流资源整合升级项目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招商合作局重点引资项目</w:t>
            </w:r>
          </w:p>
        </w:tc>
        <w:tc>
          <w:tcPr>
            <w:tcW w:w="1253"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以商贸物流和铁路口岸物流为支撑，以商贸制造业物流集成、区域分拨及配送组织、多式联运转运、干线物流组织、供应链物流服务、国际物流服务为重点，拓展商品采购、展示和供应链金融服务，用地规模230公顷。</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100000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41</w:t>
            </w:r>
          </w:p>
        </w:tc>
        <w:tc>
          <w:tcPr>
            <w:tcW w:w="202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大冲片区先进制造项目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招商合作局重点引资项目</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引进一批先进制造企业，打造先进装备制造集群，用地规模200亩。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30000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42</w:t>
            </w:r>
          </w:p>
        </w:tc>
        <w:tc>
          <w:tcPr>
            <w:tcW w:w="202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信息产业基地数字经济产业项目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招商合作局重点引资项目</w:t>
            </w:r>
          </w:p>
        </w:tc>
        <w:tc>
          <w:tcPr>
            <w:tcW w:w="1253"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招商合作局</w:t>
            </w:r>
          </w:p>
        </w:tc>
        <w:tc>
          <w:tcPr>
            <w:tcW w:w="49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引进一批数字经济企业，打造数字经济产业集群，用地规模100亩。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出口加工区保税加工项目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商务金融服务局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商务金融服务局</w:t>
            </w:r>
          </w:p>
        </w:tc>
        <w:tc>
          <w:tcPr>
            <w:tcW w:w="49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建设保税加工仓储项目，用地规模约350亩。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105000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50000</w:t>
            </w:r>
          </w:p>
        </w:tc>
      </w:tr>
      <w:tr>
        <w:tblPrEx>
          <w:tblCellMar>
            <w:top w:w="0" w:type="dxa"/>
            <w:left w:w="0" w:type="dxa"/>
            <w:bottom w:w="0" w:type="dxa"/>
            <w:right w:w="0" w:type="dxa"/>
          </w:tblCellMar>
        </w:tblPrEx>
        <w:trPr>
          <w:trHeight w:val="480"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二、基础设施（34项）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1373269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117785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1032379 </w:t>
            </w:r>
          </w:p>
        </w:tc>
      </w:tr>
      <w:tr>
        <w:tblPrEx>
          <w:tblCellMar>
            <w:top w:w="0" w:type="dxa"/>
            <w:left w:w="0" w:type="dxa"/>
            <w:bottom w:w="0" w:type="dxa"/>
            <w:right w:w="0" w:type="dxa"/>
          </w:tblCellMar>
        </w:tblPrEx>
        <w:trPr>
          <w:trHeight w:val="480"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（一）续建（9项）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396044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117785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277300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安石公路市政化改造工程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工程起于小石坝立交，止于黄土坡片区B12道路，全长6806.451米，红线宽度52米，建设内容包含道路工程、桥涵工程、排水工程、交通工程、照明工程、景观绿化工程及防护工程等。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113546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55974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57500 </w:t>
            </w:r>
          </w:p>
        </w:tc>
      </w:tr>
      <w:tr>
        <w:tblPrEx>
          <w:tblCellMar>
            <w:top w:w="0" w:type="dxa"/>
            <w:left w:w="0" w:type="dxa"/>
            <w:bottom w:w="0" w:type="dxa"/>
            <w:right w:w="0" w:type="dxa"/>
          </w:tblCellMar>
        </w:tblPrEx>
        <w:trPr>
          <w:trHeight w:val="96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安石公路市政化改造工程-综合管廊工程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管廊全长8100米，其中三舱（综合舱、污水舱、燃气舱）综合管廊长7080米，双舱（综合舱、燃气舱）综合管廊长1020米，与其他道路相交路段均预留支线管廊接入口。</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128743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22441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106000 </w:t>
            </w:r>
          </w:p>
        </w:tc>
      </w:tr>
      <w:tr>
        <w:tblPrEx>
          <w:tblCellMar>
            <w:top w:w="0" w:type="dxa"/>
            <w:left w:w="0" w:type="dxa"/>
            <w:bottom w:w="0" w:type="dxa"/>
            <w:right w:w="0" w:type="dxa"/>
          </w:tblCellMar>
        </w:tblPrEx>
        <w:trPr>
          <w:trHeight w:val="285"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呈黄路（北段）西辅线</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道路起于经开204，止于呈黄路，全长4203米，规划红线宽30米。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62358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9181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53000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经开256号道路</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道路起于219号路，向北延伸止于261号路,道路全长约360米，道路红线宽度为20米，道路等级为城市支路。</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35495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12394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大观山项目1号道路</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昆明大观山投资开发有限责任公司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投资公司</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大观山项目道路总投资14630万元，长度1410米。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14630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9740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4800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黄土坡1号道路</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道路起于264号路，止于263号路，道路总长145.551米，红线宽20米。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9957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395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9500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经开245号路</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道路起于247号路，向北延伸止于246号路,道路全长约1125米，道路红线宽度为20米，道路等级为城市支路。</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8029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3349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4600 </w:t>
            </w:r>
          </w:p>
        </w:tc>
      </w:tr>
      <w:tr>
        <w:tblPrEx>
          <w:tblCellMar>
            <w:top w:w="0" w:type="dxa"/>
            <w:left w:w="0" w:type="dxa"/>
            <w:bottom w:w="0" w:type="dxa"/>
            <w:right w:w="0" w:type="dxa"/>
          </w:tblCellMar>
        </w:tblPrEx>
        <w:trPr>
          <w:trHeight w:val="261"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昆明经开区市容环境整治提升</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昆明经济技术开发区建设管理有限公司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对昆明经开区春漫大道、顺通大道、云大西路、昌宏路道路红线范围内的整个U型断面进行整治，主要涉及建筑、道路、交通、排水、景观绿化、照明、市政设施工程及城市管理等。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13845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4281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9500 </w:t>
            </w:r>
          </w:p>
        </w:tc>
      </w:tr>
      <w:tr>
        <w:tblPrEx>
          <w:tblCellMar>
            <w:top w:w="0" w:type="dxa"/>
            <w:left w:w="0" w:type="dxa"/>
            <w:bottom w:w="0" w:type="dxa"/>
            <w:right w:w="0" w:type="dxa"/>
          </w:tblCellMar>
        </w:tblPrEx>
        <w:trPr>
          <w:trHeight w:val="120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昆船工业区立体停车场项目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昆明市智慧停车建设运营有限公司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号北门普西地块立体停车场，2号A区门球场地块立体停车场，3号B区402大楼地块立体停车场，4号五舟公司地块立体停车场，5号金凯医院地块立体停车场。项目总用地面积约9658平方米，采用多种机械式立体停车设备建设智慧立体停车库及智能停车系统，新建停车泊位1647个。</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9443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9400 </w:t>
            </w:r>
          </w:p>
        </w:tc>
      </w:tr>
      <w:tr>
        <w:tblPrEx>
          <w:tblCellMar>
            <w:top w:w="0" w:type="dxa"/>
            <w:left w:w="0" w:type="dxa"/>
            <w:bottom w:w="0" w:type="dxa"/>
            <w:right w:w="0" w:type="dxa"/>
          </w:tblCellMar>
        </w:tblPrEx>
        <w:trPr>
          <w:trHeight w:val="478"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（二）新开工（25项）</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977225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755079 </w:t>
            </w:r>
          </w:p>
        </w:tc>
      </w:tr>
      <w:tr>
        <w:tblPrEx>
          <w:tblCellMar>
            <w:top w:w="0" w:type="dxa"/>
            <w:left w:w="0" w:type="dxa"/>
            <w:bottom w:w="0" w:type="dxa"/>
            <w:right w:w="0" w:type="dxa"/>
          </w:tblCellMar>
        </w:tblPrEx>
        <w:trPr>
          <w:trHeight w:val="834"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昆石高速王家营立交改扩建工程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拟将昆石高速与石龙路交叉节点处王家营立交改扩建为全互通城市立交。</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38000</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38000</w:t>
            </w:r>
          </w:p>
        </w:tc>
      </w:tr>
      <w:tr>
        <w:tblPrEx>
          <w:tblCellMar>
            <w:top w:w="0" w:type="dxa"/>
            <w:left w:w="0" w:type="dxa"/>
            <w:bottom w:w="0" w:type="dxa"/>
            <w:right w:w="0" w:type="dxa"/>
          </w:tblCellMar>
        </w:tblPrEx>
        <w:trPr>
          <w:trHeight w:val="120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中国（云南）自由贸易试验区昆明片区经开区域2020年第一期园区基础设施建设项目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7974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87" name="图片 102"/>
                  <wp:cNvGraphicFramePr/>
                  <a:graphic xmlns:a="http://schemas.openxmlformats.org/drawingml/2006/main">
                    <a:graphicData uri="http://schemas.openxmlformats.org/drawingml/2006/picture">
                      <pic:pic xmlns:pic="http://schemas.openxmlformats.org/drawingml/2006/picture">
                        <pic:nvPicPr>
                          <pic:cNvPr id="187" name="图片 102"/>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8076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88" name="图片 103"/>
                  <wp:cNvGraphicFramePr/>
                  <a:graphic xmlns:a="http://schemas.openxmlformats.org/drawingml/2006/main">
                    <a:graphicData uri="http://schemas.openxmlformats.org/drawingml/2006/picture">
                      <pic:pic xmlns:pic="http://schemas.openxmlformats.org/drawingml/2006/picture">
                        <pic:nvPicPr>
                          <pic:cNvPr id="188" name="图片 103"/>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8179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89" name="图片 104"/>
                  <wp:cNvGraphicFramePr/>
                  <a:graphic xmlns:a="http://schemas.openxmlformats.org/drawingml/2006/main">
                    <a:graphicData uri="http://schemas.openxmlformats.org/drawingml/2006/picture">
                      <pic:pic xmlns:pic="http://schemas.openxmlformats.org/drawingml/2006/picture">
                        <pic:nvPicPr>
                          <pic:cNvPr id="189" name="图片 104"/>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8281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90" name="图片 105"/>
                  <wp:cNvGraphicFramePr/>
                  <a:graphic xmlns:a="http://schemas.openxmlformats.org/drawingml/2006/main">
                    <a:graphicData uri="http://schemas.openxmlformats.org/drawingml/2006/picture">
                      <pic:pic xmlns:pic="http://schemas.openxmlformats.org/drawingml/2006/picture">
                        <pic:nvPicPr>
                          <pic:cNvPr id="190" name="图片 105"/>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8384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91" name="图片 106"/>
                  <wp:cNvGraphicFramePr/>
                  <a:graphic xmlns:a="http://schemas.openxmlformats.org/drawingml/2006/main">
                    <a:graphicData uri="http://schemas.openxmlformats.org/drawingml/2006/picture">
                      <pic:pic xmlns:pic="http://schemas.openxmlformats.org/drawingml/2006/picture">
                        <pic:nvPicPr>
                          <pic:cNvPr id="191" name="图片 106"/>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8486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92" name="图片 107"/>
                  <wp:cNvGraphicFramePr/>
                  <a:graphic xmlns:a="http://schemas.openxmlformats.org/drawingml/2006/main">
                    <a:graphicData uri="http://schemas.openxmlformats.org/drawingml/2006/picture">
                      <pic:pic xmlns:pic="http://schemas.openxmlformats.org/drawingml/2006/picture">
                        <pic:nvPicPr>
                          <pic:cNvPr id="192" name="图片 107"/>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8588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93" name="图片 108"/>
                  <wp:cNvGraphicFramePr/>
                  <a:graphic xmlns:a="http://schemas.openxmlformats.org/drawingml/2006/main">
                    <a:graphicData uri="http://schemas.openxmlformats.org/drawingml/2006/picture">
                      <pic:pic xmlns:pic="http://schemas.openxmlformats.org/drawingml/2006/picture">
                        <pic:nvPicPr>
                          <pic:cNvPr id="193" name="图片 108"/>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8691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94" name="图片 109"/>
                  <wp:cNvGraphicFramePr/>
                  <a:graphic xmlns:a="http://schemas.openxmlformats.org/drawingml/2006/main">
                    <a:graphicData uri="http://schemas.openxmlformats.org/drawingml/2006/picture">
                      <pic:pic xmlns:pic="http://schemas.openxmlformats.org/drawingml/2006/picture">
                        <pic:nvPicPr>
                          <pic:cNvPr id="194" name="图片 109"/>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8793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95" name="图片 110"/>
                  <wp:cNvGraphicFramePr/>
                  <a:graphic xmlns:a="http://schemas.openxmlformats.org/drawingml/2006/main">
                    <a:graphicData uri="http://schemas.openxmlformats.org/drawingml/2006/picture">
                      <pic:pic xmlns:pic="http://schemas.openxmlformats.org/drawingml/2006/picture">
                        <pic:nvPicPr>
                          <pic:cNvPr id="195" name="图片 110"/>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8896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96" name="图片 111"/>
                  <wp:cNvGraphicFramePr/>
                  <a:graphic xmlns:a="http://schemas.openxmlformats.org/drawingml/2006/main">
                    <a:graphicData uri="http://schemas.openxmlformats.org/drawingml/2006/picture">
                      <pic:pic xmlns:pic="http://schemas.openxmlformats.org/drawingml/2006/picture">
                        <pic:nvPicPr>
                          <pic:cNvPr id="196" name="图片 111"/>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8998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97" name="图片 112"/>
                  <wp:cNvGraphicFramePr/>
                  <a:graphic xmlns:a="http://schemas.openxmlformats.org/drawingml/2006/main">
                    <a:graphicData uri="http://schemas.openxmlformats.org/drawingml/2006/picture">
                      <pic:pic xmlns:pic="http://schemas.openxmlformats.org/drawingml/2006/picture">
                        <pic:nvPicPr>
                          <pic:cNvPr id="197" name="图片 112"/>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9100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98" name="图片 113"/>
                  <wp:cNvGraphicFramePr/>
                  <a:graphic xmlns:a="http://schemas.openxmlformats.org/drawingml/2006/main">
                    <a:graphicData uri="http://schemas.openxmlformats.org/drawingml/2006/picture">
                      <pic:pic xmlns:pic="http://schemas.openxmlformats.org/drawingml/2006/picture">
                        <pic:nvPicPr>
                          <pic:cNvPr id="198" name="图片 113"/>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9203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199" name="图片 114"/>
                  <wp:cNvGraphicFramePr/>
                  <a:graphic xmlns:a="http://schemas.openxmlformats.org/drawingml/2006/main">
                    <a:graphicData uri="http://schemas.openxmlformats.org/drawingml/2006/picture">
                      <pic:pic xmlns:pic="http://schemas.openxmlformats.org/drawingml/2006/picture">
                        <pic:nvPicPr>
                          <pic:cNvPr id="199" name="图片 114"/>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9305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00" name="图片 115"/>
                  <wp:cNvGraphicFramePr/>
                  <a:graphic xmlns:a="http://schemas.openxmlformats.org/drawingml/2006/main">
                    <a:graphicData uri="http://schemas.openxmlformats.org/drawingml/2006/picture">
                      <pic:pic xmlns:pic="http://schemas.openxmlformats.org/drawingml/2006/picture">
                        <pic:nvPicPr>
                          <pic:cNvPr id="200" name="图片 115"/>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9408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01" name="图片 116"/>
                  <wp:cNvGraphicFramePr/>
                  <a:graphic xmlns:a="http://schemas.openxmlformats.org/drawingml/2006/main">
                    <a:graphicData uri="http://schemas.openxmlformats.org/drawingml/2006/picture">
                      <pic:pic xmlns:pic="http://schemas.openxmlformats.org/drawingml/2006/picture">
                        <pic:nvPicPr>
                          <pic:cNvPr id="201" name="图片 116"/>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9510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02" name="图片 117"/>
                  <wp:cNvGraphicFramePr/>
                  <a:graphic xmlns:a="http://schemas.openxmlformats.org/drawingml/2006/main">
                    <a:graphicData uri="http://schemas.openxmlformats.org/drawingml/2006/picture">
                      <pic:pic xmlns:pic="http://schemas.openxmlformats.org/drawingml/2006/picture">
                        <pic:nvPicPr>
                          <pic:cNvPr id="202" name="图片 117"/>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9612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03" name="图片 118"/>
                  <wp:cNvGraphicFramePr/>
                  <a:graphic xmlns:a="http://schemas.openxmlformats.org/drawingml/2006/main">
                    <a:graphicData uri="http://schemas.openxmlformats.org/drawingml/2006/picture">
                      <pic:pic xmlns:pic="http://schemas.openxmlformats.org/drawingml/2006/picture">
                        <pic:nvPicPr>
                          <pic:cNvPr id="203" name="图片 118"/>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9715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04" name="图片 119"/>
                  <wp:cNvGraphicFramePr/>
                  <a:graphic xmlns:a="http://schemas.openxmlformats.org/drawingml/2006/main">
                    <a:graphicData uri="http://schemas.openxmlformats.org/drawingml/2006/picture">
                      <pic:pic xmlns:pic="http://schemas.openxmlformats.org/drawingml/2006/picture">
                        <pic:nvPicPr>
                          <pic:cNvPr id="204" name="图片 119"/>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9817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05" name="图片 120"/>
                  <wp:cNvGraphicFramePr/>
                  <a:graphic xmlns:a="http://schemas.openxmlformats.org/drawingml/2006/main">
                    <a:graphicData uri="http://schemas.openxmlformats.org/drawingml/2006/picture">
                      <pic:pic xmlns:pic="http://schemas.openxmlformats.org/drawingml/2006/picture">
                        <pic:nvPicPr>
                          <pic:cNvPr id="205" name="图片 120"/>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69920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06" name="图片 121"/>
                  <wp:cNvGraphicFramePr/>
                  <a:graphic xmlns:a="http://schemas.openxmlformats.org/drawingml/2006/main">
                    <a:graphicData uri="http://schemas.openxmlformats.org/drawingml/2006/picture">
                      <pic:pic xmlns:pic="http://schemas.openxmlformats.org/drawingml/2006/picture">
                        <pic:nvPicPr>
                          <pic:cNvPr id="206" name="图片 121"/>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0022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07" name="Picture_1074_SpCnt_8"/>
                  <wp:cNvGraphicFramePr/>
                  <a:graphic xmlns:a="http://schemas.openxmlformats.org/drawingml/2006/main">
                    <a:graphicData uri="http://schemas.openxmlformats.org/drawingml/2006/picture">
                      <pic:pic xmlns:pic="http://schemas.openxmlformats.org/drawingml/2006/picture">
                        <pic:nvPicPr>
                          <pic:cNvPr id="207" name="Picture_1074_SpCnt_8"/>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0124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08" name="Picture_1073_SpCnt_8"/>
                  <wp:cNvGraphicFramePr/>
                  <a:graphic xmlns:a="http://schemas.openxmlformats.org/drawingml/2006/main">
                    <a:graphicData uri="http://schemas.openxmlformats.org/drawingml/2006/picture">
                      <pic:pic xmlns:pic="http://schemas.openxmlformats.org/drawingml/2006/picture">
                        <pic:nvPicPr>
                          <pic:cNvPr id="208" name="Picture_1073_SpCnt_8"/>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0227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09" name="Picture_1075_SpCnt_4"/>
                  <wp:cNvGraphicFramePr/>
                  <a:graphic xmlns:a="http://schemas.openxmlformats.org/drawingml/2006/main">
                    <a:graphicData uri="http://schemas.openxmlformats.org/drawingml/2006/picture">
                      <pic:pic xmlns:pic="http://schemas.openxmlformats.org/drawingml/2006/picture">
                        <pic:nvPicPr>
                          <pic:cNvPr id="209" name="Picture_1075_SpCnt_4"/>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0329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10" name="Picture_1074_SpCnt_9"/>
                  <wp:cNvGraphicFramePr/>
                  <a:graphic xmlns:a="http://schemas.openxmlformats.org/drawingml/2006/main">
                    <a:graphicData uri="http://schemas.openxmlformats.org/drawingml/2006/picture">
                      <pic:pic xmlns:pic="http://schemas.openxmlformats.org/drawingml/2006/picture">
                        <pic:nvPicPr>
                          <pic:cNvPr id="210" name="Picture_1074_SpCnt_9"/>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0432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11" name="Picture_1073_SpCnt_9"/>
                  <wp:cNvGraphicFramePr/>
                  <a:graphic xmlns:a="http://schemas.openxmlformats.org/drawingml/2006/main">
                    <a:graphicData uri="http://schemas.openxmlformats.org/drawingml/2006/picture">
                      <pic:pic xmlns:pic="http://schemas.openxmlformats.org/drawingml/2006/picture">
                        <pic:nvPicPr>
                          <pic:cNvPr id="211" name="Picture_1073_SpCnt_9"/>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0534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12" name="Picture_1074_SpCnt_10"/>
                  <wp:cNvGraphicFramePr/>
                  <a:graphic xmlns:a="http://schemas.openxmlformats.org/drawingml/2006/main">
                    <a:graphicData uri="http://schemas.openxmlformats.org/drawingml/2006/picture">
                      <pic:pic xmlns:pic="http://schemas.openxmlformats.org/drawingml/2006/picture">
                        <pic:nvPicPr>
                          <pic:cNvPr id="212" name="Picture_1074_SpCnt_10"/>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0636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13" name="Picture_1073_SpCnt_10"/>
                  <wp:cNvGraphicFramePr/>
                  <a:graphic xmlns:a="http://schemas.openxmlformats.org/drawingml/2006/main">
                    <a:graphicData uri="http://schemas.openxmlformats.org/drawingml/2006/picture">
                      <pic:pic xmlns:pic="http://schemas.openxmlformats.org/drawingml/2006/picture">
                        <pic:nvPicPr>
                          <pic:cNvPr id="213" name="Picture_1073_SpCnt_10"/>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0739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14" name="Picture_1075_SpCnt_5"/>
                  <wp:cNvGraphicFramePr/>
                  <a:graphic xmlns:a="http://schemas.openxmlformats.org/drawingml/2006/main">
                    <a:graphicData uri="http://schemas.openxmlformats.org/drawingml/2006/picture">
                      <pic:pic xmlns:pic="http://schemas.openxmlformats.org/drawingml/2006/picture">
                        <pic:nvPicPr>
                          <pic:cNvPr id="214" name="Picture_1075_SpCnt_5"/>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0841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15" name="Picture_1074_SpCnt_11"/>
                  <wp:cNvGraphicFramePr/>
                  <a:graphic xmlns:a="http://schemas.openxmlformats.org/drawingml/2006/main">
                    <a:graphicData uri="http://schemas.openxmlformats.org/drawingml/2006/picture">
                      <pic:pic xmlns:pic="http://schemas.openxmlformats.org/drawingml/2006/picture">
                        <pic:nvPicPr>
                          <pic:cNvPr id="215" name="Picture_1074_SpCnt_11"/>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0944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16" name="Picture_1073_SpCnt_11"/>
                  <wp:cNvGraphicFramePr/>
                  <a:graphic xmlns:a="http://schemas.openxmlformats.org/drawingml/2006/main">
                    <a:graphicData uri="http://schemas.openxmlformats.org/drawingml/2006/picture">
                      <pic:pic xmlns:pic="http://schemas.openxmlformats.org/drawingml/2006/picture">
                        <pic:nvPicPr>
                          <pic:cNvPr id="216" name="Picture_1073_SpCnt_11"/>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1046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17" name="Picture_1074_SpCnt_12"/>
                  <wp:cNvGraphicFramePr/>
                  <a:graphic xmlns:a="http://schemas.openxmlformats.org/drawingml/2006/main">
                    <a:graphicData uri="http://schemas.openxmlformats.org/drawingml/2006/picture">
                      <pic:pic xmlns:pic="http://schemas.openxmlformats.org/drawingml/2006/picture">
                        <pic:nvPicPr>
                          <pic:cNvPr id="217" name="Picture_1074_SpCnt_12"/>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1148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18" name="Picture_1073_SpCnt_12"/>
                  <wp:cNvGraphicFramePr/>
                  <a:graphic xmlns:a="http://schemas.openxmlformats.org/drawingml/2006/main">
                    <a:graphicData uri="http://schemas.openxmlformats.org/drawingml/2006/picture">
                      <pic:pic xmlns:pic="http://schemas.openxmlformats.org/drawingml/2006/picture">
                        <pic:nvPicPr>
                          <pic:cNvPr id="218" name="Picture_1073_SpCnt_12"/>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1251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19" name="Picture_1075_SpCnt_6"/>
                  <wp:cNvGraphicFramePr/>
                  <a:graphic xmlns:a="http://schemas.openxmlformats.org/drawingml/2006/main">
                    <a:graphicData uri="http://schemas.openxmlformats.org/drawingml/2006/picture">
                      <pic:pic xmlns:pic="http://schemas.openxmlformats.org/drawingml/2006/picture">
                        <pic:nvPicPr>
                          <pic:cNvPr id="219" name="Picture_1075_SpCnt_6"/>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1353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20" name="Picture_1074_SpCnt_13"/>
                  <wp:cNvGraphicFramePr/>
                  <a:graphic xmlns:a="http://schemas.openxmlformats.org/drawingml/2006/main">
                    <a:graphicData uri="http://schemas.openxmlformats.org/drawingml/2006/picture">
                      <pic:pic xmlns:pic="http://schemas.openxmlformats.org/drawingml/2006/picture">
                        <pic:nvPicPr>
                          <pic:cNvPr id="220" name="Picture_1074_SpCnt_13"/>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1456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21" name="Picture_1074_SpCnt_14"/>
                  <wp:cNvGraphicFramePr/>
                  <a:graphic xmlns:a="http://schemas.openxmlformats.org/drawingml/2006/main">
                    <a:graphicData uri="http://schemas.openxmlformats.org/drawingml/2006/picture">
                      <pic:pic xmlns:pic="http://schemas.openxmlformats.org/drawingml/2006/picture">
                        <pic:nvPicPr>
                          <pic:cNvPr id="221" name="Picture_1074_SpCnt_14"/>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1558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22" name="Picture_1073_SpCnt_13"/>
                  <wp:cNvGraphicFramePr/>
                  <a:graphic xmlns:a="http://schemas.openxmlformats.org/drawingml/2006/main">
                    <a:graphicData uri="http://schemas.openxmlformats.org/drawingml/2006/picture">
                      <pic:pic xmlns:pic="http://schemas.openxmlformats.org/drawingml/2006/picture">
                        <pic:nvPicPr>
                          <pic:cNvPr id="222" name="Picture_1073_SpCnt_13"/>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1660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23" name="Picture_1075_SpCnt_7"/>
                  <wp:cNvGraphicFramePr/>
                  <a:graphic xmlns:a="http://schemas.openxmlformats.org/drawingml/2006/main">
                    <a:graphicData uri="http://schemas.openxmlformats.org/drawingml/2006/picture">
                      <pic:pic xmlns:pic="http://schemas.openxmlformats.org/drawingml/2006/picture">
                        <pic:nvPicPr>
                          <pic:cNvPr id="223" name="Picture_1075_SpCnt_7"/>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1763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24" name="Picture_1074_SpCnt_15"/>
                  <wp:cNvGraphicFramePr/>
                  <a:graphic xmlns:a="http://schemas.openxmlformats.org/drawingml/2006/main">
                    <a:graphicData uri="http://schemas.openxmlformats.org/drawingml/2006/picture">
                      <pic:pic xmlns:pic="http://schemas.openxmlformats.org/drawingml/2006/picture">
                        <pic:nvPicPr>
                          <pic:cNvPr id="224" name="Picture_1074_SpCnt_15"/>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1865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25" name="Picture_1073_SpCnt_14"/>
                  <wp:cNvGraphicFramePr/>
                  <a:graphic xmlns:a="http://schemas.openxmlformats.org/drawingml/2006/main">
                    <a:graphicData uri="http://schemas.openxmlformats.org/drawingml/2006/picture">
                      <pic:pic xmlns:pic="http://schemas.openxmlformats.org/drawingml/2006/picture">
                        <pic:nvPicPr>
                          <pic:cNvPr id="225" name="Picture_1073_SpCnt_14"/>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1968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26" name="Picture_1074_SpCnt_16"/>
                  <wp:cNvGraphicFramePr/>
                  <a:graphic xmlns:a="http://schemas.openxmlformats.org/drawingml/2006/main">
                    <a:graphicData uri="http://schemas.openxmlformats.org/drawingml/2006/picture">
                      <pic:pic xmlns:pic="http://schemas.openxmlformats.org/drawingml/2006/picture">
                        <pic:nvPicPr>
                          <pic:cNvPr id="226" name="Picture_1074_SpCnt_16"/>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2070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27" name="Picture_1073_SpCnt_15"/>
                  <wp:cNvGraphicFramePr/>
                  <a:graphic xmlns:a="http://schemas.openxmlformats.org/drawingml/2006/main">
                    <a:graphicData uri="http://schemas.openxmlformats.org/drawingml/2006/picture">
                      <pic:pic xmlns:pic="http://schemas.openxmlformats.org/drawingml/2006/picture">
                        <pic:nvPicPr>
                          <pic:cNvPr id="227" name="Picture_1073_SpCnt_15"/>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2172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28" name="Picture_1075_SpCnt_8"/>
                  <wp:cNvGraphicFramePr/>
                  <a:graphic xmlns:a="http://schemas.openxmlformats.org/drawingml/2006/main">
                    <a:graphicData uri="http://schemas.openxmlformats.org/drawingml/2006/picture">
                      <pic:pic xmlns:pic="http://schemas.openxmlformats.org/drawingml/2006/picture">
                        <pic:nvPicPr>
                          <pic:cNvPr id="228" name="Picture_1075_SpCnt_8"/>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2275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29" name="Picture_1074_SpCnt_17"/>
                  <wp:cNvGraphicFramePr/>
                  <a:graphic xmlns:a="http://schemas.openxmlformats.org/drawingml/2006/main">
                    <a:graphicData uri="http://schemas.openxmlformats.org/drawingml/2006/picture">
                      <pic:pic xmlns:pic="http://schemas.openxmlformats.org/drawingml/2006/picture">
                        <pic:nvPicPr>
                          <pic:cNvPr id="229" name="Picture_1074_SpCnt_17"/>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2377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30" name="Picture_1073_SpCnt_16"/>
                  <wp:cNvGraphicFramePr/>
                  <a:graphic xmlns:a="http://schemas.openxmlformats.org/drawingml/2006/main">
                    <a:graphicData uri="http://schemas.openxmlformats.org/drawingml/2006/picture">
                      <pic:pic xmlns:pic="http://schemas.openxmlformats.org/drawingml/2006/picture">
                        <pic:nvPicPr>
                          <pic:cNvPr id="230" name="Picture_1073_SpCnt_16"/>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2480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31" name="Picture_1074_SpCnt_18"/>
                  <wp:cNvGraphicFramePr/>
                  <a:graphic xmlns:a="http://schemas.openxmlformats.org/drawingml/2006/main">
                    <a:graphicData uri="http://schemas.openxmlformats.org/drawingml/2006/picture">
                      <pic:pic xmlns:pic="http://schemas.openxmlformats.org/drawingml/2006/picture">
                        <pic:nvPicPr>
                          <pic:cNvPr id="231" name="Picture_1074_SpCnt_18"/>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2582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32" name="Picture_1073_SpCnt_17"/>
                  <wp:cNvGraphicFramePr/>
                  <a:graphic xmlns:a="http://schemas.openxmlformats.org/drawingml/2006/main">
                    <a:graphicData uri="http://schemas.openxmlformats.org/drawingml/2006/picture">
                      <pic:pic xmlns:pic="http://schemas.openxmlformats.org/drawingml/2006/picture">
                        <pic:nvPicPr>
                          <pic:cNvPr id="232" name="Picture_1073_SpCnt_17"/>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2684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33" name="Picture_1075_SpCnt_9"/>
                  <wp:cNvGraphicFramePr/>
                  <a:graphic xmlns:a="http://schemas.openxmlformats.org/drawingml/2006/main">
                    <a:graphicData uri="http://schemas.openxmlformats.org/drawingml/2006/picture">
                      <pic:pic xmlns:pic="http://schemas.openxmlformats.org/drawingml/2006/picture">
                        <pic:nvPicPr>
                          <pic:cNvPr id="233" name="Picture_1075_SpCnt_9"/>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2787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34" name="Picture_1074_SpCnt_19"/>
                  <wp:cNvGraphicFramePr/>
                  <a:graphic xmlns:a="http://schemas.openxmlformats.org/drawingml/2006/main">
                    <a:graphicData uri="http://schemas.openxmlformats.org/drawingml/2006/picture">
                      <pic:pic xmlns:pic="http://schemas.openxmlformats.org/drawingml/2006/picture">
                        <pic:nvPicPr>
                          <pic:cNvPr id="234" name="Picture_1074_SpCnt_19"/>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2889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35" name="Picture_1073_SpCnt_18"/>
                  <wp:cNvGraphicFramePr/>
                  <a:graphic xmlns:a="http://schemas.openxmlformats.org/drawingml/2006/main">
                    <a:graphicData uri="http://schemas.openxmlformats.org/drawingml/2006/picture">
                      <pic:pic xmlns:pic="http://schemas.openxmlformats.org/drawingml/2006/picture">
                        <pic:nvPicPr>
                          <pic:cNvPr id="235" name="Picture_1073_SpCnt_18"/>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2992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36" name="Picture_1073_SpCnt_19"/>
                  <wp:cNvGraphicFramePr/>
                  <a:graphic xmlns:a="http://schemas.openxmlformats.org/drawingml/2006/main">
                    <a:graphicData uri="http://schemas.openxmlformats.org/drawingml/2006/picture">
                      <pic:pic xmlns:pic="http://schemas.openxmlformats.org/drawingml/2006/picture">
                        <pic:nvPicPr>
                          <pic:cNvPr id="236" name="Picture_1073_SpCnt_19"/>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3094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37" name="Picture_1075_SpCnt_10"/>
                  <wp:cNvGraphicFramePr/>
                  <a:graphic xmlns:a="http://schemas.openxmlformats.org/drawingml/2006/main">
                    <a:graphicData uri="http://schemas.openxmlformats.org/drawingml/2006/picture">
                      <pic:pic xmlns:pic="http://schemas.openxmlformats.org/drawingml/2006/picture">
                        <pic:nvPicPr>
                          <pic:cNvPr id="237" name="Picture_1075_SpCnt_10"/>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3196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38" name="Picture_1074_SpCnt_20"/>
                  <wp:cNvGraphicFramePr/>
                  <a:graphic xmlns:a="http://schemas.openxmlformats.org/drawingml/2006/main">
                    <a:graphicData uri="http://schemas.openxmlformats.org/drawingml/2006/picture">
                      <pic:pic xmlns:pic="http://schemas.openxmlformats.org/drawingml/2006/picture">
                        <pic:nvPicPr>
                          <pic:cNvPr id="238" name="Picture_1074_SpCnt_20"/>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3299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39" name="Picture_1073_SpCnt_20"/>
                  <wp:cNvGraphicFramePr/>
                  <a:graphic xmlns:a="http://schemas.openxmlformats.org/drawingml/2006/main">
                    <a:graphicData uri="http://schemas.openxmlformats.org/drawingml/2006/picture">
                      <pic:pic xmlns:pic="http://schemas.openxmlformats.org/drawingml/2006/picture">
                        <pic:nvPicPr>
                          <pic:cNvPr id="239" name="Picture_1073_SpCnt_20"/>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3401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40" name="Picture_1074_SpCnt_21"/>
                  <wp:cNvGraphicFramePr/>
                  <a:graphic xmlns:a="http://schemas.openxmlformats.org/drawingml/2006/main">
                    <a:graphicData uri="http://schemas.openxmlformats.org/drawingml/2006/picture">
                      <pic:pic xmlns:pic="http://schemas.openxmlformats.org/drawingml/2006/picture">
                        <pic:nvPicPr>
                          <pic:cNvPr id="240" name="Picture_1074_SpCnt_21"/>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3504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41" name="Picture_1073_SpCnt_21"/>
                  <wp:cNvGraphicFramePr/>
                  <a:graphic xmlns:a="http://schemas.openxmlformats.org/drawingml/2006/main">
                    <a:graphicData uri="http://schemas.openxmlformats.org/drawingml/2006/picture">
                      <pic:pic xmlns:pic="http://schemas.openxmlformats.org/drawingml/2006/picture">
                        <pic:nvPicPr>
                          <pic:cNvPr id="241" name="Picture_1073_SpCnt_21"/>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36064"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42" name="Picture_1073_SpCnt_22"/>
                  <wp:cNvGraphicFramePr/>
                  <a:graphic xmlns:a="http://schemas.openxmlformats.org/drawingml/2006/main">
                    <a:graphicData uri="http://schemas.openxmlformats.org/drawingml/2006/picture">
                      <pic:pic xmlns:pic="http://schemas.openxmlformats.org/drawingml/2006/picture">
                        <pic:nvPicPr>
                          <pic:cNvPr id="242" name="Picture_1073_SpCnt_22"/>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37088"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43" name="Picture_1075_SpCnt_11"/>
                  <wp:cNvGraphicFramePr/>
                  <a:graphic xmlns:a="http://schemas.openxmlformats.org/drawingml/2006/main">
                    <a:graphicData uri="http://schemas.openxmlformats.org/drawingml/2006/picture">
                      <pic:pic xmlns:pic="http://schemas.openxmlformats.org/drawingml/2006/picture">
                        <pic:nvPicPr>
                          <pic:cNvPr id="243" name="Picture_1075_SpCnt_11"/>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38112"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44" name="Picture_1074_SpCnt_22"/>
                  <wp:cNvGraphicFramePr/>
                  <a:graphic xmlns:a="http://schemas.openxmlformats.org/drawingml/2006/main">
                    <a:graphicData uri="http://schemas.openxmlformats.org/drawingml/2006/picture">
                      <pic:pic xmlns:pic="http://schemas.openxmlformats.org/drawingml/2006/picture">
                        <pic:nvPicPr>
                          <pic:cNvPr id="244" name="Picture_1074_SpCnt_22"/>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39136"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45" name="Picture_1074_SpCnt_23"/>
                  <wp:cNvGraphicFramePr/>
                  <a:graphic xmlns:a="http://schemas.openxmlformats.org/drawingml/2006/main">
                    <a:graphicData uri="http://schemas.openxmlformats.org/drawingml/2006/picture">
                      <pic:pic xmlns:pic="http://schemas.openxmlformats.org/drawingml/2006/picture">
                        <pic:nvPicPr>
                          <pic:cNvPr id="245" name="Picture_1074_SpCnt_23"/>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bdr w:val="single" w:color="000000" w:sz="4" w:space="0"/>
                <w14:textFill>
                  <w14:solidFill>
                    <w14:schemeClr w14:val="tx1"/>
                  </w14:solidFill>
                </w14:textFill>
              </w:rPr>
              <w:drawing>
                <wp:anchor distT="0" distB="0" distL="114300" distR="114300" simplePos="0" relativeHeight="251740160" behindDoc="0" locked="0" layoutInCell="1" allowOverlap="1">
                  <wp:simplePos x="0" y="0"/>
                  <wp:positionH relativeFrom="column">
                    <wp:posOffset>675005</wp:posOffset>
                  </wp:positionH>
                  <wp:positionV relativeFrom="paragraph">
                    <wp:posOffset>0</wp:posOffset>
                  </wp:positionV>
                  <wp:extent cx="11430" cy="19685"/>
                  <wp:effectExtent l="0" t="0" r="0" b="0"/>
                  <wp:wrapNone/>
                  <wp:docPr id="246" name="Picture_1073_SpCnt_23"/>
                  <wp:cNvGraphicFramePr/>
                  <a:graphic xmlns:a="http://schemas.openxmlformats.org/drawingml/2006/main">
                    <a:graphicData uri="http://schemas.openxmlformats.org/drawingml/2006/picture">
                      <pic:pic xmlns:pic="http://schemas.openxmlformats.org/drawingml/2006/picture">
                        <pic:nvPicPr>
                          <pic:cNvPr id="246" name="Picture_1073_SpCnt_23"/>
                          <pic:cNvPicPr/>
                        </pic:nvPicPr>
                        <pic:blipFill>
                          <a:blip r:embed="rId34"/>
                          <a:stretch>
                            <a:fillRect/>
                          </a:stretch>
                        </pic:blipFill>
                        <pic:spPr>
                          <a:xfrm>
                            <a:off x="0" y="0"/>
                            <a:ext cx="11430" cy="19685"/>
                          </a:xfrm>
                          <a:prstGeom prst="rect">
                            <a:avLst/>
                          </a:prstGeom>
                          <a:noFill/>
                          <a:ln>
                            <a:noFill/>
                          </a:ln>
                        </pic:spPr>
                      </pic:pic>
                    </a:graphicData>
                  </a:graphic>
                </wp:anchor>
              </w:drawing>
            </w:r>
            <w:r>
              <w:rPr>
                <w:color w:val="000000" w:themeColor="text1"/>
                <w:kern w:val="0"/>
                <w:sz w:val="20"/>
                <w:szCs w:val="20"/>
                <w:lang w:bidi="ar"/>
                <w14:textFill>
                  <w14:solidFill>
                    <w14:schemeClr w14:val="tx1"/>
                  </w14:solidFill>
                </w14:textFill>
              </w:rPr>
              <w:t>包含经开103号路地下综合管廊及经开204号路西段综合管廊。经开103号路地下综合管廊长5191米，断面形式单层两仓；经开204号路西段综合管廊长2200米，断面形式单层两仓。</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57661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57661 </w:t>
            </w:r>
          </w:p>
        </w:tc>
      </w:tr>
      <w:tr>
        <w:tblPrEx>
          <w:tblCellMar>
            <w:top w:w="0" w:type="dxa"/>
            <w:left w:w="0" w:type="dxa"/>
            <w:bottom w:w="0" w:type="dxa"/>
            <w:right w:w="0" w:type="dxa"/>
          </w:tblCellMar>
        </w:tblPrEx>
        <w:trPr>
          <w:trHeight w:val="924"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出口加工区北向交通改造</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含2处下穿铁路框架桥，博望路北段、云大北路、出口加工区23号路、浦新路东段，总长2.41公里，宽25-35米。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103213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103213 </w:t>
            </w:r>
          </w:p>
        </w:tc>
      </w:tr>
      <w:tr>
        <w:tblPrEx>
          <w:tblCellMar>
            <w:top w:w="0" w:type="dxa"/>
            <w:left w:w="0" w:type="dxa"/>
            <w:bottom w:w="0" w:type="dxa"/>
            <w:right w:w="0" w:type="dxa"/>
          </w:tblCellMar>
        </w:tblPrEx>
        <w:trPr>
          <w:trHeight w:val="85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茶高山连接绕城高速段道路工程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南起云霞路，北止于绕城高速，主线长997米、宽30米。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39178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39178 </w:t>
            </w:r>
          </w:p>
        </w:tc>
      </w:tr>
      <w:tr>
        <w:tblPrEx>
          <w:tblCellMar>
            <w:top w:w="0" w:type="dxa"/>
            <w:left w:w="0" w:type="dxa"/>
            <w:bottom w:w="0" w:type="dxa"/>
            <w:right w:w="0" w:type="dxa"/>
          </w:tblCellMar>
        </w:tblPrEx>
        <w:trPr>
          <w:trHeight w:val="695"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商贸大街北段</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起于呈荣大道、跨越马料河、止于林溪路，长1918米、宽40米。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24500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19600</w:t>
            </w:r>
          </w:p>
        </w:tc>
      </w:tr>
      <w:tr>
        <w:tblPrEx>
          <w:tblCellMar>
            <w:top w:w="0" w:type="dxa"/>
            <w:left w:w="0" w:type="dxa"/>
            <w:bottom w:w="0" w:type="dxa"/>
            <w:right w:w="0" w:type="dxa"/>
          </w:tblCellMar>
        </w:tblPrEx>
        <w:trPr>
          <w:trHeight w:val="638"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林溪路跨线桥</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实施桥梁建设工作，修建长度416米，跨线桥标准段红线宽49.5米，道路等级为主线城市主干道，设计车速60km/h。</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9200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7360</w:t>
            </w:r>
          </w:p>
        </w:tc>
      </w:tr>
      <w:tr>
        <w:tblPrEx>
          <w:tblCellMar>
            <w:top w:w="0" w:type="dxa"/>
            <w:left w:w="0" w:type="dxa"/>
            <w:bottom w:w="0" w:type="dxa"/>
            <w:right w:w="0" w:type="dxa"/>
          </w:tblCellMar>
        </w:tblPrEx>
        <w:trPr>
          <w:trHeight w:val="834"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昆明经济技术开发区昌宏路下穿贵昆公路隧道工程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包含昌宏路下穿隧道及两侧右进右匝道，下穿隧道长为380米，右进匝道总长270米，右出匝道总长220米。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31838</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31000</w:t>
            </w:r>
          </w:p>
        </w:tc>
      </w:tr>
      <w:tr>
        <w:tblPrEx>
          <w:tblCellMar>
            <w:top w:w="0" w:type="dxa"/>
            <w:left w:w="0" w:type="dxa"/>
            <w:bottom w:w="0" w:type="dxa"/>
            <w:right w:w="0" w:type="dxa"/>
          </w:tblCellMar>
        </w:tblPrEx>
        <w:trPr>
          <w:trHeight w:val="71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呈黄路东辅线（南段）工程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起于广福路东延线、止于石安公路，长约4500米、宽度40米。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64400</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64000</w:t>
            </w:r>
          </w:p>
        </w:tc>
      </w:tr>
      <w:tr>
        <w:tblPrEx>
          <w:tblCellMar>
            <w:top w:w="0" w:type="dxa"/>
            <w:left w:w="0" w:type="dxa"/>
            <w:bottom w:w="0" w:type="dxa"/>
            <w:right w:w="0" w:type="dxa"/>
          </w:tblCellMar>
        </w:tblPrEx>
        <w:trPr>
          <w:trHeight w:val="73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经开225号道路</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起于204号路，止于103号路，长2930米、宽40米。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46558</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46000</w:t>
            </w:r>
          </w:p>
        </w:tc>
      </w:tr>
      <w:tr>
        <w:tblPrEx>
          <w:tblCellMar>
            <w:top w:w="0" w:type="dxa"/>
            <w:left w:w="0" w:type="dxa"/>
            <w:bottom w:w="0" w:type="dxa"/>
            <w:right w:w="0" w:type="dxa"/>
          </w:tblCellMar>
        </w:tblPrEx>
        <w:trPr>
          <w:trHeight w:val="120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10</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“雪亮工程”项目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工业和科技局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智能视频监控采集系统、视频图像资源整合共享平台、视频图像联网平台、视频图像解析中心、视频图像社会资源共享服务平台、社会综治视联网平台、视频图像信息数据库、实战应用平台、网络传输系统与安全系统、综合运维管理平台、分局及派出所模块化机房系统、综治中心等内容。</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13219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13219 </w:t>
            </w:r>
          </w:p>
        </w:tc>
      </w:tr>
      <w:tr>
        <w:tblPrEx>
          <w:tblCellMar>
            <w:top w:w="0" w:type="dxa"/>
            <w:left w:w="0" w:type="dxa"/>
            <w:bottom w:w="0" w:type="dxa"/>
            <w:right w:w="0" w:type="dxa"/>
          </w:tblCellMar>
        </w:tblPrEx>
        <w:trPr>
          <w:trHeight w:val="607"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135号路（呈运大道东段）工程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道路全长2783.028米，红线宽度60米。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46657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45000</w:t>
            </w:r>
          </w:p>
        </w:tc>
      </w:tr>
      <w:tr>
        <w:tblPrEx>
          <w:tblCellMar>
            <w:top w:w="0" w:type="dxa"/>
            <w:left w:w="0" w:type="dxa"/>
            <w:bottom w:w="0" w:type="dxa"/>
            <w:right w:w="0" w:type="dxa"/>
          </w:tblCellMar>
        </w:tblPrEx>
        <w:trPr>
          <w:trHeight w:val="586"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经开103号路北段道路工程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道路全长6940米，红线宽50米。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170741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80000</w:t>
            </w:r>
          </w:p>
        </w:tc>
      </w:tr>
      <w:tr>
        <w:tblPrEx>
          <w:tblCellMar>
            <w:top w:w="0" w:type="dxa"/>
            <w:left w:w="0" w:type="dxa"/>
            <w:bottom w:w="0" w:type="dxa"/>
            <w:right w:w="0" w:type="dxa"/>
          </w:tblCellMar>
        </w:tblPrEx>
        <w:trPr>
          <w:trHeight w:val="699"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昆明经开区16号路</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道路起于安石公路，止于204号路，全长约1410米，红线宽度30米。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8000</w:t>
            </w:r>
          </w:p>
        </w:tc>
      </w:tr>
      <w:tr>
        <w:tblPrEx>
          <w:tblCellMar>
            <w:top w:w="0" w:type="dxa"/>
            <w:left w:w="0" w:type="dxa"/>
            <w:bottom w:w="0" w:type="dxa"/>
            <w:right w:w="0" w:type="dxa"/>
          </w:tblCellMar>
        </w:tblPrEx>
        <w:trPr>
          <w:trHeight w:val="695"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昆明经开区155号路</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道路起于103号道路，止于呈运大道，全长约1300米，红线宽度40米。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8360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6688</w:t>
            </w:r>
          </w:p>
        </w:tc>
      </w:tr>
      <w:tr>
        <w:tblPrEx>
          <w:tblCellMar>
            <w:top w:w="0" w:type="dxa"/>
            <w:left w:w="0" w:type="dxa"/>
            <w:bottom w:w="0" w:type="dxa"/>
            <w:right w:w="0" w:type="dxa"/>
          </w:tblCellMar>
        </w:tblPrEx>
        <w:trPr>
          <w:trHeight w:val="756"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经开219道路（西段）</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道路东至204号道路，西至320国道，全长约3.05公里，道路红线30米。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34000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27200</w:t>
            </w:r>
          </w:p>
        </w:tc>
      </w:tr>
      <w:tr>
        <w:tblPrEx>
          <w:tblCellMar>
            <w:top w:w="0" w:type="dxa"/>
            <w:left w:w="0" w:type="dxa"/>
            <w:bottom w:w="0" w:type="dxa"/>
            <w:right w:w="0" w:type="dxa"/>
          </w:tblCellMar>
        </w:tblPrEx>
        <w:trPr>
          <w:trHeight w:val="731"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经开207号道路</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道路东至204号道路，西至320国道，全长约3.02公里，道路红线40米。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50700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40560</w:t>
            </w:r>
          </w:p>
        </w:tc>
      </w:tr>
      <w:tr>
        <w:tblPrEx>
          <w:tblCellMar>
            <w:top w:w="0" w:type="dxa"/>
            <w:left w:w="0" w:type="dxa"/>
            <w:bottom w:w="0" w:type="dxa"/>
            <w:right w:w="0" w:type="dxa"/>
          </w:tblCellMar>
        </w:tblPrEx>
        <w:trPr>
          <w:trHeight w:val="691"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呈黄路及204号路（东段）综合管廊</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建设连接呈黄路及204号路（东段）综合管廊。</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60000</w:t>
            </w:r>
          </w:p>
        </w:tc>
      </w:tr>
      <w:tr>
        <w:tblPrEx>
          <w:tblCellMar>
            <w:top w:w="0" w:type="dxa"/>
            <w:left w:w="0" w:type="dxa"/>
            <w:bottom w:w="0" w:type="dxa"/>
            <w:right w:w="0" w:type="dxa"/>
          </w:tblCellMar>
        </w:tblPrEx>
        <w:trPr>
          <w:trHeight w:val="596"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经开290号路（南段）</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华飞小新册项目配套道路。</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4000</w:t>
            </w:r>
          </w:p>
        </w:tc>
      </w:tr>
      <w:tr>
        <w:tblPrEx>
          <w:tblCellMar>
            <w:top w:w="0" w:type="dxa"/>
            <w:left w:w="0" w:type="dxa"/>
            <w:bottom w:w="0" w:type="dxa"/>
            <w:right w:w="0" w:type="dxa"/>
          </w:tblCellMar>
        </w:tblPrEx>
        <w:trPr>
          <w:trHeight w:val="561"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农垦路市政化改造工程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农垦物流新建项目配套道路。</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6400</w:t>
            </w:r>
          </w:p>
        </w:tc>
      </w:tr>
      <w:tr>
        <w:tblPrEx>
          <w:tblCellMar>
            <w:top w:w="0" w:type="dxa"/>
            <w:left w:w="0" w:type="dxa"/>
            <w:bottom w:w="0" w:type="dxa"/>
            <w:right w:w="0" w:type="dxa"/>
          </w:tblCellMar>
        </w:tblPrEx>
        <w:trPr>
          <w:trHeight w:val="608"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20</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农垦物流北侧配套道路</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农垦物流新建项目配套道路。</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4000</w:t>
            </w:r>
          </w:p>
        </w:tc>
      </w:tr>
      <w:tr>
        <w:tblPrEx>
          <w:tblCellMar>
            <w:top w:w="0" w:type="dxa"/>
            <w:left w:w="0" w:type="dxa"/>
            <w:bottom w:w="0" w:type="dxa"/>
            <w:right w:w="0" w:type="dxa"/>
          </w:tblCellMar>
        </w:tblPrEx>
        <w:trPr>
          <w:trHeight w:val="741"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21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玉缘路下穿昆玉高速工程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道路起于玉缘路至于官渡11号路，全长约300米，红线宽度40米。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8000</w:t>
            </w:r>
          </w:p>
        </w:tc>
      </w:tr>
      <w:tr>
        <w:tblPrEx>
          <w:tblCellMar>
            <w:top w:w="0" w:type="dxa"/>
            <w:left w:w="0" w:type="dxa"/>
            <w:bottom w:w="0" w:type="dxa"/>
            <w:right w:w="0" w:type="dxa"/>
          </w:tblCellMar>
        </w:tblPrEx>
        <w:trPr>
          <w:trHeight w:val="772"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22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经景路西段工程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道路起于经景路至于昆洛公路，全长约1000米，红线宽度30米。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16000</w:t>
            </w:r>
          </w:p>
        </w:tc>
      </w:tr>
      <w:tr>
        <w:tblPrEx>
          <w:tblCellMar>
            <w:top w:w="0" w:type="dxa"/>
            <w:left w:w="0" w:type="dxa"/>
            <w:bottom w:w="0" w:type="dxa"/>
            <w:right w:w="0" w:type="dxa"/>
          </w:tblCellMar>
        </w:tblPrEx>
        <w:trPr>
          <w:trHeight w:val="756"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23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103号路下穿昆玉高速节点工程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道路下穿高速公路节点工程。</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8000</w:t>
            </w:r>
          </w:p>
        </w:tc>
      </w:tr>
      <w:tr>
        <w:tblPrEx>
          <w:tblCellMar>
            <w:top w:w="0" w:type="dxa"/>
            <w:left w:w="0" w:type="dxa"/>
            <w:bottom w:w="0" w:type="dxa"/>
            <w:right w:w="0" w:type="dxa"/>
          </w:tblCellMar>
        </w:tblPrEx>
        <w:trPr>
          <w:trHeight w:val="545"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24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信息产业基地连接出口加工区隧道工程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隧道节点工程。</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4000</w:t>
            </w:r>
          </w:p>
        </w:tc>
      </w:tr>
      <w:tr>
        <w:tblPrEx>
          <w:tblCellMar>
            <w:top w:w="0" w:type="dxa"/>
            <w:left w:w="0" w:type="dxa"/>
            <w:bottom w:w="0" w:type="dxa"/>
            <w:right w:w="0" w:type="dxa"/>
          </w:tblCellMar>
        </w:tblPrEx>
        <w:trPr>
          <w:trHeight w:val="587"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25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经开区加油站建设项目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商务金融服务局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商务金融服务局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color w:val="000000" w:themeColor="text1"/>
                <w:kern w:val="0"/>
                <w:sz w:val="20"/>
                <w:szCs w:val="20"/>
                <w:lang w:bidi="ar"/>
                <w14:textFill>
                  <w14:solidFill>
                    <w14:schemeClr w14:val="tx1"/>
                  </w14:solidFill>
                </w14:textFill>
              </w:rPr>
              <w:t>新建加油站6座。</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18000</w:t>
            </w:r>
          </w:p>
        </w:tc>
      </w:tr>
      <w:tr>
        <w:tblPrEx>
          <w:tblCellMar>
            <w:top w:w="0" w:type="dxa"/>
            <w:left w:w="0" w:type="dxa"/>
            <w:bottom w:w="0" w:type="dxa"/>
            <w:right w:w="0" w:type="dxa"/>
          </w:tblCellMar>
        </w:tblPrEx>
        <w:trPr>
          <w:trHeight w:val="391"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三、生态环境保护及治理（8项）</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210171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68137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112100 </w:t>
            </w:r>
          </w:p>
        </w:tc>
      </w:tr>
      <w:tr>
        <w:tblPrEx>
          <w:tblCellMar>
            <w:top w:w="0" w:type="dxa"/>
            <w:left w:w="0" w:type="dxa"/>
            <w:bottom w:w="0" w:type="dxa"/>
            <w:right w:w="0" w:type="dxa"/>
          </w:tblCellMar>
        </w:tblPrEx>
        <w:trPr>
          <w:trHeight w:val="411"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(一)续建（6项）</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194192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68137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96200 </w:t>
            </w:r>
          </w:p>
        </w:tc>
      </w:tr>
      <w:tr>
        <w:tblPrEx>
          <w:tblCellMar>
            <w:top w:w="0" w:type="dxa"/>
            <w:left w:w="0" w:type="dxa"/>
            <w:bottom w:w="0" w:type="dxa"/>
            <w:right w:w="0" w:type="dxa"/>
          </w:tblCellMar>
        </w:tblPrEx>
        <w:trPr>
          <w:trHeight w:val="292"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倪家营、普照污水处理厂二期改扩建工程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昆明经开区水务有限公司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改扩建污水处理厂2座，其中：倪家营污水厂新增日处理规模5万吨，总处理规模达10万吨；普照污水厂新增日处理规模5万吨，总处理规模达10万吨。</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88924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35508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35000 </w:t>
            </w:r>
          </w:p>
        </w:tc>
      </w:tr>
      <w:tr>
        <w:tblPrEx>
          <w:tblCellMar>
            <w:top w:w="0" w:type="dxa"/>
            <w:left w:w="0" w:type="dxa"/>
            <w:bottom w:w="0" w:type="dxa"/>
            <w:right w:w="0" w:type="dxa"/>
          </w:tblCellMar>
        </w:tblPrEx>
        <w:trPr>
          <w:trHeight w:val="96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宝象河流域排水收集系统改造工程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中交建设发展（昆明）有限公司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管网完善工程：宝象河干管单改双工程、铜牛寺水库-泛亚调蓄池污水管道工程、红外路-云大西路-云大西路-宝象河干管顶管工程；2、调蓄池及出水管：泛亚调蓄池、泵站及压力管；3、智慧系统：宝象河排口水质监测监控系统等建设内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72494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23188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茶高山截洪引清工程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建设截洪沟工程、排洪沟工程、沉砂池工程、调蓄池工程、补水通道工程、截污工程以及节点改造和清淤工程。</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7053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2663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4300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清水片区再生水工程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新建输水管道7.43公里，新建提升泵站2座，新建高位水池2座，新建再生水管网28.92公里。</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6509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2193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4300 </w:t>
            </w:r>
          </w:p>
        </w:tc>
      </w:tr>
      <w:tr>
        <w:tblPrEx>
          <w:tblCellMar>
            <w:top w:w="0" w:type="dxa"/>
            <w:left w:w="0" w:type="dxa"/>
            <w:bottom w:w="0" w:type="dxa"/>
            <w:right w:w="0" w:type="dxa"/>
          </w:tblCellMar>
        </w:tblPrEx>
        <w:trPr>
          <w:trHeight w:val="285"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环卫一体化PPP项目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PPP项目新建10座垃圾转运站，改建3座已完工。目前，在建2座。</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13389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1435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淹积水点整改工程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对辰逸路、林溪路（世林别墅段）、云大西路（昆玉高速桥下）、顺通大道等淹水点进行整治。</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5823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3150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2600 </w:t>
            </w:r>
          </w:p>
        </w:tc>
      </w:tr>
      <w:tr>
        <w:tblPrEx>
          <w:tblCellMar>
            <w:top w:w="0" w:type="dxa"/>
            <w:left w:w="0" w:type="dxa"/>
            <w:bottom w:w="0" w:type="dxa"/>
            <w:right w:w="0" w:type="dxa"/>
          </w:tblCellMar>
        </w:tblPrEx>
        <w:trPr>
          <w:trHeight w:val="361"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（二）新开工（2项）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15979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15900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阿拉街道、洛羊街道片区水环境综合治理工程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昆明经开区城管局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城市管理局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对区内无污水处理设施或需要完善雨污管网的自然村进行村落污水收集系统建设。新建村落巷道及村道污水管，接驳现状各户散排污水，实现村落污水全收集转运与雨污分流。</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10000</w:t>
            </w:r>
          </w:p>
        </w:tc>
      </w:tr>
      <w:tr>
        <w:tblPrEx>
          <w:tblCellMar>
            <w:top w:w="0" w:type="dxa"/>
            <w:left w:w="0" w:type="dxa"/>
            <w:bottom w:w="0" w:type="dxa"/>
            <w:right w:w="0" w:type="dxa"/>
          </w:tblCellMar>
        </w:tblPrEx>
        <w:trPr>
          <w:trHeight w:val="96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昆明市滇池东岸关停矿区地质环境恢复治理示范工程城市生态绿地潜在地质灾害消除、高陡边坡复绿及功能提升项目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昆明经济技术开发区嘉铭产业投资开发有限公司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投资公司</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rFonts w:hint="eastAsia"/>
                <w:color w:val="000000" w:themeColor="text1"/>
                <w:kern w:val="0"/>
                <w:sz w:val="20"/>
                <w:szCs w:val="20"/>
                <w:lang w:bidi="ar"/>
                <w14:textFill>
                  <w14:solidFill>
                    <w14:schemeClr w14:val="tx1"/>
                  </w14:solidFill>
                </w14:textFill>
              </w:rPr>
              <w:t>主要开展</w:t>
            </w:r>
            <w:r>
              <w:rPr>
                <w:color w:val="000000" w:themeColor="text1"/>
                <w:kern w:val="0"/>
                <w:sz w:val="20"/>
                <w:szCs w:val="20"/>
                <w:lang w:bidi="ar"/>
                <w14:textFill>
                  <w14:solidFill>
                    <w14:schemeClr w14:val="tx1"/>
                  </w14:solidFill>
                </w14:textFill>
              </w:rPr>
              <w:t>昆明市滇池东岸关停矿区地质环境恢复治理示范工程城市生态绿地潜在地质灾害消除、高陡边坡复绿及功能提升。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5979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5900</w:t>
            </w:r>
          </w:p>
        </w:tc>
      </w:tr>
      <w:tr>
        <w:tblPrEx>
          <w:tblCellMar>
            <w:top w:w="0" w:type="dxa"/>
            <w:left w:w="0" w:type="dxa"/>
            <w:bottom w:w="0" w:type="dxa"/>
            <w:right w:w="0" w:type="dxa"/>
          </w:tblCellMar>
        </w:tblPrEx>
        <w:trPr>
          <w:trHeight w:val="516"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四、民生保障（15项）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917847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174911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678087 </w:t>
            </w:r>
          </w:p>
        </w:tc>
      </w:tr>
      <w:tr>
        <w:tblPrEx>
          <w:tblCellMar>
            <w:top w:w="0" w:type="dxa"/>
            <w:left w:w="0" w:type="dxa"/>
            <w:bottom w:w="0" w:type="dxa"/>
            <w:right w:w="0" w:type="dxa"/>
          </w:tblCellMar>
        </w:tblPrEx>
        <w:trPr>
          <w:trHeight w:val="505"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（一）续建（5项）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571982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174911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395600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云南省国家肿瘤区域医疗中心项目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社会事业局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项目重新调整后总用地面积115775.09平方米，净用地面积约99374平方米，项目总建筑面积278395平方米，其中地上建筑面积160260平方米，地下建筑面积118135平方米，建设1000床位的三甲医院。</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442339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71272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370000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昆明市妇女儿童医疗保健中心二期</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昆明市妇幼保健院</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项目建筑总面积76496平方米，批复床位500张，主要为门诊、医疗、住院及配套辅助设施等功能用房。</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52368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43129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9200 </w:t>
            </w:r>
          </w:p>
        </w:tc>
      </w:tr>
      <w:tr>
        <w:tblPrEx>
          <w:tblCellMar>
            <w:top w:w="0" w:type="dxa"/>
            <w:left w:w="0" w:type="dxa"/>
            <w:bottom w:w="0" w:type="dxa"/>
            <w:right w:w="0" w:type="dxa"/>
          </w:tblCellMar>
        </w:tblPrEx>
        <w:trPr>
          <w:trHeight w:val="144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昆明铁道职业技术学院基础设施建设、实习实训基地建设项目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昆明铁道职业技术学院</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新建云南高速铁路技术公共实训基地教学用的高铁站房、线路、涵洞等，建筑面积3000平米，购置实训教学设备14082.37万元；2.新建21173.37平方米的学生宿舍及食堂等；3.智慧校园工程：学院信息化硬件和软件管理平台建设等，设备购置5222.44万元；4.水网和电网改造；5.校园综合改造工程等。总建筑面积24173.37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37469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25448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12000 </w:t>
            </w:r>
          </w:p>
        </w:tc>
      </w:tr>
      <w:tr>
        <w:tblPrEx>
          <w:tblCellMar>
            <w:top w:w="0" w:type="dxa"/>
            <w:left w:w="0" w:type="dxa"/>
            <w:bottom w:w="0" w:type="dxa"/>
            <w:right w:w="0" w:type="dxa"/>
          </w:tblCellMar>
        </w:tblPrEx>
        <w:trPr>
          <w:trHeight w:val="57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昆明经济技术开发区第三小学及附属幼儿园新建项目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昆明经百实业有限公司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位于大冲片区JK-DC-7-30、JK-DC-7-31号地块，项目投资约31213.64万元，建筑总建筑面积33888.25平方米。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31214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28728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2400 </w:t>
            </w:r>
          </w:p>
        </w:tc>
      </w:tr>
      <w:tr>
        <w:tblPrEx>
          <w:tblCellMar>
            <w:top w:w="0" w:type="dxa"/>
            <w:left w:w="0" w:type="dxa"/>
            <w:bottom w:w="0" w:type="dxa"/>
            <w:right w:w="0" w:type="dxa"/>
          </w:tblCellMar>
        </w:tblPrEx>
        <w:trPr>
          <w:trHeight w:val="261"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世界银行贷款云南学前教育发展实验示范项目昆明学院子项目土建工程</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昆明学院</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rFonts w:hint="eastAsia"/>
                <w:color w:val="000000" w:themeColor="text1"/>
                <w:kern w:val="0"/>
                <w:sz w:val="20"/>
                <w:szCs w:val="20"/>
                <w:lang w:bidi="ar"/>
                <w14:textFill>
                  <w14:solidFill>
                    <w14:schemeClr w14:val="tx1"/>
                  </w14:solidFill>
                </w14:textFill>
              </w:rPr>
              <w:t>主要建设</w:t>
            </w:r>
            <w:r>
              <w:rPr>
                <w:color w:val="000000" w:themeColor="text1"/>
                <w:kern w:val="0"/>
                <w:sz w:val="20"/>
                <w:szCs w:val="20"/>
                <w:lang w:bidi="ar"/>
                <w14:textFill>
                  <w14:solidFill>
                    <w14:schemeClr w14:val="tx1"/>
                  </w14:solidFill>
                </w14:textFill>
              </w:rPr>
              <w:t>教学用房，总建筑面积18118.91平方米。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8592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6334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 </w:t>
            </w:r>
          </w:p>
        </w:tc>
      </w:tr>
      <w:tr>
        <w:tblPrEx>
          <w:tblCellMar>
            <w:top w:w="0" w:type="dxa"/>
            <w:left w:w="0" w:type="dxa"/>
            <w:bottom w:w="0" w:type="dxa"/>
            <w:right w:w="0" w:type="dxa"/>
          </w:tblCellMar>
        </w:tblPrEx>
        <w:trPr>
          <w:trHeight w:val="261"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（二）新开工（10项）</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345865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282487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昆明经开区第二中学新校建设项目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项目位于航天城，按照小学30个班、初中18个班，共计48个班级，占地面积约85.8亩，拟建总建筑面积约37073.8平方米。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32764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32000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黄土坡片区完全中学学校建设项目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项目位于黄土坡片区JK-HTP-A1-02-11地块，总用地面积约为102.8亩，拟建总建筑面积62675.4平方米，建设办学规模为54班的完全中学。</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45355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45000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黄土坡片区九年一贯制学校建设项目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昆明经百实业有限公司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项目位于黄土坡片区、西亚山庄南侧，总用地面积约68.12亩，拟建总建筑面积33449.14平方米，为九年一贯制学校，办学规模为36个班级。</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36147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36000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昆明经开区实验小学二期建设项目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经开区实验小学</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项目位于昆明经济技术开发区实验小学东侧。学校规划总用地面积约为30573平方米，其中本次新建建设用地面积约为25.64亩，新建总建筑面积约为21120.81平方米。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18536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“悠闲镜”老年康养项目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云南至和市政开发建筑有限公司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净用地面积11988.46平方米(17.98亩)，总建筑面积22815.34平方米，最大建筑高度18.65米，规划床位数312户，机动车车位155个，非机动车位155个。</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14999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昆明市救灾物资储备库项目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昆明金马粮食物流有限公司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经济发展局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项目用地约22.9亩，新建标准智能化储备仓库规模10000平方米，调度管理及辅助生产用房2433平方米，晒场及装卸作业场地,4000平方米，相应配备辅助设备设施，满足昆明市救灾物资储备需要。</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9580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9500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昆明市医疗应急物资储备中心建设工程项目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昆明金马粮食物流有限公司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经济发展局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项目用地约44亩，新建标准智能化储备仓库规模8200平方米，停车及装卸作业堆场8660平方米，调度管理及辅助生产用房1800平方米，地下室面积4650平方米，相应配备仓储作业设备及辅助设施。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14984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11987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昆明铁道职业技术学院改扩建二期项目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昆明铁道职业技术学院</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项目建设高铁实训中心、南院学生公寓，总建筑面积约45700平方米。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21200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大观山学校建设项目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投资公司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项目位于昆明经济技术开发区信息产业基地大观山南侧。拟建配套完中96班，其中高中48班，初中48班。用地面积199.5亩，拟建总建筑面积97700平方米。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84300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10</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洛羊片区配套60班高中建设项目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昆明经开区社会事务局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社会事务局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项目位于昆明经开区洛羊街道办事处洛羊片JK-LY-2-01-00地块，总用地面积约127亩，总建筑面积98259.50平方米，为60班高中。</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68000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44000 </w:t>
            </w:r>
          </w:p>
        </w:tc>
      </w:tr>
      <w:tr>
        <w:tblPrEx>
          <w:tblCellMar>
            <w:top w:w="0" w:type="dxa"/>
            <w:left w:w="0" w:type="dxa"/>
            <w:bottom w:w="0" w:type="dxa"/>
            <w:right w:w="0" w:type="dxa"/>
          </w:tblCellMar>
        </w:tblPrEx>
        <w:trPr>
          <w:trHeight w:val="480"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五、城市功能完善（35项）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12012426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1204357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3891500 </w:t>
            </w:r>
          </w:p>
        </w:tc>
      </w:tr>
      <w:tr>
        <w:tblPrEx>
          <w:tblCellMar>
            <w:top w:w="0" w:type="dxa"/>
            <w:left w:w="0" w:type="dxa"/>
            <w:bottom w:w="0" w:type="dxa"/>
            <w:right w:w="0" w:type="dxa"/>
          </w:tblCellMar>
        </w:tblPrEx>
        <w:trPr>
          <w:trHeight w:val="480"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（一）续建（13项）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2147926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1204357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941500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御龙春晓城建设项目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云南天骏房地产开发有限公司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一二期房地产开发建设，占地面积约54250.6平方米，总建筑面积210117.96平方米，主要建设住宅、商业及配套设施。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51004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108800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悦山湖花园（二期）</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昆明东旭启明投资开发有限公司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总用地面积155156.75平方米(232.73亩)，建设联排别墅及社区卫生服务站、社区服务用房、公共卫生间、老年服务站、物业管理用房等辅助设施。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185000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108663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76000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天地方舟商业广场</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云南湘金投资有限公司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建设公寓式办公及商业配套，总建筑面积约209525.51平方米。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48602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71000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果林广场</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云南新广创置业有限公司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总用地规模净用地约56983.61平方米，总建筑面积约19万平方米。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25452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74500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金山小区一期</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昆明螺蛳湾国际商贸城创业园开发有限公司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项目占地面积15900平方米，总建筑面积307291平方米，进行建筑及配套设施建设，住宅建筑面积为199123平方米。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126000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103751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22200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琅樾花园二期</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云南通泽置业有限公司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总建筑面积约276000平方米，建设花园洋房、高层住宅等。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103248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66600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天宸小区</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云南金宏雅房地产开发有限公司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净用地面积107.65亩，总建筑面积为23.98万平方米</w:t>
            </w:r>
            <w:r>
              <w:rPr>
                <w:rFonts w:hint="eastAsia"/>
                <w:color w:val="000000" w:themeColor="text1"/>
                <w:kern w:val="0"/>
                <w:sz w:val="20"/>
                <w:szCs w:val="20"/>
                <w:lang w:bidi="ar"/>
                <w14:textFill>
                  <w14:solidFill>
                    <w14:schemeClr w14:val="tx1"/>
                  </w14:solidFill>
                </w14:textFill>
              </w:rPr>
              <w:t>，</w:t>
            </w:r>
            <w:r>
              <w:rPr>
                <w:color w:val="000000" w:themeColor="text1"/>
                <w:kern w:val="0"/>
                <w:sz w:val="20"/>
                <w:szCs w:val="20"/>
                <w:lang w:bidi="ar"/>
                <w14:textFill>
                  <w14:solidFill>
                    <w14:schemeClr w14:val="tx1"/>
                  </w14:solidFill>
                </w14:textFill>
              </w:rPr>
              <w:t>建设高层住宅等。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163000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94819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68000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观林湖花园</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昆明经百实业有限公司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投资公司</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项目用地面积125991.09平方米（189亩），总建筑面积217438.02平方米。其中地上建筑面积136319.00平方米，地下建筑面积81119.02平方米，主要由多层住宅、低层住宅、幼儿园以及必要的公共配套组成。</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72231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97600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兴港湾小区</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兴港湾小区</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项目总用地73431.13平方米（110亩），容积率2.5，总建筑面积25.82万平方米，规划设计10栋25-32层住宅，2栋3-5层的商业，1栋2层的社区用房，以及一个9班幼儿园。</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115836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45758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10</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云山雅居花园</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云南碧清房地产开发有限公司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建设住宅楼、商业楼及配套设施，规划用地面积170197平方米，总建筑面积371446.89平方米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319090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199904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119000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金泽园</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昆明富金房地产开发有限公司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项目净用地面积56835.83平方米，总建筑面积194752.72平方米，主要进行居民住宅及停车场设施建设。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105000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69679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35200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山水云亭小区</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云南保晟房地产开发有限公司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项目占地面积142520.78平方米，建筑面积487607.60平方米，主要建设高层住宅、配套用房、公益和物业用房。</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290000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211002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78900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和樾府</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昆明新城悦韵房地产开发有限公司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项目用地面积71445.75平方米（约106.72亩），总建筑面积161994.08平方米，建设24栋8层住宅楼、1栋3层幼儿园以及老年人服务站、物业管理、社区卫生服务用房等公建配套设施。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124000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70244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53700 </w:t>
            </w:r>
          </w:p>
        </w:tc>
      </w:tr>
      <w:tr>
        <w:tblPrEx>
          <w:tblCellMar>
            <w:top w:w="0" w:type="dxa"/>
            <w:left w:w="0" w:type="dxa"/>
            <w:bottom w:w="0" w:type="dxa"/>
            <w:right w:w="0" w:type="dxa"/>
          </w:tblCellMar>
        </w:tblPrEx>
        <w:trPr>
          <w:trHeight w:val="447" w:hRule="atLeast"/>
          <w:jc w:val="center"/>
        </w:trPr>
        <w:tc>
          <w:tcPr>
            <w:tcW w:w="1058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kern w:val="0"/>
                <w:sz w:val="20"/>
                <w:szCs w:val="20"/>
                <w:lang w:bidi="ar"/>
                <w14:textFill>
                  <w14:solidFill>
                    <w14:schemeClr w14:val="tx1"/>
                  </w14:solidFill>
                </w14:textFill>
              </w:rPr>
            </w:pPr>
            <w:r>
              <w:rPr>
                <w:b/>
                <w:color w:val="000000" w:themeColor="text1"/>
                <w:kern w:val="0"/>
                <w:sz w:val="20"/>
                <w:szCs w:val="20"/>
                <w:lang w:bidi="ar"/>
                <w14:textFill>
                  <w14:solidFill>
                    <w14:schemeClr w14:val="tx1"/>
                  </w14:solidFill>
                </w14:textFill>
              </w:rPr>
              <w:t>（二）新开工（22项）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9864500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b/>
                <w:bCs/>
                <w:color w:val="000000" w:themeColor="text1"/>
                <w:kern w:val="0"/>
                <w:sz w:val="20"/>
                <w:szCs w:val="20"/>
                <w:lang w:bidi="ar"/>
                <w14:textFill>
                  <w14:solidFill>
                    <w14:schemeClr w14:val="tx1"/>
                  </w14:solidFill>
                </w14:textFill>
              </w:rPr>
            </w:pPr>
            <w:r>
              <w:rPr>
                <w:rFonts w:eastAsia="宋体"/>
                <w:b/>
                <w:bCs/>
                <w:color w:val="000000" w:themeColor="text1"/>
                <w:kern w:val="0"/>
                <w:sz w:val="20"/>
                <w:szCs w:val="20"/>
                <w:lang w:bidi="ar"/>
                <w14:textFill>
                  <w14:solidFill>
                    <w14:schemeClr w14:val="tx1"/>
                  </w14:solidFill>
                </w14:textFill>
              </w:rPr>
              <w:t xml:space="preserve">2950000 </w:t>
            </w:r>
          </w:p>
        </w:tc>
      </w:tr>
      <w:tr>
        <w:tblPrEx>
          <w:tblCellMar>
            <w:top w:w="0" w:type="dxa"/>
            <w:left w:w="0" w:type="dxa"/>
            <w:bottom w:w="0" w:type="dxa"/>
            <w:right w:w="0" w:type="dxa"/>
          </w:tblCellMar>
        </w:tblPrEx>
        <w:trPr>
          <w:trHeight w:val="96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西邑村城中村改造项目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云南崇光房地产开发有限公司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项目总用地面积362.55亩,规划净用地面积235.45亩。地上建（构）筑物面积29.03万平方米，涉及居民203户。现项目已完成规划方案、补偿方案的审批，正进行拆迁、土地交易、安置房建设等工作。</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415000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200000 </w:t>
            </w:r>
          </w:p>
        </w:tc>
      </w:tr>
      <w:tr>
        <w:tblPrEx>
          <w:tblCellMar>
            <w:top w:w="0" w:type="dxa"/>
            <w:left w:w="0" w:type="dxa"/>
            <w:bottom w:w="0" w:type="dxa"/>
            <w:right w:w="0" w:type="dxa"/>
          </w:tblCellMar>
        </w:tblPrEx>
        <w:trPr>
          <w:trHeight w:val="96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小麻苴三期城中村改造项目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昆明泰吉美房地产开发有限责任公司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项目总用地面积143.17亩，规划净用地面积83亩，地上建（构）筑物面积11.3万平方米，涉及居民27户。项目配套1所9班幼儿园。</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125000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120000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3</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大冲村（二期）项目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项目改造范围约495.7亩，四至范围：南侧为秋景路，西侧为辰逸路，北侧为讯图国际商务区，东侧为云景路。涉及居民户569户。主要进行回迁安置房建设、商品房建设、学校医院等公共基础建设。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400000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4</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大小洛羊片区（大洛羊村、小洛羊村）项目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项目总用地面积约1702.23亩，建（构）筑物面积约110.134万平方米（最终以测绘数据为准），主要进行回迁安置房建设、商品房建设、公园、学校医院等公共基础建设。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5</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黄土坡村项目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项目改造用地面积约1422亩，建（构）筑物面积约80.57万平方米。主要进行回迁安置房建设、商品房建设、公园、学校医院等公共基础建设。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6</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小新册项目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项目改造面积为580.7亩，建（构）筑物面积约39.8万平方米。主要进行回迁安置房建设、商品房建设、学校等公共基础建设。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220000 </w:t>
            </w:r>
          </w:p>
        </w:tc>
      </w:tr>
      <w:tr>
        <w:tblPrEx>
          <w:tblCellMar>
            <w:top w:w="0" w:type="dxa"/>
            <w:left w:w="0" w:type="dxa"/>
            <w:bottom w:w="0" w:type="dxa"/>
            <w:right w:w="0" w:type="dxa"/>
          </w:tblCellMar>
        </w:tblPrEx>
        <w:trPr>
          <w:trHeight w:val="120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倪家营项目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项目总面积约683.409亩，项目分为倪家营大村、倪家营小村两个地块。倪家营大村用地面积约576.146亩，地上建（构）筑物总面积约22.8684万平方米。主要进行回迁安置房建设、商品房建设、学校、公共基础等建设。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100000 </w:t>
            </w:r>
          </w:p>
        </w:tc>
      </w:tr>
      <w:tr>
        <w:tblPrEx>
          <w:tblCellMar>
            <w:top w:w="0" w:type="dxa"/>
            <w:left w:w="0" w:type="dxa"/>
            <w:bottom w:w="0" w:type="dxa"/>
            <w:right w:w="0" w:type="dxa"/>
          </w:tblCellMar>
        </w:tblPrEx>
        <w:trPr>
          <w:trHeight w:val="31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大小石坝片区（大石坝村、小石坝村）村项目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用地面积约1060亩，拟拆除建（构）筑物面积约40.84万平方米。其中：大石坝村拟改造面积约589亩，地上建（构）筑物面积约29.9万平方米，涉及居民354户。主要进行回迁安置房建设、商品房建设、公园、学校医院等公共基础建设。</w:t>
            </w:r>
          </w:p>
        </w:tc>
        <w:tc>
          <w:tcPr>
            <w:tcW w:w="113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600000</w:t>
            </w:r>
          </w:p>
        </w:tc>
        <w:tc>
          <w:tcPr>
            <w:tcW w:w="113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120000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大新册项目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项目造面积约1284亩，居民1080户，地上建（构）筑物面积约80万平方米。主要进行回迁安置房建设、商品房建设、公园、学校等公共基础建设。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700000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10</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公家村项目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项目总用地面积667亩，地上建（构）筑物面积39.7万平方米，涉及居民404户。</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100000 </w:t>
            </w:r>
          </w:p>
        </w:tc>
      </w:tr>
      <w:tr>
        <w:tblPrEx>
          <w:tblCellMar>
            <w:top w:w="0" w:type="dxa"/>
            <w:left w:w="0" w:type="dxa"/>
            <w:bottom w:w="0" w:type="dxa"/>
            <w:right w:w="0" w:type="dxa"/>
          </w:tblCellMar>
        </w:tblPrEx>
        <w:trPr>
          <w:trHeight w:val="72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旭辉公元名著（美辰花园）</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昆明梁辉置业有限公司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项目占地面积50409.63平方米，总建筑面积合计155163.18平方米，其中包含社区卫生和服务用房、幼儿园、生鲜超市等公共服务用房3352.12平方米，住宅105753.70平方米，商业7662.36平方米。</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135000 </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12</w:t>
            </w:r>
          </w:p>
        </w:tc>
        <w:tc>
          <w:tcPr>
            <w:tcW w:w="20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元悦小区</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昆明和广房地产开发有限公司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项目占地面积46707.27平方米，总建筑面积161213.83平方米</w:t>
            </w:r>
            <w:r>
              <w:rPr>
                <w:rFonts w:hint="eastAsia"/>
                <w:color w:val="000000" w:themeColor="text1"/>
                <w:kern w:val="0"/>
                <w:sz w:val="20"/>
                <w:szCs w:val="20"/>
                <w:lang w:bidi="ar"/>
                <w14:textFill>
                  <w14:solidFill>
                    <w14:schemeClr w14:val="tx1"/>
                  </w14:solidFill>
                </w14:textFill>
              </w:rPr>
              <w:t>，主要建设高层住宅等</w:t>
            </w:r>
            <w:r>
              <w:rPr>
                <w:color w:val="000000" w:themeColor="text1"/>
                <w:kern w:val="0"/>
                <w:sz w:val="20"/>
                <w:szCs w:val="20"/>
                <w:lang w:bidi="ar"/>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13</w:t>
            </w:r>
          </w:p>
        </w:tc>
        <w:tc>
          <w:tcPr>
            <w:tcW w:w="20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云台广场</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云南自由贸易试验区雲台置业有限公司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新建“雲台（南亚国际）产业孵化园”小总部商务办公、商业综合体。</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50000 </w:t>
            </w:r>
          </w:p>
        </w:tc>
      </w:tr>
      <w:tr>
        <w:tblPrEx>
          <w:tblCellMar>
            <w:top w:w="0" w:type="dxa"/>
            <w:left w:w="0" w:type="dxa"/>
            <w:bottom w:w="0" w:type="dxa"/>
            <w:right w:w="0" w:type="dxa"/>
          </w:tblCellMar>
        </w:tblPrEx>
        <w:trPr>
          <w:trHeight w:val="269"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14</w:t>
            </w:r>
          </w:p>
        </w:tc>
        <w:tc>
          <w:tcPr>
            <w:tcW w:w="20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云樾花园</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昆明新城亿晟房地产开发有限公司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占地面积45880.07平方米，主要用于建设住宅小区及公建配套设施，容积率为3.0，建筑密度为24%，绿化率为40.0%。计划总建筑面积为193403.81平方米，其中地上建筑面积：137640.21平方米，地下建筑面积：55763.60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159500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150000 </w:t>
            </w:r>
          </w:p>
        </w:tc>
      </w:tr>
      <w:tr>
        <w:tblPrEx>
          <w:tblCellMar>
            <w:top w:w="0" w:type="dxa"/>
            <w:left w:w="0" w:type="dxa"/>
            <w:bottom w:w="0" w:type="dxa"/>
            <w:right w:w="0" w:type="dxa"/>
          </w:tblCellMar>
        </w:tblPrEx>
        <w:trPr>
          <w:trHeight w:val="637"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15</w:t>
            </w:r>
          </w:p>
        </w:tc>
        <w:tc>
          <w:tcPr>
            <w:tcW w:w="20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云望广场</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云南诺亚润达房地产开发有限公司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用地面积为89154.43平方米（133.73亩），净用地面积为51148.26平方米（76.72亩），地上总建筑面积为154226.50平方米，地下总建筑面积为88019.82平方米，道路及广场面积为18095.89平方米，绿地面积为12804.20平方米，绿地率为25.03%，包括给排水工程、电气工程、消防工程、安防系统等公用工程的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140000 </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140000 </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16</w:t>
            </w:r>
          </w:p>
        </w:tc>
        <w:tc>
          <w:tcPr>
            <w:tcW w:w="20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富康城紫阑苑</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富康城控股（云南）有限公司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建设商品住宅及其他配建附属设施。其中，住宅及停车库约20万平方米，幼儿园30242.21平方米，总用地面积约143.41亩。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120000 </w:t>
            </w:r>
          </w:p>
        </w:tc>
      </w:tr>
      <w:tr>
        <w:tblPrEx>
          <w:tblCellMar>
            <w:top w:w="0" w:type="dxa"/>
            <w:left w:w="0" w:type="dxa"/>
            <w:bottom w:w="0" w:type="dxa"/>
            <w:right w:w="0" w:type="dxa"/>
          </w:tblCellMar>
        </w:tblPrEx>
        <w:trPr>
          <w:trHeight w:val="285"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17</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东盟商贸港三期</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云南宝源丰房地产开发经营有限公司</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项目总占地面积为173000平方米，总建筑面积为519000平方米。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100000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18</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信息产业基地商住项目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项目总占地面积为220000平方米，总建筑面积为660000平方米，主要建设商品房及配套设施。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300000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19</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黄土坡片区商住项目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项目总占地面积为300000平方米，总建筑面积为900000平方米，主要建设商品房及配套设施。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20</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911地块商住项目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项目总占地面积为5000000平方米，总建筑面积为15000000平方米，主要建设商品房及配套设施。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1000000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100000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21</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江东地块商住项目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项目总占地面积为3000000平方米，总建筑面积为900000平方米，主要建设商品房及配套设施。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60000</w:t>
            </w:r>
          </w:p>
        </w:tc>
      </w:tr>
      <w:tr>
        <w:tblPrEx>
          <w:tblCellMar>
            <w:top w:w="0" w:type="dxa"/>
            <w:left w:w="0" w:type="dxa"/>
            <w:bottom w:w="0" w:type="dxa"/>
            <w:right w:w="0" w:type="dxa"/>
          </w:tblCellMar>
        </w:tblPrEx>
        <w:trPr>
          <w:trHeight w:val="480" w:hRule="atLeast"/>
          <w:jc w:val="center"/>
        </w:trPr>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22</w:t>
            </w:r>
          </w:p>
        </w:tc>
        <w:tc>
          <w:tcPr>
            <w:tcW w:w="2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市交投地块商住项目</w:t>
            </w:r>
          </w:p>
        </w:tc>
        <w:tc>
          <w:tcPr>
            <w:tcW w:w="1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12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center"/>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规划建设局</w:t>
            </w:r>
          </w:p>
        </w:tc>
        <w:tc>
          <w:tcPr>
            <w:tcW w:w="4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ind w:firstLine="0" w:firstLineChars="0"/>
              <w:jc w:val="left"/>
              <w:textAlignment w:val="center"/>
              <w:rPr>
                <w:color w:val="000000" w:themeColor="text1"/>
                <w:sz w:val="20"/>
                <w:szCs w:val="20"/>
                <w14:textFill>
                  <w14:solidFill>
                    <w14:schemeClr w14:val="tx1"/>
                  </w14:solidFill>
                </w14:textFill>
              </w:rPr>
            </w:pPr>
            <w:r>
              <w:rPr>
                <w:color w:val="000000" w:themeColor="text1"/>
                <w:kern w:val="0"/>
                <w:sz w:val="20"/>
                <w:szCs w:val="20"/>
                <w:lang w:bidi="ar"/>
                <w14:textFill>
                  <w14:solidFill>
                    <w14:schemeClr w14:val="tx1"/>
                  </w14:solidFill>
                </w14:textFill>
              </w:rPr>
              <w:t>项目总占地面积为500000平方米，总建筑面积为1500000平方米，主要建设商品房及配套设施。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1000000</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eastAsia="宋体"/>
                <w:color w:val="000000" w:themeColor="text1"/>
                <w:kern w:val="0"/>
                <w:sz w:val="20"/>
                <w:szCs w:val="20"/>
                <w:lang w:bidi="ar"/>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100000</w:t>
            </w:r>
          </w:p>
        </w:tc>
      </w:tr>
    </w:tbl>
    <w:p>
      <w:pPr>
        <w:ind w:firstLine="0" w:firstLineChars="0"/>
        <w:jc w:val="left"/>
        <w:rPr>
          <w:color w:val="000000" w:themeColor="text1"/>
          <w:sz w:val="28"/>
          <w:szCs w:val="28"/>
          <w14:textFill>
            <w14:solidFill>
              <w14:schemeClr w14:val="tx1"/>
            </w14:solidFill>
          </w14:textFill>
        </w:rPr>
      </w:pPr>
    </w:p>
    <w:p>
      <w:pPr>
        <w:pStyle w:val="38"/>
        <w:rPr>
          <w:color w:val="000000" w:themeColor="text1"/>
          <w14:textFill>
            <w14:solidFill>
              <w14:schemeClr w14:val="tx1"/>
            </w14:solidFill>
          </w14:textFill>
        </w:rPr>
      </w:pPr>
    </w:p>
    <w:p>
      <w:pPr>
        <w:pStyle w:val="37"/>
        <w:ind w:firstLine="0" w:firstLineChars="0"/>
        <w:jc w:val="both"/>
        <w:rPr>
          <w:color w:val="000000" w:themeColor="text1"/>
          <w14:textFill>
            <w14:solidFill>
              <w14:schemeClr w14:val="tx1"/>
            </w14:solidFill>
          </w14:textFill>
        </w:rPr>
      </w:pPr>
    </w:p>
    <w:sectPr>
      <w:type w:val="continuous"/>
      <w:pgSz w:w="16838" w:h="11906" w:orient="landscape"/>
      <w:pgMar w:top="1418" w:right="2041" w:bottom="1418" w:left="1701" w:header="851" w:footer="136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A53D829-0BC8-49A3-9780-ABD5EC5D45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5D46D0F1-8163-4C35-A6E5-581769AED316}"/>
  </w:font>
  <w:font w:name="方正小标宋_GBK">
    <w:altName w:val="微软雅黑"/>
    <w:panose1 w:val="03000509000000000000"/>
    <w:charset w:val="86"/>
    <w:family w:val="auto"/>
    <w:pitch w:val="default"/>
    <w:sig w:usb0="00000000" w:usb1="00000000" w:usb2="00000000" w:usb3="00000000" w:csb0="00040000" w:csb1="00000000"/>
    <w:embedRegular r:id="rId3" w:fontKey="{8DA3FECD-47D6-4092-8251-75EE1EEC872C}"/>
  </w:font>
  <w:font w:name="微软雅黑">
    <w:panose1 w:val="020B0503020204020204"/>
    <w:charset w:val="86"/>
    <w:family w:val="auto"/>
    <w:pitch w:val="default"/>
    <w:sig w:usb0="80000287" w:usb1="2ACF3C50" w:usb2="00000016" w:usb3="00000000" w:csb0="0004001F" w:csb1="00000000"/>
    <w:embedRegular r:id="rId4" w:fontKey="{D465544C-E50E-43E6-AD8A-61439E2FB85D}"/>
  </w:font>
  <w:font w:name="楷体_GB2312">
    <w:panose1 w:val="02010609030101010101"/>
    <w:charset w:val="86"/>
    <w:family w:val="auto"/>
    <w:pitch w:val="default"/>
    <w:sig w:usb0="00000001" w:usb1="080E0000" w:usb2="00000000" w:usb3="00000000" w:csb0="00040000" w:csb1="00000000"/>
    <w:embedRegular r:id="rId5" w:fontKey="{6E750AD6-9C1A-4EE9-8D9F-BA36B1A0BED2}"/>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00000001" w:usb1="08000000" w:usb2="00000000" w:usb3="00000000" w:csb0="00040000" w:csb1="00000000"/>
    <w:embedRegular r:id="rId6" w:fontKey="{0AF767A0-0877-4950-8ECD-EE90201588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left="320" w:leftChars="100" w:right="320" w:rightChars="100" w:firstLine="0" w:firstLineChars="0"/>
      <w:jc w:val="center"/>
      <w:rPr>
        <w:rStyle w:val="21"/>
        <w:sz w:val="28"/>
        <w:szCs w:val="28"/>
      </w:rPr>
    </w:pPr>
    <w:r>
      <w:rPr>
        <w:rStyle w:val="21"/>
        <w:rFonts w:hint="eastAsia"/>
        <w:sz w:val="28"/>
        <w:szCs w:val="28"/>
      </w:rPr>
      <w:t xml:space="preserve">— </w:t>
    </w:r>
    <w:r>
      <w:rPr>
        <w:sz w:val="28"/>
        <w:szCs w:val="28"/>
      </w:rPr>
      <w:fldChar w:fldCharType="begin"/>
    </w:r>
    <w:r>
      <w:rPr>
        <w:rStyle w:val="21"/>
        <w:sz w:val="28"/>
        <w:szCs w:val="28"/>
      </w:rPr>
      <w:instrText xml:space="preserve">PAGE  </w:instrText>
    </w:r>
    <w:r>
      <w:rPr>
        <w:sz w:val="28"/>
        <w:szCs w:val="28"/>
      </w:rPr>
      <w:fldChar w:fldCharType="separate"/>
    </w:r>
    <w:r>
      <w:rPr>
        <w:rStyle w:val="21"/>
        <w:sz w:val="28"/>
        <w:szCs w:val="28"/>
      </w:rPr>
      <w:t>2</w:t>
    </w:r>
    <w:r>
      <w:rPr>
        <w:sz w:val="28"/>
        <w:szCs w:val="28"/>
      </w:rPr>
      <w:fldChar w:fldCharType="end"/>
    </w:r>
    <w:r>
      <w:rPr>
        <w:rStyle w:val="21"/>
        <w:rFonts w:hint="eastAsia"/>
        <w:sz w:val="28"/>
        <w:szCs w:val="28"/>
      </w:rPr>
      <w:t xml:space="preserve"> —</w:t>
    </w:r>
  </w:p>
  <w:p>
    <w:pPr>
      <w:pStyle w:val="12"/>
      <w:ind w:right="360" w:firstLine="36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left"/>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360"/>
      <w:rPr>
        <w:rStyle w:val="21"/>
      </w:rPr>
    </w:pPr>
    <w:r>
      <w:fldChar w:fldCharType="begin"/>
    </w:r>
    <w:r>
      <w:rPr>
        <w:rStyle w:val="21"/>
      </w:rPr>
      <w:instrText xml:space="preserve">PAGE  </w:instrText>
    </w:r>
    <w: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left="320" w:leftChars="100" w:right="320" w:rightChars="100" w:firstLine="0" w:firstLineChars="0"/>
      <w:jc w:val="center"/>
      <w:rPr>
        <w:rStyle w:val="21"/>
        <w:sz w:val="28"/>
        <w:szCs w:val="28"/>
      </w:rPr>
    </w:pPr>
    <w:r>
      <w:rPr>
        <w:rStyle w:val="21"/>
        <w:rFonts w:hint="eastAsia"/>
        <w:sz w:val="28"/>
        <w:szCs w:val="28"/>
      </w:rPr>
      <w:t xml:space="preserve">— </w:t>
    </w:r>
    <w:r>
      <w:rPr>
        <w:sz w:val="28"/>
        <w:szCs w:val="28"/>
      </w:rPr>
      <w:fldChar w:fldCharType="begin"/>
    </w:r>
    <w:r>
      <w:rPr>
        <w:rStyle w:val="21"/>
        <w:sz w:val="28"/>
        <w:szCs w:val="28"/>
      </w:rPr>
      <w:instrText xml:space="preserve">PAGE  </w:instrText>
    </w:r>
    <w:r>
      <w:rPr>
        <w:sz w:val="28"/>
        <w:szCs w:val="28"/>
      </w:rPr>
      <w:fldChar w:fldCharType="separate"/>
    </w:r>
    <w:r>
      <w:rPr>
        <w:rStyle w:val="21"/>
        <w:sz w:val="28"/>
        <w:szCs w:val="28"/>
      </w:rPr>
      <w:t>2</w:t>
    </w:r>
    <w:r>
      <w:rPr>
        <w:sz w:val="28"/>
        <w:szCs w:val="28"/>
      </w:rPr>
      <w:fldChar w:fldCharType="end"/>
    </w:r>
    <w:r>
      <w:rPr>
        <w:rStyle w:val="21"/>
        <w:rFonts w:hint="eastAsia"/>
        <w:sz w:val="28"/>
        <w:szCs w:val="28"/>
      </w:rPr>
      <w:t xml:space="preserve"> —</w:t>
    </w:r>
  </w:p>
  <w:p>
    <w:pPr>
      <w:pStyle w:val="12"/>
      <w:ind w:right="360" w:firstLine="36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360"/>
      <w:rPr>
        <w:rStyle w:val="21"/>
      </w:rPr>
    </w:pPr>
    <w:r>
      <w:fldChar w:fldCharType="begin"/>
    </w:r>
    <w:r>
      <w:rPr>
        <w:rStyle w:val="21"/>
      </w:rPr>
      <w:instrText xml:space="preserve">PAGE  </w:instrText>
    </w:r>
    <w:r>
      <w:fldChar w:fldCharType="end"/>
    </w:r>
  </w:p>
  <w:p>
    <w:pPr>
      <w:pStyle w:val="12"/>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left"/>
      <w:rPr>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left"/>
      <w:rPr>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lef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ind w:firstLine="360"/>
      <w:rPr>
        <w:sz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ind w:firstLine="360"/>
      <w:rPr>
        <w:sz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ind w:firstLine="360"/>
      <w:rPr>
        <w:sz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ind w:firstLine="360"/>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ind w:firstLine="360"/>
      <w:rPr>
        <w:rStyle w:val="21"/>
      </w:rPr>
    </w:pPr>
    <w:r>
      <w:fldChar w:fldCharType="begin"/>
    </w:r>
    <w:r>
      <w:rPr>
        <w:rStyle w:val="21"/>
      </w:rPr>
      <w:instrText xml:space="preserve">PAGE  </w:instrText>
    </w:r>
    <w:r>
      <w:fldChar w:fldCharType="end"/>
    </w:r>
  </w:p>
  <w:p>
    <w:pPr>
      <w:pStyle w:val="13"/>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ind w:firstLine="360"/>
      <w:rPr>
        <w:rStyle w:val="21"/>
      </w:rPr>
    </w:pPr>
    <w:r>
      <w:fldChar w:fldCharType="begin"/>
    </w:r>
    <w:r>
      <w:rPr>
        <w:rStyle w:val="21"/>
      </w:rPr>
      <w:instrText xml:space="preserve">PAGE  </w:instrText>
    </w:r>
    <w:r>
      <w:fldChar w:fldCharType="end"/>
    </w:r>
  </w:p>
  <w:p>
    <w:pPr>
      <w:pStyle w:val="13"/>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ind w:firstLine="360"/>
      <w:rPr>
        <w:sz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ind w:firstLine="360"/>
      <w:rPr>
        <w:sz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ind w:firstLine="360"/>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cumentProtection w:edit="readOnly" w:enforcement="0"/>
  <w:defaultTabStop w:val="419"/>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5YjEyZTdiMTk1ZDQwMjZjNDRmMDczMDgwMWUwYzkifQ=="/>
  </w:docVars>
  <w:rsids>
    <w:rsidRoot w:val="00681307"/>
    <w:rsid w:val="000000D7"/>
    <w:rsid w:val="00005D72"/>
    <w:rsid w:val="00015D92"/>
    <w:rsid w:val="00043C9B"/>
    <w:rsid w:val="000542D7"/>
    <w:rsid w:val="000652DE"/>
    <w:rsid w:val="000667DB"/>
    <w:rsid w:val="000A7880"/>
    <w:rsid w:val="000B2608"/>
    <w:rsid w:val="000B5D07"/>
    <w:rsid w:val="000C134B"/>
    <w:rsid w:val="000D1863"/>
    <w:rsid w:val="000D310C"/>
    <w:rsid w:val="000E6156"/>
    <w:rsid w:val="001044D3"/>
    <w:rsid w:val="00107CFE"/>
    <w:rsid w:val="001243CB"/>
    <w:rsid w:val="00141C24"/>
    <w:rsid w:val="00144474"/>
    <w:rsid w:val="001500DA"/>
    <w:rsid w:val="001502B4"/>
    <w:rsid w:val="001568C8"/>
    <w:rsid w:val="0016549A"/>
    <w:rsid w:val="001718F6"/>
    <w:rsid w:val="00174AFA"/>
    <w:rsid w:val="00177999"/>
    <w:rsid w:val="001845F7"/>
    <w:rsid w:val="001914E2"/>
    <w:rsid w:val="001A0027"/>
    <w:rsid w:val="001A0940"/>
    <w:rsid w:val="001B27BC"/>
    <w:rsid w:val="001B28FA"/>
    <w:rsid w:val="001C09B8"/>
    <w:rsid w:val="001D256B"/>
    <w:rsid w:val="001F22C7"/>
    <w:rsid w:val="0021246A"/>
    <w:rsid w:val="00216CBB"/>
    <w:rsid w:val="00227388"/>
    <w:rsid w:val="002348F8"/>
    <w:rsid w:val="002354F2"/>
    <w:rsid w:val="00246EB0"/>
    <w:rsid w:val="0025316C"/>
    <w:rsid w:val="00263436"/>
    <w:rsid w:val="002717A0"/>
    <w:rsid w:val="00271A4A"/>
    <w:rsid w:val="002762ED"/>
    <w:rsid w:val="002A01E1"/>
    <w:rsid w:val="002A6B97"/>
    <w:rsid w:val="002C34E4"/>
    <w:rsid w:val="002D19A8"/>
    <w:rsid w:val="002D2A59"/>
    <w:rsid w:val="002E6478"/>
    <w:rsid w:val="003122B1"/>
    <w:rsid w:val="0031571C"/>
    <w:rsid w:val="00320403"/>
    <w:rsid w:val="003420B0"/>
    <w:rsid w:val="0035187B"/>
    <w:rsid w:val="0035257E"/>
    <w:rsid w:val="00355836"/>
    <w:rsid w:val="00373FA7"/>
    <w:rsid w:val="00380239"/>
    <w:rsid w:val="003D0A19"/>
    <w:rsid w:val="003D0E6F"/>
    <w:rsid w:val="00400103"/>
    <w:rsid w:val="00401E7E"/>
    <w:rsid w:val="00412123"/>
    <w:rsid w:val="0041301A"/>
    <w:rsid w:val="00425EC0"/>
    <w:rsid w:val="00436017"/>
    <w:rsid w:val="00447D58"/>
    <w:rsid w:val="004735B7"/>
    <w:rsid w:val="00477B73"/>
    <w:rsid w:val="00494CF6"/>
    <w:rsid w:val="004A15B4"/>
    <w:rsid w:val="004B2134"/>
    <w:rsid w:val="004B5F3D"/>
    <w:rsid w:val="004B7984"/>
    <w:rsid w:val="004C3EDB"/>
    <w:rsid w:val="004C484C"/>
    <w:rsid w:val="004D1FBF"/>
    <w:rsid w:val="004E6088"/>
    <w:rsid w:val="00507353"/>
    <w:rsid w:val="00515661"/>
    <w:rsid w:val="005223C2"/>
    <w:rsid w:val="005304FF"/>
    <w:rsid w:val="00537205"/>
    <w:rsid w:val="005410B7"/>
    <w:rsid w:val="00542772"/>
    <w:rsid w:val="005428BE"/>
    <w:rsid w:val="00544838"/>
    <w:rsid w:val="0055408E"/>
    <w:rsid w:val="005608E4"/>
    <w:rsid w:val="005A14BD"/>
    <w:rsid w:val="005A1734"/>
    <w:rsid w:val="005A239D"/>
    <w:rsid w:val="005A4623"/>
    <w:rsid w:val="005C494F"/>
    <w:rsid w:val="005D3982"/>
    <w:rsid w:val="005E1495"/>
    <w:rsid w:val="005F1197"/>
    <w:rsid w:val="005F172C"/>
    <w:rsid w:val="005F2FC3"/>
    <w:rsid w:val="00604A11"/>
    <w:rsid w:val="0060639D"/>
    <w:rsid w:val="006142E3"/>
    <w:rsid w:val="00646273"/>
    <w:rsid w:val="00647F2C"/>
    <w:rsid w:val="00655085"/>
    <w:rsid w:val="00681307"/>
    <w:rsid w:val="00691377"/>
    <w:rsid w:val="006B115C"/>
    <w:rsid w:val="006D0FEF"/>
    <w:rsid w:val="006E488B"/>
    <w:rsid w:val="006F1916"/>
    <w:rsid w:val="00704850"/>
    <w:rsid w:val="00706507"/>
    <w:rsid w:val="00722E42"/>
    <w:rsid w:val="00743029"/>
    <w:rsid w:val="00743860"/>
    <w:rsid w:val="00777346"/>
    <w:rsid w:val="00786827"/>
    <w:rsid w:val="00794F54"/>
    <w:rsid w:val="007A32D4"/>
    <w:rsid w:val="007A454D"/>
    <w:rsid w:val="007D3FFF"/>
    <w:rsid w:val="007E7731"/>
    <w:rsid w:val="00806515"/>
    <w:rsid w:val="008102B7"/>
    <w:rsid w:val="00824182"/>
    <w:rsid w:val="00830132"/>
    <w:rsid w:val="00836532"/>
    <w:rsid w:val="0087778C"/>
    <w:rsid w:val="00882F61"/>
    <w:rsid w:val="008A327D"/>
    <w:rsid w:val="008A3415"/>
    <w:rsid w:val="008B4ABC"/>
    <w:rsid w:val="008D1EEF"/>
    <w:rsid w:val="008E1D42"/>
    <w:rsid w:val="008E2C07"/>
    <w:rsid w:val="008E323B"/>
    <w:rsid w:val="008E396A"/>
    <w:rsid w:val="009003B3"/>
    <w:rsid w:val="0090294D"/>
    <w:rsid w:val="0090413A"/>
    <w:rsid w:val="0091325D"/>
    <w:rsid w:val="00923272"/>
    <w:rsid w:val="00923782"/>
    <w:rsid w:val="00933992"/>
    <w:rsid w:val="0094411C"/>
    <w:rsid w:val="009516A7"/>
    <w:rsid w:val="00954A4C"/>
    <w:rsid w:val="009A275E"/>
    <w:rsid w:val="009A450A"/>
    <w:rsid w:val="009C121D"/>
    <w:rsid w:val="00A41412"/>
    <w:rsid w:val="00A5105F"/>
    <w:rsid w:val="00A5309B"/>
    <w:rsid w:val="00A556C1"/>
    <w:rsid w:val="00A8412F"/>
    <w:rsid w:val="00A85F56"/>
    <w:rsid w:val="00A95B3F"/>
    <w:rsid w:val="00AA7B7F"/>
    <w:rsid w:val="00AC646F"/>
    <w:rsid w:val="00AF5FAD"/>
    <w:rsid w:val="00B160D2"/>
    <w:rsid w:val="00B3125D"/>
    <w:rsid w:val="00B36E16"/>
    <w:rsid w:val="00B43AA2"/>
    <w:rsid w:val="00B4559D"/>
    <w:rsid w:val="00B57A8C"/>
    <w:rsid w:val="00B835CE"/>
    <w:rsid w:val="00B9226F"/>
    <w:rsid w:val="00BC0610"/>
    <w:rsid w:val="00BD2F8F"/>
    <w:rsid w:val="00BF4187"/>
    <w:rsid w:val="00C07936"/>
    <w:rsid w:val="00C2790D"/>
    <w:rsid w:val="00C3415B"/>
    <w:rsid w:val="00C62C0D"/>
    <w:rsid w:val="00C6649D"/>
    <w:rsid w:val="00C734B8"/>
    <w:rsid w:val="00C81B56"/>
    <w:rsid w:val="00C833FA"/>
    <w:rsid w:val="00C85240"/>
    <w:rsid w:val="00C91DC7"/>
    <w:rsid w:val="00CA2943"/>
    <w:rsid w:val="00CA318F"/>
    <w:rsid w:val="00CB04A5"/>
    <w:rsid w:val="00CB4208"/>
    <w:rsid w:val="00CB47DE"/>
    <w:rsid w:val="00CD3E48"/>
    <w:rsid w:val="00CD5551"/>
    <w:rsid w:val="00CD64BF"/>
    <w:rsid w:val="00D02A2C"/>
    <w:rsid w:val="00D02A61"/>
    <w:rsid w:val="00D41E44"/>
    <w:rsid w:val="00D570C2"/>
    <w:rsid w:val="00D63B78"/>
    <w:rsid w:val="00D64490"/>
    <w:rsid w:val="00D71225"/>
    <w:rsid w:val="00D93A5E"/>
    <w:rsid w:val="00DB0627"/>
    <w:rsid w:val="00DB192F"/>
    <w:rsid w:val="00DC6E6D"/>
    <w:rsid w:val="00DD35E7"/>
    <w:rsid w:val="00DD436E"/>
    <w:rsid w:val="00DE1C7D"/>
    <w:rsid w:val="00DF21FA"/>
    <w:rsid w:val="00DF7875"/>
    <w:rsid w:val="00E1530D"/>
    <w:rsid w:val="00E20307"/>
    <w:rsid w:val="00E253BE"/>
    <w:rsid w:val="00E41945"/>
    <w:rsid w:val="00E41F23"/>
    <w:rsid w:val="00E509EF"/>
    <w:rsid w:val="00E70FB6"/>
    <w:rsid w:val="00E771F9"/>
    <w:rsid w:val="00E82325"/>
    <w:rsid w:val="00E932E4"/>
    <w:rsid w:val="00E943FF"/>
    <w:rsid w:val="00E95521"/>
    <w:rsid w:val="00EA3229"/>
    <w:rsid w:val="00EB50E7"/>
    <w:rsid w:val="00EE31B7"/>
    <w:rsid w:val="00EE77FC"/>
    <w:rsid w:val="00EF4311"/>
    <w:rsid w:val="00F01E92"/>
    <w:rsid w:val="00F12E59"/>
    <w:rsid w:val="00F232AC"/>
    <w:rsid w:val="00F37700"/>
    <w:rsid w:val="00F450C5"/>
    <w:rsid w:val="00F4662D"/>
    <w:rsid w:val="00F73EE7"/>
    <w:rsid w:val="00F82D71"/>
    <w:rsid w:val="00F86146"/>
    <w:rsid w:val="00F918BF"/>
    <w:rsid w:val="00F948D1"/>
    <w:rsid w:val="00FA0E55"/>
    <w:rsid w:val="00FC6DFD"/>
    <w:rsid w:val="00FD333B"/>
    <w:rsid w:val="00FE5DB8"/>
    <w:rsid w:val="00FE7FEE"/>
    <w:rsid w:val="00FF2D54"/>
    <w:rsid w:val="00FF6410"/>
    <w:rsid w:val="00FF6CB2"/>
    <w:rsid w:val="01320F37"/>
    <w:rsid w:val="01972B3C"/>
    <w:rsid w:val="01F87FED"/>
    <w:rsid w:val="026C1D79"/>
    <w:rsid w:val="02895BF1"/>
    <w:rsid w:val="02A44684"/>
    <w:rsid w:val="039B5E8D"/>
    <w:rsid w:val="04167D01"/>
    <w:rsid w:val="04696E99"/>
    <w:rsid w:val="05293A53"/>
    <w:rsid w:val="05DB27FB"/>
    <w:rsid w:val="06BA1FDA"/>
    <w:rsid w:val="06F3361A"/>
    <w:rsid w:val="07842944"/>
    <w:rsid w:val="07973E57"/>
    <w:rsid w:val="07E234E5"/>
    <w:rsid w:val="08503890"/>
    <w:rsid w:val="08625845"/>
    <w:rsid w:val="08676E82"/>
    <w:rsid w:val="08E21404"/>
    <w:rsid w:val="0A71242F"/>
    <w:rsid w:val="0AA57F70"/>
    <w:rsid w:val="0B1D307D"/>
    <w:rsid w:val="0B3C0571"/>
    <w:rsid w:val="0C387DD6"/>
    <w:rsid w:val="0DBF4759"/>
    <w:rsid w:val="0E374880"/>
    <w:rsid w:val="0E8334A3"/>
    <w:rsid w:val="0F0F566F"/>
    <w:rsid w:val="0F2A72DB"/>
    <w:rsid w:val="0FEF3D9F"/>
    <w:rsid w:val="0FFE14CF"/>
    <w:rsid w:val="112C4848"/>
    <w:rsid w:val="11E202A1"/>
    <w:rsid w:val="12816786"/>
    <w:rsid w:val="13DB4D2F"/>
    <w:rsid w:val="146D33B7"/>
    <w:rsid w:val="14A37E95"/>
    <w:rsid w:val="14D60337"/>
    <w:rsid w:val="15AD2B00"/>
    <w:rsid w:val="16414CDE"/>
    <w:rsid w:val="168C4783"/>
    <w:rsid w:val="16BF74D5"/>
    <w:rsid w:val="1733101D"/>
    <w:rsid w:val="1783094E"/>
    <w:rsid w:val="17D67707"/>
    <w:rsid w:val="181308D4"/>
    <w:rsid w:val="18E840F0"/>
    <w:rsid w:val="19884FB0"/>
    <w:rsid w:val="1BEC3F28"/>
    <w:rsid w:val="1BFC79F0"/>
    <w:rsid w:val="1C1B5C94"/>
    <w:rsid w:val="1C603010"/>
    <w:rsid w:val="1D3B2C93"/>
    <w:rsid w:val="1E030B7F"/>
    <w:rsid w:val="1F7D25CE"/>
    <w:rsid w:val="20221FB4"/>
    <w:rsid w:val="20497198"/>
    <w:rsid w:val="20985FC4"/>
    <w:rsid w:val="20DF7CCB"/>
    <w:rsid w:val="20EE5F88"/>
    <w:rsid w:val="22844AA6"/>
    <w:rsid w:val="229B547A"/>
    <w:rsid w:val="22D74DB6"/>
    <w:rsid w:val="23083F2F"/>
    <w:rsid w:val="23857924"/>
    <w:rsid w:val="242142DB"/>
    <w:rsid w:val="2718287F"/>
    <w:rsid w:val="271D3697"/>
    <w:rsid w:val="27AA3121"/>
    <w:rsid w:val="27EA41F0"/>
    <w:rsid w:val="29012460"/>
    <w:rsid w:val="2A172D8F"/>
    <w:rsid w:val="2B544E2A"/>
    <w:rsid w:val="2BE226D5"/>
    <w:rsid w:val="2C0942D9"/>
    <w:rsid w:val="2D075990"/>
    <w:rsid w:val="2DDD5418"/>
    <w:rsid w:val="2DED7226"/>
    <w:rsid w:val="2E1E2D93"/>
    <w:rsid w:val="2E5F5432"/>
    <w:rsid w:val="2E763A36"/>
    <w:rsid w:val="2ED35300"/>
    <w:rsid w:val="2EE8655E"/>
    <w:rsid w:val="312361A3"/>
    <w:rsid w:val="313D6112"/>
    <w:rsid w:val="31993389"/>
    <w:rsid w:val="31CE5916"/>
    <w:rsid w:val="31D743FB"/>
    <w:rsid w:val="31E139AE"/>
    <w:rsid w:val="3203221A"/>
    <w:rsid w:val="320E2B94"/>
    <w:rsid w:val="32CC77F8"/>
    <w:rsid w:val="32E0741E"/>
    <w:rsid w:val="332A6046"/>
    <w:rsid w:val="3391679F"/>
    <w:rsid w:val="33B67156"/>
    <w:rsid w:val="34202D07"/>
    <w:rsid w:val="343A1BE3"/>
    <w:rsid w:val="34730D0D"/>
    <w:rsid w:val="34B407AB"/>
    <w:rsid w:val="34DE5D60"/>
    <w:rsid w:val="35144DB0"/>
    <w:rsid w:val="353B3727"/>
    <w:rsid w:val="35DA73D7"/>
    <w:rsid w:val="35F1799C"/>
    <w:rsid w:val="36096582"/>
    <w:rsid w:val="3611717E"/>
    <w:rsid w:val="36951DAF"/>
    <w:rsid w:val="36E27C2A"/>
    <w:rsid w:val="375B4494"/>
    <w:rsid w:val="37992713"/>
    <w:rsid w:val="37BA77B4"/>
    <w:rsid w:val="37F9029C"/>
    <w:rsid w:val="37FB709A"/>
    <w:rsid w:val="392808FE"/>
    <w:rsid w:val="39363963"/>
    <w:rsid w:val="395D6490"/>
    <w:rsid w:val="3A7246B9"/>
    <w:rsid w:val="3B634443"/>
    <w:rsid w:val="3C8935A2"/>
    <w:rsid w:val="3CBB6227"/>
    <w:rsid w:val="3D0374D5"/>
    <w:rsid w:val="3D75375C"/>
    <w:rsid w:val="3E2B3D31"/>
    <w:rsid w:val="3E4B7BF5"/>
    <w:rsid w:val="3FCF3FC3"/>
    <w:rsid w:val="40680319"/>
    <w:rsid w:val="40B6797E"/>
    <w:rsid w:val="40C8701A"/>
    <w:rsid w:val="40CE32C7"/>
    <w:rsid w:val="41211291"/>
    <w:rsid w:val="41B034D0"/>
    <w:rsid w:val="41F369F2"/>
    <w:rsid w:val="4214294D"/>
    <w:rsid w:val="43F10803"/>
    <w:rsid w:val="444F4E4E"/>
    <w:rsid w:val="450921B2"/>
    <w:rsid w:val="45366F87"/>
    <w:rsid w:val="45D02382"/>
    <w:rsid w:val="45D27A71"/>
    <w:rsid w:val="46351143"/>
    <w:rsid w:val="467B1F2B"/>
    <w:rsid w:val="46F91FBA"/>
    <w:rsid w:val="47582478"/>
    <w:rsid w:val="48163A98"/>
    <w:rsid w:val="49070C9C"/>
    <w:rsid w:val="490C305D"/>
    <w:rsid w:val="4912619B"/>
    <w:rsid w:val="4A9E38AD"/>
    <w:rsid w:val="4B26641B"/>
    <w:rsid w:val="4B582950"/>
    <w:rsid w:val="4B6324C3"/>
    <w:rsid w:val="4B946CD6"/>
    <w:rsid w:val="4C24439E"/>
    <w:rsid w:val="4CA13F14"/>
    <w:rsid w:val="4CBB3421"/>
    <w:rsid w:val="4F1E619A"/>
    <w:rsid w:val="4F215F09"/>
    <w:rsid w:val="4FAD4FD6"/>
    <w:rsid w:val="4FC87A5E"/>
    <w:rsid w:val="500D064C"/>
    <w:rsid w:val="50271049"/>
    <w:rsid w:val="517124B8"/>
    <w:rsid w:val="51DC525C"/>
    <w:rsid w:val="5442303F"/>
    <w:rsid w:val="546408BB"/>
    <w:rsid w:val="54F42493"/>
    <w:rsid w:val="554A6F05"/>
    <w:rsid w:val="557A060E"/>
    <w:rsid w:val="55FF46A3"/>
    <w:rsid w:val="569B3C03"/>
    <w:rsid w:val="56C427C8"/>
    <w:rsid w:val="56D53540"/>
    <w:rsid w:val="57711F8D"/>
    <w:rsid w:val="57B74101"/>
    <w:rsid w:val="58A7302E"/>
    <w:rsid w:val="59F03F7F"/>
    <w:rsid w:val="5A273636"/>
    <w:rsid w:val="5A373434"/>
    <w:rsid w:val="5B5D78D6"/>
    <w:rsid w:val="5B6E4FF9"/>
    <w:rsid w:val="5CD84565"/>
    <w:rsid w:val="5CDA710D"/>
    <w:rsid w:val="5D095A84"/>
    <w:rsid w:val="5D503EFA"/>
    <w:rsid w:val="5D525347"/>
    <w:rsid w:val="5DB070F2"/>
    <w:rsid w:val="5E0C0CE9"/>
    <w:rsid w:val="5E2F22AD"/>
    <w:rsid w:val="5E5B0E8F"/>
    <w:rsid w:val="5F256084"/>
    <w:rsid w:val="5F4A311D"/>
    <w:rsid w:val="5FA41CC7"/>
    <w:rsid w:val="60BA45C0"/>
    <w:rsid w:val="60DF023C"/>
    <w:rsid w:val="61656864"/>
    <w:rsid w:val="62152A18"/>
    <w:rsid w:val="62826318"/>
    <w:rsid w:val="638D7859"/>
    <w:rsid w:val="64B7383B"/>
    <w:rsid w:val="65E74C33"/>
    <w:rsid w:val="666C46D3"/>
    <w:rsid w:val="66700D20"/>
    <w:rsid w:val="67BF7577"/>
    <w:rsid w:val="67E231E7"/>
    <w:rsid w:val="68F3005B"/>
    <w:rsid w:val="69185E27"/>
    <w:rsid w:val="69640D1D"/>
    <w:rsid w:val="69931B13"/>
    <w:rsid w:val="699F7ABF"/>
    <w:rsid w:val="69C84370"/>
    <w:rsid w:val="6A544FA2"/>
    <w:rsid w:val="6ABE35B9"/>
    <w:rsid w:val="6BF44BEF"/>
    <w:rsid w:val="6C8114A8"/>
    <w:rsid w:val="6CBA7EFF"/>
    <w:rsid w:val="6DC71E92"/>
    <w:rsid w:val="6E386F05"/>
    <w:rsid w:val="6F43676D"/>
    <w:rsid w:val="6FC105AB"/>
    <w:rsid w:val="706B1746"/>
    <w:rsid w:val="71FE6715"/>
    <w:rsid w:val="71FF43CB"/>
    <w:rsid w:val="722C0EF1"/>
    <w:rsid w:val="726F0540"/>
    <w:rsid w:val="72AC0396"/>
    <w:rsid w:val="72FF4BEA"/>
    <w:rsid w:val="739D2301"/>
    <w:rsid w:val="73CB5930"/>
    <w:rsid w:val="74297178"/>
    <w:rsid w:val="74D17F82"/>
    <w:rsid w:val="754512B4"/>
    <w:rsid w:val="757931E4"/>
    <w:rsid w:val="75F22333"/>
    <w:rsid w:val="76D54F93"/>
    <w:rsid w:val="77F30ABA"/>
    <w:rsid w:val="77F3616A"/>
    <w:rsid w:val="78980372"/>
    <w:rsid w:val="78B24459"/>
    <w:rsid w:val="78C57DB7"/>
    <w:rsid w:val="78F5661F"/>
    <w:rsid w:val="79242F0D"/>
    <w:rsid w:val="7964584A"/>
    <w:rsid w:val="79BB0BE1"/>
    <w:rsid w:val="7AD918C8"/>
    <w:rsid w:val="7BD1208C"/>
    <w:rsid w:val="7C290995"/>
    <w:rsid w:val="7DF85DA6"/>
    <w:rsid w:val="7E225162"/>
    <w:rsid w:val="7F41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name="header"/>
    <w:lsdException w:qFormat="1" w:unhideWhenUsed="0" w:uiPriority="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20" w:firstLineChars="200"/>
      <w:jc w:val="both"/>
    </w:pPr>
    <w:rPr>
      <w:rFonts w:ascii="Times New Roman" w:hAnsi="Times New Roman" w:eastAsia="仿宋_GB2312" w:cs="Times New Roman"/>
      <w:kern w:val="2"/>
      <w:sz w:val="32"/>
      <w:szCs w:val="24"/>
      <w:lang w:val="en-US" w:eastAsia="zh-CN" w:bidi="ar-SA"/>
    </w:rPr>
  </w:style>
  <w:style w:type="paragraph" w:styleId="3">
    <w:name w:val="heading 1"/>
    <w:basedOn w:val="1"/>
    <w:next w:val="1"/>
    <w:link w:val="54"/>
    <w:qFormat/>
    <w:uiPriority w:val="0"/>
    <w:pPr>
      <w:spacing w:line="700" w:lineRule="atLeast"/>
      <w:ind w:firstLine="0" w:firstLineChars="0"/>
      <w:jc w:val="center"/>
      <w:outlineLvl w:val="0"/>
    </w:pPr>
    <w:rPr>
      <w:rFonts w:eastAsia="方正小标宋_GBK"/>
      <w:bCs/>
      <w:kern w:val="44"/>
      <w:sz w:val="44"/>
      <w:szCs w:val="32"/>
    </w:rPr>
  </w:style>
  <w:style w:type="paragraph" w:styleId="4">
    <w:name w:val="heading 2"/>
    <w:basedOn w:val="1"/>
    <w:next w:val="1"/>
    <w:link w:val="52"/>
    <w:qFormat/>
    <w:uiPriority w:val="0"/>
    <w:pPr>
      <w:spacing w:before="240" w:beforeLines="100" w:after="240" w:afterLines="100" w:line="560" w:lineRule="atLeast"/>
      <w:ind w:firstLine="0" w:firstLineChars="0"/>
      <w:jc w:val="center"/>
      <w:outlineLvl w:val="1"/>
    </w:pPr>
    <w:rPr>
      <w:rFonts w:eastAsia="楷体_GB2312"/>
      <w:b/>
      <w:bCs/>
      <w:color w:val="000000"/>
      <w:szCs w:val="32"/>
    </w:rPr>
  </w:style>
  <w:style w:type="paragraph" w:styleId="5">
    <w:name w:val="heading 3"/>
    <w:basedOn w:val="1"/>
    <w:next w:val="1"/>
    <w:link w:val="46"/>
    <w:qFormat/>
    <w:uiPriority w:val="0"/>
    <w:pPr>
      <w:spacing w:line="560" w:lineRule="atLeast"/>
      <w:ind w:firstLine="640"/>
      <w:outlineLvl w:val="2"/>
    </w:pPr>
    <w:rPr>
      <w:rFonts w:eastAsia="黑体"/>
      <w:bCs/>
      <w:color w:val="000000"/>
      <w:szCs w:val="32"/>
    </w:rPr>
  </w:style>
  <w:style w:type="character" w:default="1" w:styleId="20">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customStyle="1" w:styleId="2">
    <w:name w:val="实施方案正文"/>
    <w:basedOn w:val="1"/>
    <w:qFormat/>
    <w:uiPriority w:val="0"/>
    <w:pPr>
      <w:ind w:firstLine="566" w:firstLineChars="202"/>
    </w:pPr>
  </w:style>
  <w:style w:type="paragraph" w:styleId="6">
    <w:name w:val="Normal Indent"/>
    <w:basedOn w:val="1"/>
    <w:next w:val="1"/>
    <w:qFormat/>
    <w:uiPriority w:val="0"/>
  </w:style>
  <w:style w:type="paragraph" w:styleId="7">
    <w:name w:val="Document Map"/>
    <w:basedOn w:val="1"/>
    <w:link w:val="50"/>
    <w:qFormat/>
    <w:uiPriority w:val="0"/>
    <w:rPr>
      <w:rFonts w:ascii="宋体" w:eastAsia="Times New Roman"/>
      <w:sz w:val="18"/>
      <w:szCs w:val="18"/>
    </w:rPr>
  </w:style>
  <w:style w:type="paragraph" w:styleId="8">
    <w:name w:val="annotation text"/>
    <w:basedOn w:val="1"/>
    <w:qFormat/>
    <w:uiPriority w:val="0"/>
    <w:pPr>
      <w:jc w:val="left"/>
    </w:pPr>
  </w:style>
  <w:style w:type="paragraph" w:styleId="9">
    <w:name w:val="Body Text"/>
    <w:basedOn w:val="1"/>
    <w:link w:val="51"/>
    <w:qFormat/>
    <w:uiPriority w:val="0"/>
    <w:rPr>
      <w:rFonts w:ascii="仿宋_GB2312" w:hAnsi="仿宋_GB2312"/>
      <w:szCs w:val="32"/>
      <w:lang w:val="zh-CN"/>
    </w:rPr>
  </w:style>
  <w:style w:type="paragraph" w:styleId="10">
    <w:name w:val="toc 3"/>
    <w:basedOn w:val="1"/>
    <w:next w:val="1"/>
    <w:semiHidden/>
    <w:qFormat/>
    <w:uiPriority w:val="0"/>
    <w:pPr>
      <w:ind w:left="840" w:leftChars="400"/>
    </w:pPr>
  </w:style>
  <w:style w:type="paragraph" w:styleId="11">
    <w:name w:val="Balloon Text"/>
    <w:basedOn w:val="1"/>
    <w:semiHidden/>
    <w:qFormat/>
    <w:uiPriority w:val="0"/>
    <w:rPr>
      <w:sz w:val="18"/>
      <w:szCs w:val="18"/>
    </w:rPr>
  </w:style>
  <w:style w:type="paragraph" w:styleId="12">
    <w:name w:val="footer"/>
    <w:basedOn w:val="1"/>
    <w:link w:val="47"/>
    <w:semiHidden/>
    <w:qFormat/>
    <w:uiPriority w:val="0"/>
    <w:pPr>
      <w:tabs>
        <w:tab w:val="center" w:pos="4153"/>
        <w:tab w:val="right" w:pos="8306"/>
      </w:tabs>
      <w:snapToGrid w:val="0"/>
      <w:jc w:val="left"/>
    </w:pPr>
    <w:rPr>
      <w:sz w:val="18"/>
      <w:szCs w:val="18"/>
    </w:rPr>
  </w:style>
  <w:style w:type="paragraph" w:styleId="13">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8296"/>
      </w:tabs>
      <w:ind w:firstLine="0" w:firstLineChars="0"/>
      <w:jc w:val="center"/>
    </w:pPr>
    <w:rPr>
      <w:rFonts w:ascii="宋体" w:hAnsi="宋体" w:eastAsia="宋体" w:cs="Calibri"/>
      <w:b/>
      <w:bCs/>
      <w:caps/>
      <w:sz w:val="30"/>
      <w:szCs w:val="30"/>
    </w:rPr>
  </w:style>
  <w:style w:type="paragraph" w:styleId="15">
    <w:name w:val="footnote text"/>
    <w:basedOn w:val="1"/>
    <w:link w:val="48"/>
    <w:qFormat/>
    <w:uiPriority w:val="0"/>
    <w:pPr>
      <w:snapToGrid w:val="0"/>
      <w:jc w:val="left"/>
    </w:pPr>
    <w:rPr>
      <w:sz w:val="18"/>
    </w:rPr>
  </w:style>
  <w:style w:type="paragraph" w:styleId="16">
    <w:name w:val="toc 2"/>
    <w:basedOn w:val="1"/>
    <w:next w:val="1"/>
    <w:qFormat/>
    <w:uiPriority w:val="39"/>
    <w:pPr>
      <w:ind w:left="320"/>
      <w:jc w:val="left"/>
    </w:pPr>
    <w:rPr>
      <w:rFonts w:ascii="Calibri" w:hAnsi="Calibri" w:cs="Calibri"/>
      <w:smallCaps/>
      <w:sz w:val="20"/>
      <w:szCs w:val="20"/>
    </w:rPr>
  </w:style>
  <w:style w:type="paragraph" w:styleId="17">
    <w:name w:val="Normal (Web)"/>
    <w:basedOn w:val="1"/>
    <w:qFormat/>
    <w:uiPriority w:val="0"/>
    <w:pPr>
      <w:spacing w:before="100" w:beforeAutospacing="1" w:after="100" w:afterAutospacing="1"/>
      <w:jc w:val="left"/>
    </w:pPr>
    <w:rPr>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semiHidden/>
    <w:qFormat/>
    <w:uiPriority w:val="0"/>
  </w:style>
  <w:style w:type="character" w:styleId="22">
    <w:name w:val="Emphasis"/>
    <w:basedOn w:val="20"/>
    <w:qFormat/>
    <w:uiPriority w:val="0"/>
    <w:rPr>
      <w:i/>
    </w:rPr>
  </w:style>
  <w:style w:type="character" w:styleId="23">
    <w:name w:val="Hyperlink"/>
    <w:basedOn w:val="20"/>
    <w:qFormat/>
    <w:uiPriority w:val="99"/>
    <w:rPr>
      <w:color w:val="0000FF"/>
      <w:u w:val="single"/>
    </w:rPr>
  </w:style>
  <w:style w:type="paragraph" w:customStyle="1" w:styleId="24">
    <w:name w:val="Default"/>
    <w:qFormat/>
    <w:uiPriority w:val="0"/>
    <w:pPr>
      <w:widowControl w:val="0"/>
      <w:autoSpaceDE w:val="0"/>
      <w:autoSpaceDN w:val="0"/>
      <w:adjustRightInd w:val="0"/>
    </w:pPr>
    <w:rPr>
      <w:rFonts w:ascii="华文仿宋" w:hAnsi="Times New Roman" w:eastAsia="华文仿宋" w:cs="华文仿宋"/>
      <w:color w:val="000000"/>
      <w:sz w:val="24"/>
      <w:szCs w:val="24"/>
      <w:lang w:val="en-US" w:eastAsia="zh-CN" w:bidi="ar-SA"/>
    </w:rPr>
  </w:style>
  <w:style w:type="paragraph" w:customStyle="1" w:styleId="25">
    <w:name w:val="批注框文本 Char Char"/>
    <w:basedOn w:val="1"/>
    <w:link w:val="49"/>
    <w:qFormat/>
    <w:uiPriority w:val="0"/>
    <w:rPr>
      <w:sz w:val="18"/>
      <w:szCs w:val="18"/>
    </w:rPr>
  </w:style>
  <w:style w:type="paragraph" w:customStyle="1" w:styleId="26">
    <w:name w:val="非目录标题"/>
    <w:basedOn w:val="1"/>
    <w:qFormat/>
    <w:uiPriority w:val="0"/>
    <w:pPr>
      <w:spacing w:line="700" w:lineRule="atLeast"/>
      <w:jc w:val="center"/>
    </w:pPr>
    <w:rPr>
      <w:rFonts w:eastAsia="方正小标宋_GBK"/>
      <w:caps/>
      <w:sz w:val="44"/>
    </w:rPr>
  </w:style>
  <w:style w:type="paragraph" w:customStyle="1" w:styleId="27">
    <w:name w:val="表标题"/>
    <w:basedOn w:val="1"/>
    <w:qFormat/>
    <w:uiPriority w:val="0"/>
    <w:pPr>
      <w:spacing w:before="240" w:beforeLines="100" w:after="120" w:afterLines="50"/>
      <w:ind w:firstLine="0" w:firstLineChars="0"/>
      <w:jc w:val="center"/>
    </w:pPr>
    <w:rPr>
      <w:rFonts w:ascii="黑体" w:hAnsi="黑体" w:eastAsia="黑体"/>
      <w:bCs/>
      <w:color w:val="000000"/>
      <w:szCs w:val="32"/>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无间隔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0">
    <w:name w:val="文档结构图1"/>
    <w:basedOn w:val="1"/>
    <w:link w:val="55"/>
    <w:qFormat/>
    <w:uiPriority w:val="0"/>
    <w:rPr>
      <w:rFonts w:ascii="宋体" w:eastAsia="Times New Roman"/>
      <w:sz w:val="18"/>
      <w:szCs w:val="18"/>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1 表上0.3"/>
    <w:basedOn w:val="1"/>
    <w:qFormat/>
    <w:uiPriority w:val="0"/>
    <w:pPr>
      <w:spacing w:before="72" w:beforeLines="30"/>
      <w:ind w:firstLine="0" w:firstLineChars="0"/>
    </w:pPr>
    <w:rPr>
      <w:rFonts w:eastAsia="楷体_GB2312"/>
      <w:snapToGrid w:val="0"/>
      <w:color w:val="000000"/>
      <w:sz w:val="24"/>
    </w:rPr>
  </w:style>
  <w:style w:type="paragraph" w:customStyle="1" w:styleId="33">
    <w:name w:val="Normal Indent1"/>
    <w:basedOn w:val="1"/>
    <w:next w:val="1"/>
    <w:qFormat/>
    <w:uiPriority w:val="0"/>
  </w:style>
  <w:style w:type="paragraph" w:customStyle="1" w:styleId="34">
    <w:name w:val="内部资料"/>
    <w:basedOn w:val="1"/>
    <w:qFormat/>
    <w:uiPriority w:val="0"/>
    <w:pPr>
      <w:spacing w:line="440" w:lineRule="atLeast"/>
      <w:ind w:firstLine="0" w:firstLineChars="0"/>
    </w:pPr>
    <w:rPr>
      <w:rFonts w:eastAsia="黑体"/>
      <w:caps/>
    </w:rPr>
  </w:style>
  <w:style w:type="paragraph" w:customStyle="1" w:styleId="35">
    <w:name w:val="普通(网站)1"/>
    <w:basedOn w:val="1"/>
    <w:qFormat/>
    <w:uiPriority w:val="0"/>
    <w:pPr>
      <w:jc w:val="left"/>
    </w:pPr>
    <w:rPr>
      <w:kern w:val="0"/>
      <w:sz w:val="24"/>
    </w:rPr>
  </w:style>
  <w:style w:type="paragraph" w:customStyle="1" w:styleId="36">
    <w:name w:val="版记"/>
    <w:basedOn w:val="1"/>
    <w:qFormat/>
    <w:uiPriority w:val="0"/>
    <w:rPr>
      <w:caps/>
      <w:sz w:val="28"/>
    </w:rPr>
  </w:style>
  <w:style w:type="paragraph" w:customStyle="1" w:styleId="37">
    <w:name w:val="表文字"/>
    <w:basedOn w:val="1"/>
    <w:qFormat/>
    <w:uiPriority w:val="0"/>
    <w:pPr>
      <w:jc w:val="center"/>
    </w:pPr>
    <w:rPr>
      <w:caps/>
      <w:sz w:val="24"/>
    </w:rPr>
  </w:style>
  <w:style w:type="paragraph" w:customStyle="1" w:styleId="38">
    <w:name w:val="1 表"/>
    <w:basedOn w:val="37"/>
    <w:qFormat/>
    <w:uiPriority w:val="0"/>
    <w:pPr>
      <w:ind w:firstLine="0" w:firstLineChars="0"/>
    </w:pPr>
  </w:style>
  <w:style w:type="paragraph" w:customStyle="1" w:styleId="39">
    <w:name w:val="章节"/>
    <w:basedOn w:val="1"/>
    <w:qFormat/>
    <w:uiPriority w:val="0"/>
    <w:pPr>
      <w:spacing w:before="100" w:beforeLines="100" w:after="100" w:afterLines="100" w:line="560" w:lineRule="atLeast"/>
      <w:jc w:val="center"/>
    </w:pPr>
    <w:rPr>
      <w:rFonts w:eastAsia="黑体"/>
      <w:caps/>
    </w:rPr>
  </w:style>
  <w:style w:type="paragraph" w:customStyle="1" w:styleId="40">
    <w:name w:val="纯文本1"/>
    <w:basedOn w:val="1"/>
    <w:link w:val="57"/>
    <w:qFormat/>
    <w:uiPriority w:val="0"/>
    <w:rPr>
      <w:rFonts w:ascii="宋体" w:hAnsi="Courier New" w:eastAsia="Times New Roman"/>
      <w:szCs w:val="21"/>
    </w:rPr>
  </w:style>
  <w:style w:type="paragraph" w:customStyle="1" w:styleId="41">
    <w:name w:val="文尾"/>
    <w:basedOn w:val="1"/>
    <w:qFormat/>
    <w:uiPriority w:val="0"/>
    <w:pPr>
      <w:spacing w:line="560" w:lineRule="atLeast"/>
      <w:ind w:right="300" w:rightChars="300"/>
      <w:jc w:val="right"/>
    </w:pPr>
    <w:rPr>
      <w:caps/>
    </w:rPr>
  </w:style>
  <w:style w:type="paragraph" w:customStyle="1" w:styleId="42">
    <w:name w:val="封面落款"/>
    <w:basedOn w:val="1"/>
    <w:qFormat/>
    <w:uiPriority w:val="0"/>
    <w:pPr>
      <w:spacing w:line="600" w:lineRule="atLeast"/>
      <w:jc w:val="center"/>
    </w:pPr>
    <w:rPr>
      <w:rFonts w:eastAsia="黑体"/>
      <w:caps/>
      <w:sz w:val="36"/>
    </w:rPr>
  </w:style>
  <w:style w:type="paragraph" w:customStyle="1" w:styleId="43">
    <w:name w:val="固定值12"/>
    <w:basedOn w:val="1"/>
    <w:qFormat/>
    <w:uiPriority w:val="0"/>
    <w:pPr>
      <w:spacing w:line="240" w:lineRule="exact"/>
      <w:jc w:val="center"/>
    </w:pPr>
    <w:rPr>
      <w:caps/>
      <w:sz w:val="21"/>
    </w:rPr>
  </w:style>
  <w:style w:type="paragraph" w:customStyle="1" w:styleId="44">
    <w:name w:val="封面大字"/>
    <w:basedOn w:val="1"/>
    <w:qFormat/>
    <w:uiPriority w:val="0"/>
    <w:pPr>
      <w:jc w:val="center"/>
    </w:pPr>
    <w:rPr>
      <w:rFonts w:eastAsia="方正小标宋_GBK"/>
      <w:caps/>
      <w:sz w:val="72"/>
    </w:rPr>
  </w:style>
  <w:style w:type="paragraph" w:customStyle="1" w:styleId="45">
    <w:name w:val="-0.3"/>
    <w:basedOn w:val="1"/>
    <w:link w:val="56"/>
    <w:qFormat/>
    <w:uiPriority w:val="0"/>
    <w:pPr>
      <w:spacing w:line="560" w:lineRule="atLeast"/>
      <w:ind w:firstLine="200"/>
    </w:pPr>
    <w:rPr>
      <w:caps/>
      <w:spacing w:val="-6"/>
    </w:rPr>
  </w:style>
  <w:style w:type="character" w:customStyle="1" w:styleId="46">
    <w:name w:val="标题 3 字符"/>
    <w:link w:val="5"/>
    <w:qFormat/>
    <w:uiPriority w:val="0"/>
    <w:rPr>
      <w:rFonts w:eastAsia="黑体"/>
      <w:bCs/>
      <w:color w:val="000000"/>
      <w:kern w:val="2"/>
      <w:sz w:val="32"/>
      <w:szCs w:val="32"/>
      <w:lang w:val="en-US" w:eastAsia="zh-CN" w:bidi="ar-SA"/>
    </w:rPr>
  </w:style>
  <w:style w:type="character" w:customStyle="1" w:styleId="47">
    <w:name w:val="页脚 字符"/>
    <w:link w:val="12"/>
    <w:qFormat/>
    <w:uiPriority w:val="0"/>
    <w:rPr>
      <w:rFonts w:eastAsia="仿宋_GB2312"/>
      <w:kern w:val="2"/>
      <w:sz w:val="18"/>
      <w:szCs w:val="18"/>
      <w:lang w:val="en-US" w:eastAsia="zh-CN" w:bidi="ar-SA"/>
    </w:rPr>
  </w:style>
  <w:style w:type="character" w:customStyle="1" w:styleId="48">
    <w:name w:val="脚注文本 字符"/>
    <w:link w:val="15"/>
    <w:qFormat/>
    <w:uiPriority w:val="0"/>
    <w:rPr>
      <w:rFonts w:eastAsia="仿宋_GB2312"/>
      <w:kern w:val="2"/>
      <w:sz w:val="18"/>
      <w:szCs w:val="24"/>
      <w:lang w:bidi="ar-SA"/>
    </w:rPr>
  </w:style>
  <w:style w:type="character" w:customStyle="1" w:styleId="49">
    <w:name w:val="批注框文本 Char Char Char Char"/>
    <w:link w:val="25"/>
    <w:qFormat/>
    <w:uiPriority w:val="0"/>
    <w:rPr>
      <w:rFonts w:eastAsia="仿宋_GB2312"/>
      <w:kern w:val="2"/>
      <w:sz w:val="18"/>
      <w:szCs w:val="18"/>
      <w:lang w:bidi="ar-SA"/>
    </w:rPr>
  </w:style>
  <w:style w:type="character" w:customStyle="1" w:styleId="50">
    <w:name w:val="文档结构图 字符"/>
    <w:link w:val="7"/>
    <w:qFormat/>
    <w:uiPriority w:val="0"/>
    <w:rPr>
      <w:rFonts w:ascii="宋体"/>
      <w:kern w:val="2"/>
      <w:sz w:val="18"/>
      <w:szCs w:val="18"/>
      <w:lang w:bidi="ar-SA"/>
    </w:rPr>
  </w:style>
  <w:style w:type="character" w:customStyle="1" w:styleId="51">
    <w:name w:val="正文文本 字符"/>
    <w:link w:val="9"/>
    <w:qFormat/>
    <w:uiPriority w:val="0"/>
    <w:rPr>
      <w:rFonts w:ascii="仿宋_GB2312" w:hAnsi="仿宋_GB2312" w:eastAsia="仿宋_GB2312"/>
      <w:kern w:val="2"/>
      <w:sz w:val="32"/>
      <w:szCs w:val="32"/>
      <w:lang w:val="zh-CN" w:bidi="ar-SA"/>
    </w:rPr>
  </w:style>
  <w:style w:type="character" w:customStyle="1" w:styleId="52">
    <w:name w:val="标题 2 字符"/>
    <w:link w:val="4"/>
    <w:qFormat/>
    <w:uiPriority w:val="0"/>
    <w:rPr>
      <w:rFonts w:eastAsia="楷体_GB2312"/>
      <w:b/>
      <w:bCs/>
      <w:color w:val="000000"/>
      <w:kern w:val="2"/>
      <w:sz w:val="32"/>
      <w:szCs w:val="32"/>
      <w:lang w:val="en-US" w:eastAsia="zh-CN" w:bidi="ar-SA"/>
    </w:rPr>
  </w:style>
  <w:style w:type="character" w:customStyle="1" w:styleId="53">
    <w:name w:val="页眉 字符"/>
    <w:link w:val="13"/>
    <w:qFormat/>
    <w:uiPriority w:val="0"/>
    <w:rPr>
      <w:rFonts w:eastAsia="仿宋_GB2312"/>
      <w:kern w:val="2"/>
      <w:sz w:val="18"/>
      <w:szCs w:val="18"/>
      <w:lang w:val="en-US" w:eastAsia="zh-CN" w:bidi="ar-SA"/>
    </w:rPr>
  </w:style>
  <w:style w:type="character" w:customStyle="1" w:styleId="54">
    <w:name w:val="标题 1 字符"/>
    <w:link w:val="3"/>
    <w:qFormat/>
    <w:uiPriority w:val="0"/>
    <w:rPr>
      <w:rFonts w:eastAsia="方正小标宋_GBK"/>
      <w:bCs/>
      <w:kern w:val="44"/>
      <w:sz w:val="44"/>
      <w:szCs w:val="32"/>
      <w:lang w:val="en-US" w:eastAsia="zh-CN" w:bidi="ar-SA"/>
    </w:rPr>
  </w:style>
  <w:style w:type="character" w:customStyle="1" w:styleId="55">
    <w:name w:val="文档结构图 Char Char"/>
    <w:link w:val="30"/>
    <w:qFormat/>
    <w:uiPriority w:val="0"/>
    <w:rPr>
      <w:rFonts w:ascii="宋体"/>
      <w:kern w:val="2"/>
      <w:sz w:val="18"/>
      <w:szCs w:val="18"/>
      <w:lang w:bidi="ar-SA"/>
    </w:rPr>
  </w:style>
  <w:style w:type="character" w:customStyle="1" w:styleId="56">
    <w:name w:val="-0.3 Char"/>
    <w:basedOn w:val="20"/>
    <w:link w:val="45"/>
    <w:qFormat/>
    <w:uiPriority w:val="0"/>
    <w:rPr>
      <w:rFonts w:eastAsia="仿宋_GB2312"/>
      <w:caps/>
      <w:spacing w:val="-6"/>
      <w:kern w:val="2"/>
      <w:sz w:val="32"/>
      <w:szCs w:val="24"/>
      <w:lang w:val="en-US" w:eastAsia="zh-CN" w:bidi="ar-SA"/>
    </w:rPr>
  </w:style>
  <w:style w:type="character" w:customStyle="1" w:styleId="57">
    <w:name w:val="纯文本 Char Char"/>
    <w:link w:val="40"/>
    <w:qFormat/>
    <w:uiPriority w:val="0"/>
    <w:rPr>
      <w:rFonts w:ascii="宋体" w:hAnsi="Courier New"/>
      <w:kern w:val="2"/>
      <w:sz w:val="32"/>
      <w:szCs w:val="21"/>
      <w:lang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6.png"/><Relationship Id="rId33" Type="http://schemas.openxmlformats.org/officeDocument/2006/relationships/image" Target="media/image5.jpeg"/><Relationship Id="rId32" Type="http://schemas.openxmlformats.org/officeDocument/2006/relationships/image" Target="media/image4.jpeg"/><Relationship Id="rId31" Type="http://schemas.openxmlformats.org/officeDocument/2006/relationships/image" Target="media/image3.jpeg"/><Relationship Id="rId30" Type="http://schemas.openxmlformats.org/officeDocument/2006/relationships/image" Target="media/image2.jpeg"/><Relationship Id="rId3" Type="http://schemas.openxmlformats.org/officeDocument/2006/relationships/footnotes" Target="footnotes.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3BB5D4-E9B4-493D-B9A2-226D4AD3EEC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149</Pages>
  <Words>78748</Words>
  <Characters>82849</Characters>
  <Lines>638</Lines>
  <Paragraphs>179</Paragraphs>
  <TotalTime>0</TotalTime>
  <ScaleCrop>false</ScaleCrop>
  <LinksUpToDate>false</LinksUpToDate>
  <CharactersWithSpaces>83374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2021-02-24T05:40:00Z</dcterms:created>
  <dc:creator>微软用户</dc:creator>
  <cp:lastModifiedBy>恰似白月光</cp:lastModifiedBy>
  <cp:lastPrinted>2021-03-04T15:11:00Z</cp:lastPrinted>
  <dcterms:modified xsi:type="dcterms:W3CDTF">2023-07-21T02:46:15Z</dcterms:modified>
  <dc:title>中国（云南）自由贸易试验区昆明片区</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KSOSaveFontToCloudKey">
    <vt:lpwstr>236288618_cloud</vt:lpwstr>
  </property>
  <property fmtid="{D5CDD505-2E9C-101B-9397-08002B2CF9AE}" pid="4" name="ICV">
    <vt:lpwstr>00FF000790A9405FBF2056AF0B82E5BA</vt:lpwstr>
  </property>
</Properties>
</file>