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14" w:type="dxa"/>
        <w:tblInd w:w="-405" w:type="dxa"/>
        <w:shd w:val="clear" w:color="auto" w:fill="auto"/>
        <w:tblLayout w:type="fixed"/>
        <w:tblCellMar>
          <w:top w:w="0" w:type="dxa"/>
          <w:left w:w="108" w:type="dxa"/>
          <w:bottom w:w="0" w:type="dxa"/>
          <w:right w:w="108" w:type="dxa"/>
        </w:tblCellMar>
      </w:tblPr>
      <w:tblGrid>
        <w:gridCol w:w="513"/>
        <w:gridCol w:w="777"/>
        <w:gridCol w:w="1450"/>
        <w:gridCol w:w="1884"/>
        <w:gridCol w:w="756"/>
        <w:gridCol w:w="1155"/>
        <w:gridCol w:w="1170"/>
        <w:gridCol w:w="1155"/>
        <w:gridCol w:w="3986"/>
        <w:gridCol w:w="708"/>
        <w:gridCol w:w="1560"/>
      </w:tblGrid>
      <w:tr>
        <w:tblPrEx>
          <w:shd w:val="clear" w:color="auto" w:fill="auto"/>
          <w:tblCellMar>
            <w:top w:w="0" w:type="dxa"/>
            <w:left w:w="108" w:type="dxa"/>
            <w:bottom w:w="0" w:type="dxa"/>
            <w:right w:w="108" w:type="dxa"/>
          </w:tblCellMar>
        </w:tblPrEx>
        <w:trPr>
          <w:trHeight w:val="420" w:hRule="atLeast"/>
          <w:tblHeader/>
        </w:trPr>
        <w:tc>
          <w:tcPr>
            <w:tcW w:w="15114"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32"/>
                <w:szCs w:val="32"/>
                <w:lang w:eastAsia="zh-CN"/>
              </w:rPr>
              <w:t>社会事务局</w:t>
            </w:r>
            <w:r>
              <w:rPr>
                <w:rFonts w:hint="eastAsia" w:ascii="方正小标宋_GBK" w:hAnsi="宋体" w:eastAsia="方正小标宋_GBK" w:cs="宋体"/>
                <w:kern w:val="0"/>
                <w:sz w:val="32"/>
                <w:szCs w:val="32"/>
              </w:rPr>
              <w:t>市场监管领域随机抽查事项清单</w:t>
            </w:r>
            <w:r>
              <w:rPr>
                <w:rFonts w:hint="eastAsia" w:ascii="方正小标宋_GBK" w:hAnsi="宋体" w:eastAsia="方正小标宋_GBK" w:cs="宋体"/>
                <w:kern w:val="0"/>
                <w:sz w:val="32"/>
                <w:szCs w:val="32"/>
                <w:lang w:eastAsia="zh-CN"/>
              </w:rPr>
              <w:t>（第二版）</w:t>
            </w:r>
          </w:p>
        </w:tc>
      </w:tr>
      <w:tr>
        <w:tblPrEx>
          <w:shd w:val="clear" w:color="auto" w:fill="auto"/>
          <w:tblCellMar>
            <w:top w:w="0" w:type="dxa"/>
            <w:left w:w="108" w:type="dxa"/>
            <w:bottom w:w="0" w:type="dxa"/>
            <w:right w:w="108" w:type="dxa"/>
          </w:tblCellMar>
        </w:tblPrEx>
        <w:trPr>
          <w:trHeight w:val="395" w:hRule="atLeast"/>
          <w:tblHeader/>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shd w:val="clear" w:color="auto" w:fill="auto"/>
          <w:tblCellMar>
            <w:top w:w="0" w:type="dxa"/>
            <w:left w:w="108" w:type="dxa"/>
            <w:bottom w:w="0" w:type="dxa"/>
            <w:right w:w="108" w:type="dxa"/>
          </w:tblCellMar>
        </w:tblPrEx>
        <w:trPr>
          <w:trHeight w:val="366" w:hRule="atLeast"/>
          <w:tblHeader/>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shd w:val="clear" w:color="auto" w:fill="auto"/>
          <w:tblCellMar>
            <w:top w:w="0" w:type="dxa"/>
            <w:left w:w="108" w:type="dxa"/>
            <w:bottom w:w="0" w:type="dxa"/>
            <w:right w:w="108" w:type="dxa"/>
          </w:tblCellMar>
        </w:tblPrEx>
        <w:trPr>
          <w:trHeight w:val="3002"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lang w:eastAsia="zh-CN"/>
              </w:rPr>
            </w:pPr>
          </w:p>
          <w:p>
            <w:pPr>
              <w:widowControl/>
              <w:spacing w:line="240" w:lineRule="exact"/>
              <w:jc w:val="center"/>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eastAsia="zh-CN"/>
              </w:rPr>
              <w:t>区社会事务局（教育体育）（</w:t>
            </w:r>
            <w:r>
              <w:rPr>
                <w:rFonts w:hint="eastAsia" w:cs="宋体" w:asciiTheme="minorEastAsia" w:hAnsiTheme="minorEastAsia"/>
                <w:kern w:val="0"/>
                <w:sz w:val="20"/>
                <w:szCs w:val="20"/>
                <w:lang w:val="en-US" w:eastAsia="zh-CN"/>
              </w:rPr>
              <w:t>1类1项</w:t>
            </w:r>
            <w:r>
              <w:rPr>
                <w:rFonts w:hint="eastAsia" w:cs="宋体" w:asciiTheme="minorEastAsia" w:hAnsiTheme="minorEastAsia"/>
                <w:kern w:val="0"/>
                <w:sz w:val="20"/>
                <w:szCs w:val="20"/>
                <w:lang w:eastAsia="zh-CN"/>
              </w:rPr>
              <w:t>）</w:t>
            </w:r>
          </w:p>
          <w:p>
            <w:pPr>
              <w:widowControl/>
              <w:spacing w:line="240" w:lineRule="exact"/>
              <w:jc w:val="center"/>
              <w:rPr>
                <w:rFonts w:hint="eastAsia" w:cs="宋体" w:asciiTheme="minorEastAsia" w:hAnsiTheme="minorEastAsia"/>
                <w:kern w:val="0"/>
                <w:sz w:val="20"/>
                <w:szCs w:val="20"/>
                <w:lang w:eastAsia="zh-CN"/>
              </w:rPr>
            </w:pPr>
          </w:p>
        </w:tc>
        <w:tc>
          <w:tcPr>
            <w:tcW w:w="1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公示信息检查</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对民办学校的检查评估</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一般检查事项</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民办学校</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书面检查</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kern w:val="0"/>
                <w:sz w:val="20"/>
                <w:szCs w:val="20"/>
                <w:lang w:eastAsia="zh-CN"/>
              </w:rPr>
            </w:pPr>
            <w:r>
              <w:rPr>
                <w:rFonts w:hint="eastAsia" w:cs="宋体" w:asciiTheme="minorEastAsia" w:hAnsiTheme="minorEastAsia"/>
                <w:i w:val="0"/>
                <w:color w:val="auto"/>
                <w:kern w:val="0"/>
                <w:sz w:val="20"/>
                <w:szCs w:val="20"/>
                <w:lang w:val="en-US" w:eastAsia="zh-CN" w:bidi="ar"/>
              </w:rPr>
              <w:t>区</w:t>
            </w:r>
            <w:r>
              <w:rPr>
                <w:rFonts w:hint="eastAsia" w:cs="宋体" w:asciiTheme="minorEastAsia" w:hAnsiTheme="minorEastAsia" w:eastAsiaTheme="minorEastAsia"/>
                <w:i w:val="0"/>
                <w:color w:val="auto"/>
                <w:kern w:val="0"/>
                <w:sz w:val="20"/>
                <w:szCs w:val="20"/>
                <w:lang w:val="en-US" w:eastAsia="zh-CN" w:bidi="ar"/>
              </w:rPr>
              <w:t>教育行政部门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r>
              <w:rPr>
                <w:rFonts w:hint="eastAsia" w:cs="宋体" w:asciiTheme="minorEastAsia" w:hAnsiTheme="minorEastAsia" w:eastAsiaTheme="minorEastAsia"/>
                <w:i w:val="0"/>
                <w:color w:val="auto"/>
                <w:kern w:val="0"/>
                <w:sz w:val="20"/>
                <w:szCs w:val="20"/>
                <w:lang w:val="en-US" w:eastAsia="zh-CN" w:bidi="ar"/>
              </w:rPr>
              <w:t>《中华人民共和国民办教育促进法》第四十一条；</w:t>
            </w:r>
          </w:p>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r>
              <w:rPr>
                <w:rFonts w:hint="eastAsia" w:cs="宋体" w:asciiTheme="minorEastAsia" w:hAnsiTheme="minorEastAsia" w:eastAsiaTheme="minorEastAsia"/>
                <w:i w:val="0"/>
                <w:color w:val="auto"/>
                <w:kern w:val="0"/>
                <w:sz w:val="20"/>
                <w:szCs w:val="20"/>
                <w:lang w:val="en-US" w:eastAsia="zh-CN" w:bidi="ar"/>
              </w:rPr>
              <w:t>《中华人民共和国民办教育促进法实施条例》第</w:t>
            </w:r>
            <w:r>
              <w:rPr>
                <w:rFonts w:hint="eastAsia" w:cs="宋体" w:asciiTheme="minorEastAsia" w:hAnsiTheme="minorEastAsia"/>
                <w:i w:val="0"/>
                <w:color w:val="auto"/>
                <w:kern w:val="0"/>
                <w:sz w:val="20"/>
                <w:szCs w:val="20"/>
                <w:lang w:val="en-US" w:eastAsia="zh-CN" w:bidi="ar"/>
              </w:rPr>
              <w:t>四十七</w:t>
            </w:r>
            <w:r>
              <w:rPr>
                <w:rFonts w:hint="eastAsia" w:cs="宋体" w:asciiTheme="minorEastAsia" w:hAnsiTheme="minorEastAsia" w:eastAsiaTheme="minorEastAsia"/>
                <w:i w:val="0"/>
                <w:color w:val="auto"/>
                <w:kern w:val="0"/>
                <w:sz w:val="20"/>
                <w:szCs w:val="20"/>
                <w:lang w:val="en-US" w:eastAsia="zh-CN" w:bidi="ar"/>
              </w:rPr>
              <w:t>条第一款；</w:t>
            </w:r>
          </w:p>
          <w:p>
            <w:pPr>
              <w:keepNext w:val="0"/>
              <w:keepLines w:val="0"/>
              <w:widowControl/>
              <w:suppressLineNumbers w:val="0"/>
              <w:spacing w:line="240" w:lineRule="exact"/>
              <w:jc w:val="left"/>
              <w:textAlignment w:val="auto"/>
              <w:rPr>
                <w:rFonts w:hint="eastAsia" w:cs="宋体" w:asciiTheme="minorEastAsia" w:hAnsiTheme="minorEastAsia"/>
                <w:kern w:val="0"/>
                <w:sz w:val="20"/>
                <w:szCs w:val="20"/>
              </w:rPr>
            </w:pPr>
            <w:r>
              <w:rPr>
                <w:rFonts w:hint="eastAsia" w:cs="宋体" w:asciiTheme="minorEastAsia" w:hAnsiTheme="minorEastAsia" w:eastAsiaTheme="minorEastAsia"/>
                <w:i w:val="0"/>
                <w:color w:val="auto"/>
                <w:kern w:val="0"/>
                <w:sz w:val="20"/>
                <w:szCs w:val="20"/>
                <w:lang w:val="en-US" w:eastAsia="zh-CN" w:bidi="ar"/>
              </w:rPr>
              <w:t>《云南省民办教育条例》第三十三条</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22"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r>
              <w:rPr>
                <w:rFonts w:hint="eastAsia" w:cs="宋体" w:asciiTheme="minorEastAsia" w:hAnsiTheme="minorEastAsia"/>
                <w:i w:val="0"/>
                <w:color w:val="auto"/>
                <w:kern w:val="0"/>
                <w:sz w:val="20"/>
                <w:szCs w:val="20"/>
                <w:lang w:val="en-US" w:eastAsia="zh-CN" w:bidi="ar"/>
              </w:rPr>
              <w:t>区社会事务局（民族宗教）（1类2项）</w:t>
            </w:r>
          </w:p>
        </w:tc>
        <w:tc>
          <w:tcPr>
            <w:tcW w:w="1450" w:type="dxa"/>
            <w:vMerge w:val="restart"/>
            <w:tcBorders>
              <w:top w:val="nil"/>
              <w:left w:val="nil"/>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r>
              <w:rPr>
                <w:rFonts w:hint="eastAsia" w:cs="宋体" w:asciiTheme="minorEastAsia" w:hAnsiTheme="minorEastAsia"/>
                <w:i w:val="0"/>
                <w:color w:val="auto"/>
                <w:kern w:val="0"/>
                <w:sz w:val="20"/>
                <w:szCs w:val="20"/>
                <w:lang w:val="en-US" w:eastAsia="zh-CN" w:bidi="ar"/>
              </w:rPr>
              <w:t>清真食品</w:t>
            </w:r>
            <w:r>
              <w:rPr>
                <w:rFonts w:hint="eastAsia" w:cs="宋体" w:asciiTheme="minorEastAsia" w:hAnsiTheme="minorEastAsia"/>
                <w:kern w:val="0"/>
                <w:sz w:val="20"/>
                <w:szCs w:val="20"/>
              </w:rPr>
              <w:t>生产经营</w:t>
            </w:r>
            <w:r>
              <w:rPr>
                <w:rFonts w:hint="eastAsia" w:cs="宋体" w:asciiTheme="minorEastAsia" w:hAnsiTheme="minorEastAsia"/>
                <w:kern w:val="0"/>
                <w:sz w:val="20"/>
                <w:szCs w:val="20"/>
                <w:lang w:eastAsia="zh-CN"/>
              </w:rPr>
              <w:t>领域监督检查</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《清真食品准营证》</w:t>
            </w:r>
            <w:r>
              <w:rPr>
                <w:rFonts w:hint="eastAsia" w:ascii="宋体" w:hAnsi="宋体" w:eastAsia="宋体" w:cs="宋体"/>
                <w:kern w:val="0"/>
                <w:sz w:val="20"/>
                <w:szCs w:val="20"/>
                <w:lang w:eastAsia="zh-CN"/>
              </w:rPr>
              <w:t>规范使用、年检、注销及变更情况检查</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依法办理了《昆明市清真食品准营证》的</w:t>
            </w:r>
            <w:r>
              <w:rPr>
                <w:rFonts w:hint="eastAsia" w:ascii="宋体" w:hAnsi="宋体" w:eastAsia="宋体" w:cs="宋体"/>
                <w:kern w:val="0"/>
                <w:sz w:val="20"/>
                <w:szCs w:val="20"/>
                <w:lang w:eastAsia="zh-CN"/>
              </w:rPr>
              <w:t>市场主体</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80" w:lineRule="atLeast"/>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asciiTheme="minorEastAsia" w:hAnsiTheme="minorEastAsia"/>
                <w:i w:val="0"/>
                <w:color w:val="auto"/>
                <w:kern w:val="0"/>
                <w:sz w:val="20"/>
                <w:szCs w:val="20"/>
                <w:lang w:val="en-US" w:eastAsia="zh-CN" w:bidi="ar"/>
              </w:rPr>
              <w:t>区</w:t>
            </w:r>
            <w:r>
              <w:rPr>
                <w:rFonts w:hint="eastAsia" w:cs="宋体" w:asciiTheme="minorEastAsia" w:hAnsiTheme="minorEastAsia" w:eastAsiaTheme="minorEastAsia"/>
                <w:i w:val="0"/>
                <w:color w:val="auto"/>
                <w:kern w:val="0"/>
                <w:sz w:val="20"/>
                <w:szCs w:val="20"/>
                <w:lang w:val="en-US" w:eastAsia="zh-CN" w:bidi="ar"/>
              </w:rPr>
              <w:t>民族宗教部门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《昆明市清真食品管理条例》第四条、第九条、第十三条第二款</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第十四条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325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p>
        </w:tc>
        <w:tc>
          <w:tcPr>
            <w:tcW w:w="1450" w:type="dxa"/>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i w:val="0"/>
                <w:color w:val="auto"/>
                <w:kern w:val="0"/>
                <w:sz w:val="20"/>
                <w:szCs w:val="20"/>
                <w:lang w:val="en-US" w:eastAsia="zh-CN" w:bidi="ar"/>
              </w:rPr>
            </w:pPr>
          </w:p>
        </w:tc>
        <w:tc>
          <w:tcPr>
            <w:tcW w:w="18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asciiTheme="minorEastAsia" w:hAnsiTheme="minorEastAsia"/>
                <w:kern w:val="0"/>
                <w:sz w:val="20"/>
                <w:szCs w:val="20"/>
                <w:lang w:eastAsia="zh-CN"/>
              </w:rPr>
              <w:t>企业、个体经营户、单位自办清真餐厅等经营主体</w:t>
            </w:r>
            <w:r>
              <w:rPr>
                <w:rFonts w:hint="eastAsia" w:cs="宋体" w:asciiTheme="minorEastAsia" w:hAnsiTheme="minorEastAsia"/>
                <w:kern w:val="0"/>
                <w:sz w:val="20"/>
                <w:szCs w:val="20"/>
              </w:rPr>
              <w:t>生产经营</w:t>
            </w:r>
            <w:r>
              <w:rPr>
                <w:rFonts w:hint="eastAsia" w:cs="宋体" w:asciiTheme="minorEastAsia" w:hAnsiTheme="minorEastAsia"/>
                <w:kern w:val="0"/>
                <w:sz w:val="20"/>
                <w:szCs w:val="20"/>
                <w:lang w:eastAsia="zh-CN"/>
              </w:rPr>
              <w:t>清真食品的合规性检查</w:t>
            </w:r>
          </w:p>
        </w:tc>
        <w:tc>
          <w:tcPr>
            <w:tcW w:w="7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依法办理了《昆明市清真食品准营证》的</w:t>
            </w:r>
            <w:r>
              <w:rPr>
                <w:rFonts w:hint="eastAsia" w:ascii="宋体" w:hAnsi="宋体" w:eastAsia="宋体" w:cs="宋体"/>
                <w:kern w:val="0"/>
                <w:sz w:val="20"/>
                <w:szCs w:val="20"/>
                <w:lang w:eastAsia="zh-CN"/>
              </w:rPr>
              <w:t>市场主体</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实地检查</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asciiTheme="minorEastAsia" w:hAnsiTheme="minorEastAsia"/>
                <w:i w:val="0"/>
                <w:color w:val="auto"/>
                <w:kern w:val="0"/>
                <w:sz w:val="20"/>
                <w:szCs w:val="20"/>
                <w:lang w:val="en-US" w:eastAsia="zh-CN" w:bidi="ar"/>
              </w:rPr>
              <w:t>区</w:t>
            </w:r>
            <w:r>
              <w:rPr>
                <w:rFonts w:hint="eastAsia" w:cs="宋体" w:asciiTheme="minorEastAsia" w:hAnsiTheme="minorEastAsia" w:eastAsiaTheme="minorEastAsia"/>
                <w:i w:val="0"/>
                <w:color w:val="auto"/>
                <w:kern w:val="0"/>
                <w:sz w:val="20"/>
                <w:szCs w:val="20"/>
                <w:lang w:val="en-US" w:eastAsia="zh-CN" w:bidi="ar"/>
              </w:rPr>
              <w:t>民族宗教部门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rPr>
              <w:t>《昆明市清真食品管理条例》第十条</w:t>
            </w:r>
            <w:r>
              <w:rPr>
                <w:rFonts w:hint="eastAsia" w:ascii="宋体" w:hAnsi="宋体" w:eastAsia="宋体" w:cs="宋体"/>
                <w:kern w:val="0"/>
                <w:sz w:val="20"/>
                <w:szCs w:val="20"/>
                <w:lang w:eastAsia="zh-CN"/>
              </w:rPr>
              <w:t>第三款、</w:t>
            </w:r>
            <w:r>
              <w:rPr>
                <w:rFonts w:hint="eastAsia" w:ascii="宋体" w:hAnsi="宋体" w:eastAsia="宋体" w:cs="宋体"/>
                <w:kern w:val="0"/>
                <w:sz w:val="20"/>
                <w:szCs w:val="20"/>
              </w:rPr>
              <w:t>第四款、第五款</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第六款</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第十六条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第十七条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第二十一条</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textAlignment w:val="auto"/>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04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区社会事务局（</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（2类</w:t>
            </w:r>
            <w:r>
              <w:rPr>
                <w:rFonts w:hint="eastAsia" w:asciiTheme="minorEastAsia" w:hAnsiTheme="minorEastAsia" w:cstheme="minorEastAsia"/>
                <w:i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color w:val="000000"/>
                <w:kern w:val="0"/>
                <w:sz w:val="20"/>
                <w:szCs w:val="20"/>
                <w:u w:val="none"/>
                <w:lang w:val="en-US" w:eastAsia="zh-CN" w:bidi="ar"/>
              </w:rPr>
              <w:t>3项）</w:t>
            </w: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p>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区社会事务局（</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（2类</w:t>
            </w:r>
            <w:r>
              <w:rPr>
                <w:rFonts w:hint="eastAsia" w:asciiTheme="minorEastAsia" w:hAnsiTheme="minorEastAsia" w:cstheme="minorEastAsia"/>
                <w:i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color w:val="000000"/>
                <w:kern w:val="0"/>
                <w:sz w:val="20"/>
                <w:szCs w:val="20"/>
                <w:u w:val="none"/>
                <w:lang w:val="en-US" w:eastAsia="zh-CN" w:bidi="ar"/>
              </w:rPr>
              <w:t>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社会组织财务审计抽查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相关会计制度执行情况、财务设置情况、财务核算、业务开展活动、财务报表审计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社团、民非、基金会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现场抽查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i w:val="0"/>
                <w:color w:val="auto"/>
                <w:kern w:val="0"/>
                <w:sz w:val="20"/>
                <w:szCs w:val="20"/>
                <w:lang w:val="en-US" w:eastAsia="zh-CN" w:bidi="ar"/>
              </w:rPr>
            </w:pP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民政部关于印发《社会组织抽查暂行办法》的通知（民发</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2017】45号）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2"/>
                <w:sz w:val="20"/>
                <w:szCs w:val="20"/>
                <w:lang w:val="en-US" w:eastAsia="zh-CN" w:bidi="ar-SA"/>
              </w:rPr>
            </w:pPr>
          </w:p>
        </w:tc>
      </w:tr>
      <w:tr>
        <w:tblPrEx>
          <w:shd w:val="clear" w:color="auto" w:fill="auto"/>
          <w:tblCellMar>
            <w:top w:w="0" w:type="dxa"/>
            <w:left w:w="108" w:type="dxa"/>
            <w:bottom w:w="0" w:type="dxa"/>
            <w:right w:w="108" w:type="dxa"/>
          </w:tblCellMar>
        </w:tblPrEx>
        <w:trPr>
          <w:trHeight w:val="185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殡葬事项检查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对墓穴占地面积的监管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公墓经营单位、建造墓穴的单位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 xml:space="preserve">   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i w:val="0"/>
                <w:color w:val="auto"/>
                <w:kern w:val="0"/>
                <w:sz w:val="20"/>
                <w:szCs w:val="20"/>
                <w:lang w:val="en-US" w:eastAsia="zh-CN" w:bidi="ar"/>
              </w:rPr>
            </w:pP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《殡葬管理条例》第十九条；《云南省殡葬管理条例》第十七条；《云南省公墓管理规定》第十三条；《昆明市殡葬管理条例》第二十三条；《昆明市农村公益性公墓管理办法》第十三条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2"/>
                <w:sz w:val="20"/>
                <w:szCs w:val="20"/>
                <w:lang w:val="en-US" w:eastAsia="zh-CN" w:bidi="ar-SA"/>
              </w:rPr>
            </w:pPr>
          </w:p>
        </w:tc>
      </w:tr>
      <w:tr>
        <w:tblPrEx>
          <w:shd w:val="clear" w:color="auto" w:fill="auto"/>
          <w:tblCellMar>
            <w:top w:w="0" w:type="dxa"/>
            <w:left w:w="108" w:type="dxa"/>
            <w:bottom w:w="0" w:type="dxa"/>
            <w:right w:w="108" w:type="dxa"/>
          </w:tblCellMar>
        </w:tblPrEx>
        <w:trPr>
          <w:trHeight w:val="280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color w:val="auto"/>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农村公益性公墓的监管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农村公益性公墓单位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现场检查</w:t>
            </w:r>
            <w:r>
              <w:rPr>
                <w:rFonts w:hint="eastAsia" w:asciiTheme="minorEastAsia" w:hAnsiTheme="minorEastAsia" w:cstheme="minorEastAsia"/>
                <w:i w:val="0"/>
                <w:color w:val="000000"/>
                <w:kern w:val="0"/>
                <w:sz w:val="20"/>
                <w:szCs w:val="20"/>
                <w:u w:val="none"/>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 xml:space="preserve">   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i w:val="0"/>
                <w:color w:val="auto"/>
                <w:kern w:val="0"/>
                <w:sz w:val="20"/>
                <w:szCs w:val="20"/>
                <w:lang w:val="en-US" w:eastAsia="zh-CN" w:bidi="ar"/>
              </w:rPr>
            </w:pPr>
            <w:r>
              <w:rPr>
                <w:rFonts w:hint="eastAsia" w:asciiTheme="minorEastAsia" w:hAnsiTheme="minorEastAsia" w:cstheme="minorEastAsia"/>
                <w:i w:val="0"/>
                <w:color w:val="000000"/>
                <w:kern w:val="0"/>
                <w:sz w:val="20"/>
                <w:szCs w:val="20"/>
                <w:u w:val="none"/>
                <w:lang w:val="en-US" w:eastAsia="zh-CN" w:bidi="ar"/>
              </w:rPr>
              <w:t>区</w:t>
            </w:r>
            <w:r>
              <w:rPr>
                <w:rFonts w:hint="eastAsia" w:asciiTheme="minorEastAsia" w:hAnsiTheme="minorEastAsia" w:eastAsiaTheme="minorEastAsia" w:cstheme="minorEastAsia"/>
                <w:i w:val="0"/>
                <w:color w:val="000000"/>
                <w:kern w:val="0"/>
                <w:sz w:val="20"/>
                <w:szCs w:val="20"/>
                <w:u w:val="none"/>
                <w:lang w:val="en-US" w:eastAsia="zh-CN" w:bidi="ar"/>
              </w:rPr>
              <w:t>民政</w:t>
            </w:r>
            <w:r>
              <w:rPr>
                <w:rFonts w:hint="eastAsia" w:asciiTheme="minorEastAsia" w:hAnsiTheme="minorEastAsia" w:cstheme="minorEastAsia"/>
                <w:i w:val="0"/>
                <w:color w:val="000000"/>
                <w:kern w:val="0"/>
                <w:sz w:val="20"/>
                <w:szCs w:val="20"/>
                <w:u w:val="none"/>
                <w:lang w:val="en-US" w:eastAsia="zh-CN" w:bidi="ar"/>
              </w:rPr>
              <w:t>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殡葬管理条例》第八条、第九条；《公墓管理暂行办法》第三条、第四条、第五条、第九条、第十条、第十三条、第十六条；《云南省殡葬管理条例》第十九条；《云南省公墓管理规定》第三条、第四条、第六条、第八条、第九条、第十条、第十六条；《昆明市殡葬管理条例》第九条、第二十条、第二十五条；《昆明市农村公益性公墓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kern w:val="2"/>
                <w:sz w:val="20"/>
                <w:szCs w:val="20"/>
                <w:lang w:val="en-US" w:eastAsia="zh-CN" w:bidi="ar-SA"/>
              </w:rPr>
            </w:pPr>
          </w:p>
        </w:tc>
      </w:tr>
      <w:tr>
        <w:tblPrEx>
          <w:shd w:val="clear" w:color="auto" w:fill="auto"/>
          <w:tblCellMar>
            <w:top w:w="0" w:type="dxa"/>
            <w:left w:w="108" w:type="dxa"/>
            <w:bottom w:w="0" w:type="dxa"/>
            <w:right w:w="108" w:type="dxa"/>
          </w:tblCellMar>
        </w:tblPrEx>
        <w:trPr>
          <w:trHeight w:val="18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hint="eastAsia" w:cs="宋体" w:asciiTheme="minorEastAsia" w:hAnsiTheme="minorEastAsia"/>
                <w:kern w:val="0"/>
                <w:sz w:val="20"/>
                <w:szCs w:val="20"/>
                <w:lang w:eastAsia="zh-CN"/>
              </w:rPr>
            </w:pP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对未经许可和登记擅自从事职业中介活动且有违法所得的检查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57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对职业中介机构提供虚假就业信息，为无合法证照的用人单位提供职业中介服务，伪造、涂改、转让职业中介许可证的检查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33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对职业中介机构向劳动者收取押金的检查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《中华人民共和国就业促进法》第六十六条第二款：“违反本法规定，职业中介机构向劳动者收取押金的，由劳动行政部门责令限期退还劳动者，并以每人五百元以上二千元以下的标准处以罚款。”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43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对中外合资（合作）职业介绍机构的检查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中外合资（合作）职业介绍机构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《中华人民共和国就业促进法》第六十四至六十六条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72"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对用人单位招用人员提供虚假招聘信息，发布虚假招聘广告的检查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80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对用人单位招用无合法身份证件的人员的检查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418"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对用人单位以招用人员为名牟取不正当利益或进行其他违法活动的检查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34"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对用人单位招用人员在国家法律、行政法规和国务院卫生行政部门规定禁止乙肝病原携带者从事的工作岗位之外，将乙肝病毒血清学指标作为体检标准的检查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6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对用人单位不按规定报告空缺岗位，或者招用人员后，不到劳动保障等行政管理部门进行录用登记的检查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84"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对用人单位不能向招用人员提供工作岗位的检查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3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对以招用人员或者职业培训为名欺诈劳动者的检查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7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对用人单位未及时为劳动者办理就业登记手续的检查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5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对职业中介机构未明示职业中介许可证、监督电话的检查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3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对职业中介机构未建立服务台账，或虽建立服务台账但未记录服务对象、服务过程、服务结果和收费情况的检查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60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对职业中介机构在职业中介服务不成功后，未向劳动者退还所收取的中介服务费的检查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2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对职业中介机构发布的就业信息中包含歧视性内容的检查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对职业中介机构为无合法身份证件的劳动者提供职业中介服务的检查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9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对职业中介机构介绍劳动者从事法律、法规禁止从事的职业的检查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01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对职业中介机构以暴力、胁迫、欺诈等方式进行职业中介活动的检查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51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对职业中介机构超出核准的业务范围经营的检查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3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对不具备用工、职业介绍、职业培训主体资格，擅自招用工、从事职业介绍和职业培训的检查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6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未取得职业介绍许可证或使用无效职业介绍许可证进行和参与职业介绍活动的检查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962"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对使用欺诈、诱惑、胁迫等手段进行职业介绍活动的检查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3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对为无证件、证件不全、证件经审查不实的求职者或用人单位提供中介服务的检查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8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对职业介绍机构未经劳动行政部门批准组织劳动力供求洽谈会、组织劳动者跨县（市、区）流动就业和开展职业培训的检查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市、区）流动就业和开展职业培训。”</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对职业介绍机构出卖、出租、转借或复印张贴职业介绍许可证的检查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8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对职业介绍机构从事妨害社会秩序的职业介绍活动的检查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4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对推荐介绍不成功收取或不退还预收的中介服务费的检查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2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对职业介绍机构超过核定业务范围从事职业介绍业务活动的检查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72"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对职业介绍机构不参加职业介绍机构年审的检查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9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对职业介绍机构未按规定补足责任保证金的检查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5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对省外职业介绍机构在我省未经批准从事职业介绍活动的检查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71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对职业介绍机构、职业技能培训机构或职业技能考核鉴定机构违反国家有关职业介绍、职业技能培训或职业技能考核鉴定的规定的检查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职业中介机构、职业技能培训及考核鉴定机构机构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八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未经劳动保障行政部门许可，从事职业介绍、职业技能培训或者职业技能考核鉴定的组织或者个人，由劳动保障行政部门、工商行政管理部门依照国家有关无照经营查处取缔的规定查处取缔。”</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7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对未经批准擅自举办中外合作职业技能培训办学项目，或者以不正当手段骗取中外合作办学项目批准书的检查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546"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对中外合作职业技能培训办学项目发布虚假招生简章或者招生广告，骗取钱财的检查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0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对未经批准擅自设立中外合作办学机构，或以不正当手段骗取中外合作办学许可证的检查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7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对在中外合作办学机构筹备设立期间招收学生的检查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9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对中外合作办学者虚假出资或在中外合作办学机构成立后抽逃出资的检查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3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对违反中外合作办学规定发布虚假招生简章，骗取钱财的检查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40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对用人单位违反有关规定发放职业培训证书和职业资格证书的检查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四）违反有关规定发放职业培训证书和职业资格证书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6536"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中外合作职业技能培训机构设立、分立、合并、变更及终止的监管（非经营性）</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3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对中外合作职业技能培训项目的监管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中外合作职业技能培训项目</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894"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对普通技工学校、高级技工学校从事教育活动的监管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普通技工学校、高级技工学校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《中华人民共和国职业教育法》第二章、第三章、第四章第十二条至第三十七条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38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对民办职业培训学校设立、分立、合并、变更及终止的监管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民办职业培训学校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5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对民办学校、民办职业培训学校的监管</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民办学校、民办职业培训学校</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人力资源和社会保障部门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2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对职业技能鉴定机构未取得职业技能鉴定许可或超出职业技能鉴定许可范围进行职业技能鉴定的检查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 xml:space="preserve">职业技能鉴定机构 </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条：“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705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市人力资源和社会保障局（16类126项</w:t>
            </w:r>
            <w:r>
              <w:rPr>
                <w:rFonts w:hint="eastAsia" w:cs="宋体" w:asciiTheme="minorEastAsia" w:hAnsiTheme="minorEastAsia"/>
                <w:kern w:val="0"/>
                <w:sz w:val="20"/>
                <w:szCs w:val="20"/>
                <w:lang w:val="en-US" w:eastAsia="zh-CN"/>
              </w:rPr>
              <w:t>)</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对未取得《中华人民共和国社会力量办学许可证》、《中华人民共和国民办学校办学许可证》或使用无效许可证从事职业培训活动的检查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7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职业技能考核鉴定</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对职业技能鉴定机构在鉴定工作中弄虚作假的检查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职业技能鉴定机构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一条：“职业技能鉴定机构在鉴定工作中弄虚作假的，其鉴定结果无效，由县以上劳动保障行政部门责令改正，并对职业技能鉴定机构处一万元以上五万元以下罚款，对直接负责的主管人员和其他直接责任人员处一千元以上五千元以下罚款；拒不改正的，由发证机关吊销职业技能鉴定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5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职业教育</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对用人单位伪造、变造、买卖职业资格证书的检查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业技能鉴定管理条例》（2002年11月29日云南省第九届人民代表大会常务委员会第三十一次会议通过）第二十四条：“伪造、变造、买卖职业资格证书的，由县以上劳动保障行政部门没收违法所得，并处违法所得一倍以上五倍以下罚款；无违法所得的，处一千元以上五千元以下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0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外国人就业</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对伪造、涂改、冒用、转让、买卖就业证和许可证的外国人和用人单位的检查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85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规章制度</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对用人单位直接涉及劳动者切身利益的规章制度违反法律、法规规定的检查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用人单位直接涉及劳动者切身利益的规章制度违反法律、法规规定的，由劳动行政部门责令改正，给予警告；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68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对用人单位以担保或其他名义向劳动者收取财物的检查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99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对劳动者依法解除或终止劳动合同，用人单位扣押劳动者档案或其他物品的检查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0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对用人单位违反劳动合同法有关建立职工名册规定的检查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4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对用人单位招用人员未按规定订立劳动合同或者订立法定条款不完备劳动合同的检查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1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对用人单位未依法订立劳动合同的检查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33"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对不按规定签订集体合同的检查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《云南省劳动监察条例》（1998年11月27日云南省第九届人民代表大会常务委员会第六次会议通过）第二十二条：不按规定签订集体合同的，处以用人单位1000元的罚款。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对用人单位不执行集体合同约定的劳动标准或其他事项的检查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74"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对用人单位不提供或不如实提供签订或履行集体合同所需真实情况和资料的检查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5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对用人单位不当变更或解除职工一方代表的劳动合同的的检查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对职工方或者上级工会提出协商要求后，企业拒绝开展工资集体协商或者拖延答复的检查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1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对企业不提供与工资集体协商有关信息资料或者提供虚假信息资料的检查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69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对企业不向协商代表提供开展工资集体协商所必需的工作条件和工作时间的检查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83"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r>
              <w:rPr>
                <w:rFonts w:hint="eastAsia" w:cs="宋体" w:asciiTheme="minorEastAsia" w:hAnsiTheme="minorEastAsia"/>
                <w:kern w:val="0"/>
                <w:sz w:val="20"/>
                <w:szCs w:val="20"/>
              </w:rPr>
              <w:t>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劳动合同和招用工管理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对企业不履行工资专项集体合同的检查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8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对无正当理由拒绝进行工资集体协商等平等协商签订集体合同的检查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《云南省企业工会条例》(2010年11月26日云南省第十一届人民代表大会常务委员会第二十次会议通过）第三十七条 企业有下列情形之一的，由县级以上人民政府及其人力资源和社会保障行政部门责令改正；拒不改正的，处5000元以上2万元以下罚款；造成严重后果的，依法追究责任：（四）无正当理由拒绝进行工资集体协商等平等协商签订集体合同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4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对涂改、倒卖、出租、出借《劳务派遣经营许可证》，或者以其他形式非法转让《劳务派遣经营许可证》的检查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80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对隐瞒真实情况或者提交虚假材料取得劳务派遣行政许可的检查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0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对以欺骗、贿赂等不正当手段取得劳务派遣行政许可的检查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85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对劳务派遣单位违反劳动合同法规定的检查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2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对用工单位违反劳动合同法及实施条例有关劳务派遣规定的检查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97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对用工单位决定使用被派遣劳动者的辅助性岗位，不经职工代表大会或者全体职工讨论，提出方案和意见，与工会或者职工代表平等协商确定，并在用工单位内公示的检查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4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对违反法律、法规规定或者未经劳动者同意，安排劳动者延长工作时间的的检查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7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工时休假</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对用人单位不能依法保证劳动者休息休假（包括少数民族节假日）或未报经劳动保障部门批准实行其他工作制度和休息办法的检查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5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对用人单位实行不定时工作制和综合计算工作制情况的检查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《劳动法》第三十九条：企业因生产特点不能实行本法第三十六条、第三十八条规定的，经劳动行政部门批准，可以实行其他工作和休息办法。</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《关于企业实行不定时工作制和综合计算工时工作制的审批办法》（劳部发〔1994〕503号）</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5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对建设单位或者非建设领域用人单位拒不执行限期责令改正决定或者拒不履行增存工资保证金处理决定的检查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9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对用人单位安排女职工从事矿山井下劳动、国家规定的第四级体力劳动强度的劳动或其他禁忌从事劳动的检查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3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对用人单位安排女职工在经期从事高处、低温、冷水作业或国家规定的第三级体力劳动强度劳动的检查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3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对用人单位安排女职工在孕期从事国家规定的第三级体力劳动强度的劳动或孕期禁忌从事劳动的检查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2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对用人单位安排怀孕7个月以上的女职工夜班劳动或延长其工作时间的检查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5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对用人单位给女职工生育享受产假少于90天的检查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7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对用人单位安排女职工在哺乳未满１周岁婴儿期间从事国家规定的第三级体力劳动强度或哺乳期禁忌从事的其他劳动，以及延长其工作时间或安排夜班劳动的检查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5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对用人单位违反女职工劳动保护特别规定的检查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女职工劳动保护特别规定》（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487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对用人单位使用童工的检查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64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对单位、个人或者职业中介机构为不满16周岁的未成年人介绍就业的检查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36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对用人单位未按照禁止使用童工规定保存录用登记材料，或者伪造录用登记材料的检查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《禁止使用童工规定》（国务院令第364号）第八条：用人单位未按照本规定第四条的规定保存录用登记材料，或者伪造录用登记材料的，由劳动保障行政部门处1万元的罚款。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43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对无营业执照、被依法吊销营业执照的单位以及未依法登记、备案的单位使用童工或者介绍童工就业的检查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7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未成年工特殊劳动保护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对用人单位安排未成年工从事矿山井下、有毒有害、国家规定的第四级体力劳动强度的劳动或其他禁忌从事劳动的检查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161"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对用人单位未对未成年工定期进行健康检查的检查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03"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特殊劳动保护</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对用人单位违反国家规定，侵害女职工和未成年工、残疾职工合法权益的检查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8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对未按规定从缴费个人工资中代扣代缴社会保险费的检查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8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对未按规定向职工公布本单位社会保险费缴纳情况的检查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8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对用人单位不依法参加失业保险、不按规定出具解除或终止劳动、人事关系证明、不向职工公布失业保险费缴纳情况的检查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4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对用人单位依照法律法规规定应当参加工伤保险而未参加的检查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0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对从事劳动能力鉴定的组织或个人提供虚假鉴定意见的检查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一）提供虚假鉴定意见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3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对从事劳动能力鉴定的组织或个人提供虚假诊断证明的检查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二）提供虚假诊断证明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8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对从事劳动能力鉴定的组织或个人收受当事人财物的检查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劳动能力鉴定机构、个人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一条：“从事劳动能力鉴定的组织或者个人有下列情形之一的，由社会保险行政部门责令改正，并处2000元以上1万元以下的罚款；情节严重，构成犯罪的，依法追究刑事责任：（三）收受当事人财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13"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对用人单位拒不协助社会保险行政部门对事故进行调查核实的检查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43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对社会保险经办机构以及医疗机构、药品经营单位等社会保险服务机构以欺诈、伪造证明材料或者其他手段骗取社会保险基金支出的检查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社会保险经办机构以及医疗机构、药品经营单位等社会保险服务机构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对以欺诈、伪造证明材料或者其他手段骗取社会保险待遇的检查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《中华人民共和国社会保险法》第八十八条：以欺诈、伪造证明材料或者其他手段骗取社会保险待遇的，由社会保险行政部门责令退回骗取的社会保险金，处骗取金额二倍以上五倍以下的罚款。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85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对骗取社会保险待遇或者骗取社会保险基金支出的检查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628"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对用人单位、工伤职工或者其近亲属骗取工伤保险待遇，医疗机构、辅助器具配置机构骗取工伤保险基金支出的检查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28"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对用人单位侵占、挪用、拖欠、虚报、冒领职工基本养老保险金的检查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7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职业年金</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对违反《企业年金办法》规定的检查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《企业年金办法》（已经2016年12月20日人社部第114次部务会审议通过，财政部审议通过，并于2017年12月18日公布。自2018年2月1日起施行中华人民共和国人力资源和社会保障部 中华人民共和国财政部令第36号）第二十九条 县级以上人民政府人力资源社会保障行政部门负责对本办法的执行情况进行监督检查。对违反本办法的，由人力资源社会保障行政部门予以警告，责令改正。</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对不符合享受失业保险待遇条件，骗取失业保险金和其他失业保险待遇的检查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6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对以胁迫、利诱、欺骗手段阻碍职工加入工会的检查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一）以胁迫、利诱、欺骗手段阻碍职工加入工会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02"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对无正当理由解除企业工会筹建发起人劳动关系或者调整其工作岗位、降低工资待遇的检查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93"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对企业法定代表人、主要负责人拒绝与上级工会就建立企业工会进行协商的检查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027"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对非法撤销、合并工会组织的检查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一）非法撤销、合并工会组织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49"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对妨碍企业工会组织职工通过职工代表大会和其他形式行使民主权利的检查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73"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对阻挠工会依法行使监督权的检查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三）阻挠工会依法行使监督权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92"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对用人单位无理抗拒、阻挠劳动保障行政部门实施劳动保障监察的检查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6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对用人单位不按照劳动保障行政部门的要求报送书面材料，隐瞒事实真相，出具伪证或隐匿、毁灭证据的检查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对用人单位经劳动保障行政部门责令改正拒不改正，或拒不履行劳动保障行政部门的行政处理决定的检查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38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对用人单位不按规定参加劳动执法年审的检查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w:t>
            </w:r>
            <w:r>
              <w:rPr>
                <w:rFonts w:cs="宋体" w:asciiTheme="minorEastAsia" w:hAnsiTheme="minorEastAsia"/>
                <w:kern w:val="0"/>
                <w:sz w:val="20"/>
                <w:szCs w:val="20"/>
              </w:rPr>
              <w:t xml:space="preserve"> </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797"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逾期不执行劳动监察询问通知书的检查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9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妨碍行政执法</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对用人单位打击报复举报人、控告人、证人和劳动监察人员的检查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24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对经营性人力资源服务机构对未经许可擅自从事职业中介活动的检查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bookmarkStart w:id="0" w:name="_GoBack"/>
            <w:bookmarkEnd w:id="0"/>
            <w:r>
              <w:rPr>
                <w:rFonts w:hint="eastAsia" w:cs="宋体" w:asciiTheme="minorEastAsia" w:hAnsiTheme="minorEastAsia"/>
                <w:kern w:val="0"/>
                <w:sz w:val="20"/>
                <w:szCs w:val="20"/>
                <w:lang w:eastAsia="zh-CN"/>
              </w:rPr>
              <w:t>《人力资源市场暂行条例》</w:t>
            </w:r>
            <w:r>
              <w:rPr>
                <w:rFonts w:hint="eastAsia" w:cs="宋体" w:asciiTheme="minorEastAsia" w:hAnsiTheme="minorEastAsia"/>
                <w:kern w:val="0"/>
                <w:sz w:val="20"/>
                <w:szCs w:val="20"/>
              </w:rPr>
              <w:t>（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961"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对经营性人力资源服务机构开展人力资源服务业务未备案的检查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289"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single" w:color="auto" w:sz="4" w:space="0"/>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对经营性人力资源服务机构设立分支机构、办理变更或者注销登记未书面报告的检查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89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对发布的招聘信息不真实、不合法，未依法开展人力资源服务业务的检查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134"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vMerge w:val="restart"/>
            <w:tcBorders>
              <w:top w:val="nil"/>
              <w:left w:val="nil"/>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对经营性人力资源服务机构未在服务场所明示有关事项的检查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340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vMerge w:val="continue"/>
            <w:tcBorders>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对经营性人力资源服务机构应当未按规定提交经营情况年度报告的检查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580"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对人力资源服务机构未按规定建立健全内部制度或保存服务台账的检查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1335" w:hRule="atLeast"/>
        </w:trPr>
        <w:tc>
          <w:tcPr>
            <w:tcW w:w="513" w:type="dxa"/>
            <w:tcBorders>
              <w:top w:val="nil"/>
              <w:left w:val="single" w:color="auto" w:sz="4" w:space="0"/>
              <w:bottom w:val="single" w:color="auto" w:sz="4" w:space="0"/>
              <w:right w:val="nil"/>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劳动保障</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对用人单位遵守劳动保障法律、法规情况进行监督检查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《劳动法》第八十五条：“县级以上各级人民政府劳动行政部门依法对用人单位遵守劳动法律、法规的情况进行监督检查，对违反劳动法律、法规的行为有权制止，并责令改正。”</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216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对用人单位遵守社会保险法律、法规情况进行监督检查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人力资源社会保障部门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法》（2010年10月28日中华人民共和国主席令第35号公布）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6536"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区社会事务局（人力资源和社会保障）（16类126项）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对养老保险、工伤保险参保和个人领取待遇情况稽核</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用人单位、个人</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人力资源和社会保障社保经办机构稽核部门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《社会保险费征缴暂行条例》第二十条：“社会保险经办机构受劳动保障行政部门的委托，可以进行与社会保险费征缴有关的检查、调查工作。”</w:t>
            </w: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保险稽核办法》（2003年2月27日劳动和社会保障部令第16号发布）第三条第一款：“县级以上社会保险经办机构负责社会保险稽核工作”；第二条：“本办法所称稽核是指社会保险经办机构依法对社会保险费缴纳情况和社会保险待遇领取情况的核查。”</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区级</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农药生产、经营、使用场所，农药产品质量、农药产品标签、说明书、农药许可证件、农药生产原料进货出厂销售记录、农药产品质量合格证、农药经营购销账、农药登记试验单位及农药登记试验情况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农药生产者、经营者，农药登记试验单位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农业农村相关职能部门(种植业与农药管理部门）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《农药管理条例》第三条第二款 县级以上地方人民政府农业主管部门负责本行政区域的农药监督管理工作。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《农药登记试验管理办法》第三十条 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60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肥料产品质量、肥料登记证、肥料标签</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农业农村相关职能部门(种植业与农药管理部门）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《肥料登记管理办法》第七条第三款 县级以上地方人民政府行政主管部门负责本行政区域内的肥料登记和监督管理工作。</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eastAsia="zh-CN"/>
              </w:rPr>
              <w:t>市、县监管</w:t>
            </w: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种子监督抽查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种子生产经营者、委托生产企业、制种基地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农业农村相关职能部门(种业管理部门）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《中华人民共和国种子法》第五十条 农业、林业主管部门是种子行政执法机关。种子执法人员依法执行公务时应当出示行政执法证件。农业、林业主管部门依法履行种子监督检查职责时，有权采取下列措施：</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《农作物种子标签和说明书管理办法》；</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《农作物种子生产经营许可管理办法》；</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《农作物种子质量监督抽查管理办法》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eastAsia="zh-CN"/>
              </w:rPr>
              <w:t>市、县监管</w:t>
            </w: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种畜禽（蚕种）质量监管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种畜禽（蚕种）质量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种畜禽（蚕种）生产经营者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农业农村相关职能部门(种业管理部门）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《中华人民共和国畜牧法》第三十三条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《中华人民共和国畜牧法》第五十六条 县级人民政府畜牧兽医行政主管部门应当制定畜禽质量安全监督检查计划，按计划开展监督抽查工作。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《中华人民共和国畜牧法》第二条第三款 蜂、蚕的资源保护利用和生产经营，适用本法有关规定。</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《蚕种管理办法》第二十六条 省级以上人民政府农业（蚕业）行政主管部门应当制定蚕种质量监督抽查计划并组织实施。</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农业部监督抽查的品种，省级农业（蚕业）行政主管部门不得重复抽查。监督抽查不得向被抽查者收取任何费用。</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承担蚕种质量检验的机构应当符合国家规定的条件，并经有关部门考核合格。</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eastAsia="zh-CN"/>
              </w:rPr>
              <w:t>市、县监管</w:t>
            </w: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饲料、饲料添加剂监督抽查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饲料、饲料添加剂产品质量安全主体责任履行情况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饲料和饲料添加剂生产企业</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和经营企业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《饲料和饲料添加剂管理条例》第三条第二款 县级以上地方人民政府负责饲料、饲料添加剂管理的部门负责本行政区域内饲料、饲料添加剂的监督管理工作。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国务院农业行政主管部门和省、自治区、直辖市人民政府饲料管理部门应当按照职责权限公布监督抽查结果，并可以公布具有不良记录的饲料、饲料添加剂生产企业、经营者名单。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生鲜乳质量安全监督抽查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生鲜乳收购</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站和生鲜乳</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运输车经营</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状况，生鲜</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乳质量安全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生鲜乳收购站、生鲜乳运输车</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《乳品质量安全监督管理条例》第二十七条第一款 县级以上人民政府畜牧兽医主管部门应当加强生鲜乳质量安全监测工作，制定并组织实施生鲜乳质量安全监测计划，对生鲜乳进行监督抽查，并按照法定权限及时公布监督抽查结果。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《生鲜乳生产收购管理办法》第三十二条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《生鲜乳生产收购管理办法》第三十三条 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r>
              <w:rPr>
                <w:rFonts w:hint="eastAsia" w:cs="宋体" w:asciiTheme="minorEastAsia" w:hAnsiTheme="minorEastAsia"/>
                <w:kern w:val="0"/>
                <w:sz w:val="20"/>
                <w:szCs w:val="20"/>
                <w:lang w:val="en-US" w:eastAsia="zh-CN"/>
              </w:rPr>
              <w:t>(</w:t>
            </w: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兽药质量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兽药生产经营企业，兽药使用单位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《中华人民共和国农产品质量安全法》第二十一条 第二款国务院农业行政主管部门和省、自治区、直辖市人民政府农业行政主管部门应当定期对可能危及农产品质量安全的农药、兽药、饲料和饲料添加剂、肥料等农业投入品进行监督抽查，并公布抽查结果。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《兽药管理条例》第三条第二款 县级以上地方人民政府兽医行政管理部门负责本行政区域内的兽药监督管理工作。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《兽药管理条例》第十四条第二款 省级以上人民政府兽医行政管理部门，应当对兽药生产企业是否符合兽药生产质量管理规范的要求进行监督检查，并公布检查结果。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《兽药管理条例》第三十五条第三款 兽用生物制品进口后，应当依照本条例第十九条的规定进行审查核对和抽查检验。其他兽药进口后，由当地兽医行政管理部门通知兽药检验机构进行抽查检验。</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599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病原微生物实验室监督抽查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病原微生物菌(毒)种、样本的采集、运输、储存情况；病原微生物实验室条件及人员、操作情况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病原微生物实验室</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《病原微生物实验室生物安全管理条例》（2014年国务院令第424号公布）第四十九条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县级以上地方人民政府卫生主管部门、兽医主管部门，应当主要通过检查反映实验室执行国家有关法律、行政法规以及国家标准和要求的记录、档案、报告，切实履行监督管理职责。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畜禽规模养殖污染防治监督抽查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畜禽养殖场、养殖小区规范情况，综合利用无害化处理设施建设及规范的情况，畜禽养殖废弃物综合利用和治理的情况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畜禽养殖场、养殖小区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《畜禽规模养殖污染防治条例》第六条 从事畜禽养殖以及畜禽养殖废弃物综合利用和无害化处理活动，应当符合国家有关畜禽养殖污染防治的要求，并依法接受有关主管部门的监督检查。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生猪屠宰管理监督抽查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生猪定点屠宰厂（场）执行国家规定的操作规程和技术要求的情况，生猪来源和生猪产品流向情况）处理肉品品质检验不合格生猪产品的情况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生猪定点屠宰厂（场）、生猪产品销售、肉食品生产加工者</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农业农村相关职能部门(畜牧兽医部门）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《生猪屠宰管理条例》第二十一条 畜牧兽医行政主管部门应当依照本条例的规定严格履行职责，加强对生猪屠宰活动的日常监督检查。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农产品质量安全监督抽查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农产品质量安全状况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种养殖基地、农产品生产经营企业、农民专业合作经济组织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农业农村相关职能部门(农产品质量安全监管、种植业与农药管理、畜牧兽医、渔业渔政管理部门）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《中华人民共和国农产品质量安全法》第三十四条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《兽药管理条例》第四十二条第一款 国务院兽医行政管理部门，应当制定并组织实施国家动物及动物产品兽药残留监控计划。</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《兽药管理条例》第四十二条第二款 县级以上人民政府兽医行政管理部门，负责组织对动物产品中兽药残留量的检测。兽药残留检测结果，由国务院兽医行政管理部门或者省、自治区、直辖市人民政府兽医行政管理部门按照权限予以公布。</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《兽药管理条例》第七十四条水产养殖中的兽药使用、兽药残留检测和监督管理以及水产养殖过程中违法用药的行政处罚，由县级以上人民政府渔业主管部门及其所属的渔政监督管理机构负责。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农业转基因生物安全监督抽查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在我国境内从事农业转基因生物研究、试验、生产、加工、经营和进口、出口活动的单位和个人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农业农村相关职能部门(科技教育部门）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《农业转基因生物安全管理条例》第四条第二款 县级以上地方各级人民政府农业行政主管部门负责本行政区域内的农业转基因生物安全的监督管理工作。</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《农业转基因生物安全管理条例》第三十九条 农业行政主管部门工作人员在监督检查时，应当出示执法证件。</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《农业转基因生物安全管理条例》第四十条有关单位和个人对农业行政主管部门的监督检查，应当予以支持、配合，不得拒绝、阻碍监督检查人员依法执行职务。</w:t>
            </w:r>
          </w:p>
          <w:p>
            <w:pPr>
              <w:keepNext w:val="0"/>
              <w:keepLines w:val="0"/>
              <w:widowControl/>
              <w:suppressLineNumbers w:val="0"/>
              <w:spacing w:beforeLines="0" w:afterLines="0"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《农业转基因生物安全评价管理办法》第三十二条县级以上地方各级人民政府农业行政主管部门按照《条例》第三十九第和第四十条的规定负责农业转基因生物安全的监督管理工作。</w:t>
            </w:r>
          </w:p>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《农业转基因生物标识管理办法》第四条第二款 县级以上地方各级人民政府农业行政主管部门负责本行政区域内的农业转基因生物标识的监督管理工作。</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区社会事务局（农业农村）（13类13项）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水生野生动物及其制品利用活动的监督抽查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水生野生动物及其制品利用活动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经批准的利用水生野生动物及其制品的事业单位、企业、社会组织和个人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实地核查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农业农村相关职能部门(渔业渔政部门）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《野生动物保护法》第三十四条第一款 县级以上人民政府野生动物保护主管部门应当对科学研究、人工繁育、公众展示展演等利用野生动物及其制品的活动进行监督管理。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《云南省渔业条例》第三十五条 县级以上人民政府工商行政管理部门、渔业行政主管部门应当建立水生野生动物及其产品经营利用的监督检查制度，加强对进入市场的水生野生动物及其产品的监督管理。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40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涂改、出租、出借或者以其他方式转让《网络文化经营许可证》，尚不构成刑事处罚的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51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互联网上网服务营业场所经营单位利用营业场所制作、下载、复制、查阅、发布、传播或者以其他方式使用含有本条例第十四条规定禁止含有的内容的信息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97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在规定的营业时间以外营业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2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接纳未成年人进入营业场所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0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经营非网络游戏</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3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擅自停止实施经营管理技术措施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9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未悬挂《网络文化经营许可证》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9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未悬挂未成年人禁入标志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《互联网上网服务营业场所管理条例》第三十一条第五款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83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向上网消费者提供的计算机未通过局域网的方式接入互联网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79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未建立场内巡查制度，或者发现上网消费者的违法行为未予制止并向文化行政部门、公安机关举报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4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未按规定核对、登记上网消费者的有效身份证件或者记录有关上网信息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未按规定时间保存登记内容、记录备份，或者在保存期内修改、删除登记内容、记录备份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《互联网上网服务营业场所管理条例》第三十二条第四款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2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违反《互联网上网服务营业场所管理条例》第二十四条规定，情节严重的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《互联网上网服务营业场所管理条例》第三十三条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6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歌舞娱乐场所的歌曲点播系统与境外的曲库联接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6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舞娱乐场所播放的曲目、屏幕画面含有本条例第十三条禁止内容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1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游艺娱乐场所电子游戏机内的游戏项目含有本条例第十三条禁止内容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90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歌舞娱乐场所接纳未成年人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游艺娱乐场所设置的电子游戏机在国家法定节假日外向未成年人提供</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《娱乐场所管理条例》第四十八条第四款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娱乐场所容纳的消费者超过核定人数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《娱乐场所管理条例》第四十八条第五款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变更有关事项，未按照《娱乐场所管理条例》规定申请重新核发娱乐经营许可证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在《娱乐场所管理条例》规定的禁止营业时间内营业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从业人员在营业期间未统一着装并佩带工作标志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《娱乐场所管理条例》第四十九条第三款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1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娱乐场所未按照《娱乐场所管理条例》规定建立从业人员名簿</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8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娱乐场所未按照《娱乐场所管理条例》规定建立从业日志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7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发现违法犯罪行为未按照《娱乐场所管理条例》规定报告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《娱乐场所管理条例》第五十条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娱乐场所未按照《娱乐场所管理条例》规定悬挂警示标志、未成年人禁入或者限入标志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《娱乐场所管理条例》第五十一条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娱乐场所及其从业人员实施条例第十四条所列行为，或者为进入娱乐场所的人员实施上述行为提供条件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娱乐场所指使、纵容从业人员侵犯消费者人身权利的，造成严重后果的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擅自变更场所使用的歌曲点播系统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《娱乐场所管理条例》第四十九条第一款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6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设置未经文化主管部门内容核查的游戏游艺设备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3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进行有奖经营活动的，奖品目录未报所在地县级文化主管部门备案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擅自变更游戏游艺设备</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未实行游戏、游艺分区经营，或者设有明显的分区标志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62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娱乐场所为未经文化主管部门批准的营业性演出活动提供场地</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违法违规行为未及时采取措施制止并依法报告</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娱乐场所未在显著位置悬挂娱乐经营许可证、未成年人禁入或者限入标志，或者未注明“12318”文化市场举报电话</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25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娱乐场所不配合文化主管部门的日常检查和技术监管措施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歌舞娱乐场所、游艺娱乐场所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除国家法定节假日外接纳未成年人进入游戏区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游艺娱乐场所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《娱乐场所管理办法》第三十条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45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经营含有《艺术品经营管理办法》第六条禁止内容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5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p>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经营《艺术品经营管理办法》第七条禁止经营的艺术品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向消费者隐瞒艺术品来源，或者在艺术品说明中隐瞒重要事项，误导消费者</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伪造、变造艺术品来源证明、艺术品签定评估文件以及其他交易凭证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0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以非法集资为目的或者以非法传销为手段进行经营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9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未经批准，将艺术品权益拆分为均等份额公开发行，以集中竟价、做市商等集中交易方式进行交易</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未标明所经营的艺术品作者、年代、尺寸、材料、保存状况和销售价格等信息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未按规定期限保留交易有关的原始凭证、销售合同、台账、账簿等销售记录</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艺术品经营单位从事艺术品鉴定、评估等服务未与委托人签订书面协议，或者签订了协议，但协议未约定鉴定、评估的事项，鉴定、评估的结论适用范围以及被委托人应当承担的责任</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艺术品经营单位从事艺术品鉴定、评估等服务未明示艺术品鉴定、评估程序或者需要告知、提示委托人的事项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艺术品经营单位从事艺术品鉴定、评估等服务保留书面鉴定、评估结论副本及鉴定、评估人签字等档案少于5年</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从境外进口或者向境外出口艺术品，未技照《艺术品经营管理办法》第十四条规定办理相关手续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销售或者利用其他商业形式传播未经文化行政部门批准进口的艺术品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艺术品经营单位或场所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《艺术品经营管理办法》第二十三条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0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非经营性互联网文化单位逾期未办理备案手续的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5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经营性互联网文化单位未在其网站主页的显著位置标明《网络文化经营许可证》编号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非经营性互联网文化单位未在其网站主页的显著位置标明《网络文化经营许可证》备案编号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《互联网文化管理暂行规定》第二十三条第二款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8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经营性互联网文化单位变更有关信息未办理变更手续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5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非经营性互联网文化单位变更有关信息未办理备案手续</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非经营性互联网文化单位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《互联网文化管理暂行规定》第二十四条第二款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67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经营性互联网文化单位经营进ロ互联网文化产品未在其显著位置标明文化部批准文号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8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经营性互联网文化单位经营国产互联网文化产品未在其显著位置标明文化部备案</w:t>
            </w:r>
            <w:r>
              <w:rPr>
                <w:rFonts w:hint="eastAsia" w:cs="宋体" w:asciiTheme="minorEastAsia" w:hAnsiTheme="minorEastAsia"/>
                <w:kern w:val="0"/>
                <w:sz w:val="20"/>
                <w:szCs w:val="20"/>
                <w:lang w:eastAsia="zh-CN"/>
              </w:rPr>
              <w:t>编号</w:t>
            </w:r>
            <w:r>
              <w:rPr>
                <w:rFonts w:hint="eastAsia" w:cs="宋体" w:asciiTheme="minorEastAsia" w:hAnsiTheme="minorEastAsia"/>
                <w:kern w:val="0"/>
                <w:sz w:val="20"/>
                <w:szCs w:val="20"/>
              </w:rPr>
              <w:t>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9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经营性互联网文化单位擅自变更进口互联网文化产品的名称或者增删内容的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41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互联网文化单位检查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经营性互联网文化单位经营国产互联网文化产品逾期未报文化行政部门备案的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2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经营性互联网文化单位提供含有禁止内容的互联网文化产品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2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经营性互联网文化单位提供未经文化部批准进口的互联网文化产品的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经营性互联网文化单位及其经营活动</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《互联网文化管理暂行规定》第二十八条第二款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经营场所</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6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营业设施</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3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注册资本</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6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质量保证金</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《旅游法》第二十八条、第八十三条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7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旅行社是否取得经营许可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32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旅行社是否安排取得导游证或领队证的人员提供导游或领队服务。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《云南省旅游条例》第四十一条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40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旅行社是否超范围经营和出租、出借、转让经营许可</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《旅游法》第八十三条、《旅行社条例》第四十四条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旅行社检查</w:t>
            </w:r>
          </w:p>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旅行社分支机构是否按规定备案</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3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旅行社是否按规定悬挂许可证、备案证明</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2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有无出现不合理低价、虚假宣传、价格欺诈等损害消费者合法权益的行为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是否按规定投保旅行社责任保险</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4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是否安排违法或违反社会公德的活动。</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5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导游、领队是否私自承揽业务。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7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导游、领队是否向旅游者兜售物品或者购买旅游者的物品</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92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导游是否按规定携带相关证件、佩戴等级评定标志</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导游和领队</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《云南省旅游条例》第二十八条第一款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旅行社是否依法与旅游者签订旅游合同</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是否提供与合同内容相符的旅游服务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《旅游法》第八十五条；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《旅行社条例》第四十四条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旅行社是否按规定安排导游或领队</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1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区社会事务局（文化和旅游）（6类83项）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旅行社是否向合格的供应商订购产品和服务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接待旅游团队的旅游经营者及其从业人员是否经等级认定或评定</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旅行社</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区文化和旅游部门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《旅游法》第八十三条；</w:t>
            </w:r>
          </w:p>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九十七条《云南省旅游条例》第二十六条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lang w:eastAsia="zh-CN"/>
              </w:rPr>
            </w:pPr>
            <w:r>
              <w:rPr>
                <w:rFonts w:hint="eastAsia" w:ascii="宋体" w:hAnsi="宋体" w:cs="宋体"/>
                <w:kern w:val="0"/>
                <w:sz w:val="20"/>
                <w:szCs w:val="20"/>
                <w:lang w:eastAsia="zh-CN"/>
              </w:rPr>
              <w:t>区社会事务局（卫生健康）（10类10项）</w:t>
            </w:r>
          </w:p>
          <w:p>
            <w:pPr>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消毒产品生产企业监督检查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1.相关法律法规、标准的执行情况；2.按照批准的类别和项目开展生产的情况；3.从业人员培训情况；4.原材料卫生质量情况；5.生产过程规范情况；6.产品质量控制情况；7.进行产品卫生安全评价报告及备案情况等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辖区内消毒产品生产企业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《消毒管理办法》（2017年12月修订）第三十六条。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涉及饮用水卫生安全产品监督检查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市</w:t>
            </w:r>
            <w:r>
              <w:rPr>
                <w:rFonts w:hint="eastAsia" w:ascii="宋体" w:hAnsi="宋体" w:cs="宋体"/>
                <w:kern w:val="0"/>
                <w:sz w:val="20"/>
                <w:szCs w:val="20"/>
              </w:rPr>
              <w:t xml:space="preserve">辖区内涉及饮用水卫生安全产品生产企业 </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《生活饮用水卫生监督管理办法》（2016年修订）第二条、第三条第一款、第二十三条。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区社会事务局（卫生健康）（10类10项）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学校卫生监督检查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1.抽查学校教学和生活环境、传染病防控、学校饮用水以及学校内游泳场所的卫生管理情况；2.抽查教室采光照明和水质；3.开展学校卫生综合监督评价。</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辖区内学校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第五十三条第一款第四项；</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《生活饮用水卫生监督管理办法》（2016年修订）第二条、三条第一款、十六条、二十三条；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《学校卫生工作条例》第二十八条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32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公共场所卫生监督检查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1.抽查游泳、住宿、沐浴、美容美发等场所卫生管理情况；2.抽查顾客用品用具、水质、空气以及集中空调通风系统卫生质量；3.推进公共场所卫生监督量化分级管理。</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辖区内公共场所</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第五十三条第一款第六项；</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《公共场所卫生管理条例》（2019年修订）第十三条；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《公共场所卫生管理条例实施细则》（2017年12月修订）第二十九条、三十一条。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30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传染病防治监督检查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医疗卫生机构预防接种管理、传染病疫情报告和疫情控制、消毒隔离措施落实、医疗废物管理、病原微生物实验室生物安全管理等情况。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实地检查</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ascii="宋体" w:hAnsi="宋体" w:cs="宋体"/>
                <w:kern w:val="0"/>
                <w:sz w:val="20"/>
                <w:szCs w:val="20"/>
              </w:rPr>
            </w:pPr>
            <w:r>
              <w:rPr>
                <w:rFonts w:hint="eastAsia" w:ascii="宋体" w:hAnsi="宋体" w:cs="宋体"/>
                <w:kern w:val="0"/>
                <w:sz w:val="20"/>
                <w:szCs w:val="20"/>
              </w:rPr>
              <w:t>《中华人民共和国传染病防治法》 第五十三条第一款第二项；</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cs="宋体" w:eastAsiaTheme="minorEastAsia"/>
                <w:kern w:val="0"/>
                <w:sz w:val="20"/>
                <w:szCs w:val="20"/>
                <w:lang w:eastAsia="zh-CN"/>
              </w:rPr>
            </w:pPr>
            <w:r>
              <w:rPr>
                <w:rFonts w:hint="eastAsia" w:ascii="宋体" w:hAnsi="宋体" w:cs="宋体"/>
                <w:kern w:val="0"/>
                <w:sz w:val="20"/>
                <w:szCs w:val="20"/>
              </w:rPr>
              <w:t>《疫苗流通和预防接种管理条例》第五十条；</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cs="宋体" w:eastAsiaTheme="minorEastAsia"/>
                <w:kern w:val="0"/>
                <w:sz w:val="20"/>
                <w:szCs w:val="20"/>
                <w:lang w:eastAsia="zh-CN"/>
              </w:rPr>
            </w:pPr>
            <w:r>
              <w:rPr>
                <w:rFonts w:hint="eastAsia" w:ascii="宋体" w:hAnsi="宋体" w:cs="宋体"/>
                <w:kern w:val="0"/>
                <w:sz w:val="20"/>
                <w:szCs w:val="20"/>
              </w:rPr>
              <w:t>《突发公共卫生事件与传染病疫情监测信息报告管理办法》第三十三条；</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cs="宋体" w:eastAsiaTheme="minorEastAsia"/>
                <w:kern w:val="0"/>
                <w:sz w:val="20"/>
                <w:szCs w:val="20"/>
                <w:lang w:eastAsia="zh-CN"/>
              </w:rPr>
            </w:pPr>
            <w:r>
              <w:rPr>
                <w:rFonts w:hint="eastAsia" w:ascii="宋体" w:hAnsi="宋体" w:cs="宋体"/>
                <w:kern w:val="0"/>
                <w:sz w:val="20"/>
                <w:szCs w:val="20"/>
              </w:rPr>
              <w:t>《病原微生物实验室生物安全管理条例》（2018年3月修改）第四十九条；</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cs="宋体" w:eastAsiaTheme="minorEastAsia"/>
                <w:kern w:val="0"/>
                <w:sz w:val="20"/>
                <w:szCs w:val="20"/>
                <w:lang w:eastAsia="zh-CN"/>
              </w:rPr>
            </w:pPr>
            <w:r>
              <w:rPr>
                <w:rFonts w:hint="eastAsia" w:ascii="宋体" w:hAnsi="宋体" w:cs="宋体"/>
                <w:kern w:val="0"/>
                <w:sz w:val="20"/>
                <w:szCs w:val="20"/>
              </w:rPr>
              <w:t>《医疗卫生机构医疗废物管理办法》第三十三条、三十四条；</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《医疗废物管理条例》第三十四条、三十五条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5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区社会事务局（卫生健康）（10类10项）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医疗卫生监督检查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1.对医疗机构的设置审批、执业登记和校验进行检查；2.对医疗机构的执业活动进行检查。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辖区内医疗机构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《中华人民共和国传染病防治法》 第五十三条第一款第二项；《医疗机构管理条例》（国务院令第149号）第四十条；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《医疗机构管理条例实施细则》第七十条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tabs>
                <w:tab w:val="left" w:pos="0"/>
              </w:tabs>
              <w:ind w:left="425" w:hanging="425"/>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采供血机构监督检查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1.相关法律法规、标准的执行情况；2.按照批准的类别和项目开展执业的情况；3.疫情管理的情况；4.血源管理的情况；5.实验室管理的情况；6.血液包装、储存、发放的情况；7.医疗废物处理的情况等。</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辖区内采供血机构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《血站管理办法》（2017年12月修改）第五十条 ；《单采血浆站管理办法》第五十二条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放射诊疗机构监督检查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宋体" w:hAnsi="宋体" w:cs="宋体"/>
                <w:kern w:val="0"/>
                <w:sz w:val="20"/>
                <w:szCs w:val="20"/>
              </w:rPr>
              <w:t>1.执行法律、法规、规章、标准和规范等情况；2.放射诊疗规章制度和工作人员岗位责任制等制度的落实情况；3.健康监护制度和防护措施的落实情况；4.放射事件调查处理和报告情况。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辖区内放射诊疗机构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《放射诊疗管理规定》2016(修订）第三十四条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667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jc w:val="both"/>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职业健康检查、职业病诊断机构监督检查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hint="eastAsia" w:cs="宋体" w:asciiTheme="minorEastAsia" w:hAnsiTheme="minorEastAsia"/>
                <w:kern w:val="0"/>
                <w:sz w:val="20"/>
                <w:szCs w:val="20"/>
              </w:rPr>
            </w:pPr>
            <w:r>
              <w:rPr>
                <w:rFonts w:hint="eastAsia" w:ascii="宋体" w:hAnsi="宋体" w:cs="宋体"/>
                <w:kern w:val="0"/>
                <w:sz w:val="18"/>
                <w:szCs w:val="18"/>
              </w:rPr>
              <w:t xml:space="preserve">一.职业病诊断机构检查：（一）法律法规、标准的执行情况；（二）规章制度建立情况；（三）人员、岗位职责落实和培训等情况；（四）职业病报告情况等。 二.职业健康检查机构检查：（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三、职业病鉴定办事机构检查：职业病鉴定工作程序、制度落实情况及职业病报告等情况。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辖区内职业病健康检查机构、职业病诊断机构、职业病鉴定办事机构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《中华人民共和国职业病防治法（2018年修订）》第四十三条、六十二条；</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《职业健康检查管理办法》第三条、二十一条、二十二条；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《职业病诊断与鉴定管理办法》第五十二条、五十三条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32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区社会事务局（</w:t>
            </w:r>
            <w:r>
              <w:rPr>
                <w:rFonts w:hint="eastAsia" w:ascii="宋体" w:hAnsi="宋体" w:cs="宋体"/>
                <w:kern w:val="0"/>
                <w:sz w:val="20"/>
                <w:szCs w:val="20"/>
              </w:rPr>
              <w:t>卫生健康</w:t>
            </w:r>
            <w:r>
              <w:rPr>
                <w:rFonts w:hint="eastAsia" w:ascii="宋体" w:hAnsi="宋体" w:cs="宋体"/>
                <w:kern w:val="0"/>
                <w:sz w:val="20"/>
                <w:szCs w:val="20"/>
                <w:lang w:eastAsia="zh-CN"/>
              </w:rPr>
              <w:t>）</w:t>
            </w:r>
            <w:r>
              <w:rPr>
                <w:rFonts w:hint="eastAsia" w:ascii="宋体" w:hAnsi="宋体" w:cs="宋体"/>
                <w:kern w:val="0"/>
                <w:sz w:val="20"/>
                <w:szCs w:val="20"/>
              </w:rPr>
              <w:t>（10类10项）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母婴保健、计划生育技术服务机构监督检查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1.相关法律法规、标准、规范的执行情况；2.按照批准的类别和项目开展母婴保健技术服务工作的情况；3.从事母婴保健技术服务人员资质情况；4.开展母婴保健技术的管理情况等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市</w:t>
            </w:r>
            <w:r>
              <w:rPr>
                <w:rFonts w:hint="eastAsia" w:ascii="宋体" w:hAnsi="宋体" w:cs="宋体"/>
                <w:kern w:val="0"/>
                <w:sz w:val="20"/>
                <w:szCs w:val="20"/>
              </w:rPr>
              <w:t>辖区内母婴保健技术服务机构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实地检查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lang w:eastAsia="zh-CN"/>
              </w:rPr>
              <w:t>区卫生健康行政部门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《计划生育技术服务管理条例》第三十一条；</w:t>
            </w:r>
          </w:p>
          <w:p>
            <w:pPr>
              <w:widowControl/>
              <w:spacing w:line="240" w:lineRule="exac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《计划生育技术服务管理条例实施细则》第四十条；</w:t>
            </w:r>
          </w:p>
          <w:p>
            <w:pPr>
              <w:widowControl/>
              <w:spacing w:line="240" w:lineRule="exact"/>
              <w:jc w:val="left"/>
              <w:rPr>
                <w:rFonts w:hint="eastAsia" w:cs="宋体" w:asciiTheme="minorEastAsia" w:hAnsiTheme="minorEastAsia"/>
                <w:kern w:val="0"/>
                <w:sz w:val="20"/>
                <w:szCs w:val="20"/>
              </w:rPr>
            </w:pPr>
            <w:r>
              <w:rPr>
                <w:rFonts w:hint="eastAsia" w:ascii="宋体" w:hAnsi="宋体" w:cs="宋体"/>
                <w:kern w:val="0"/>
                <w:sz w:val="20"/>
                <w:szCs w:val="20"/>
              </w:rPr>
              <w:t>《中华人民共和国母婴保健法实施办法》第三十四条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宋体" w:hAnsi="宋体" w:cs="宋体"/>
                <w:kern w:val="0"/>
                <w:sz w:val="20"/>
                <w:szCs w:val="20"/>
                <w:lang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left"/>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区社会事务局（</w:t>
            </w:r>
            <w:r>
              <w:rPr>
                <w:rFonts w:hint="eastAsia" w:asciiTheme="minorEastAsia" w:hAnsiTheme="minorEastAsia" w:eastAsiaTheme="minorEastAsia" w:cstheme="minorEastAsia"/>
                <w:i w:val="0"/>
                <w:color w:val="auto"/>
                <w:kern w:val="0"/>
                <w:sz w:val="20"/>
                <w:szCs w:val="20"/>
                <w:u w:val="none"/>
                <w:lang w:val="en-US" w:eastAsia="zh-CN" w:bidi="ar"/>
              </w:rPr>
              <w:t>林业和草原</w:t>
            </w:r>
            <w:r>
              <w:rPr>
                <w:rFonts w:hint="eastAsia" w:asciiTheme="minorEastAsia" w:hAnsiTheme="minorEastAsia" w:cstheme="minorEastAsia"/>
                <w:i w:val="0"/>
                <w:color w:val="auto"/>
                <w:kern w:val="0"/>
                <w:sz w:val="20"/>
                <w:szCs w:val="20"/>
                <w:u w:val="none"/>
                <w:lang w:val="en-US" w:eastAsia="zh-CN" w:bidi="ar"/>
              </w:rPr>
              <w:t>）</w:t>
            </w:r>
            <w:r>
              <w:rPr>
                <w:rFonts w:hint="eastAsia" w:asciiTheme="minorEastAsia" w:hAnsiTheme="minorEastAsia" w:eastAsiaTheme="minorEastAsia" w:cstheme="minorEastAsia"/>
                <w:i w:val="0"/>
                <w:color w:val="auto"/>
                <w:kern w:val="0"/>
                <w:sz w:val="20"/>
                <w:szCs w:val="20"/>
                <w:u w:val="none"/>
                <w:lang w:val="en-US" w:eastAsia="zh-CN" w:bidi="ar"/>
              </w:rPr>
              <w:t>(2类2</w:t>
            </w:r>
            <w:r>
              <w:rPr>
                <w:rFonts w:hint="eastAsia" w:asciiTheme="minorEastAsia" w:hAnsiTheme="minorEastAsia" w:cstheme="minorEastAsia"/>
                <w:i w:val="0"/>
                <w:color w:val="auto"/>
                <w:kern w:val="0"/>
                <w:sz w:val="20"/>
                <w:szCs w:val="20"/>
                <w:u w:val="none"/>
                <w:lang w:val="en-US" w:eastAsia="zh-CN" w:bidi="ar"/>
              </w:rPr>
              <w:t>项</w:t>
            </w:r>
            <w:r>
              <w:rPr>
                <w:rFonts w:hint="eastAsia" w:asciiTheme="minorEastAsia" w:hAnsiTheme="minorEastAsia" w:eastAsiaTheme="minorEastAsia" w:cstheme="minorEastAsia"/>
                <w:i w:val="0"/>
                <w:color w:val="auto"/>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区社会事务局（</w:t>
            </w:r>
            <w:r>
              <w:rPr>
                <w:rFonts w:hint="eastAsia" w:asciiTheme="minorEastAsia" w:hAnsiTheme="minorEastAsia" w:eastAsiaTheme="minorEastAsia" w:cstheme="minorEastAsia"/>
                <w:i w:val="0"/>
                <w:color w:val="auto"/>
                <w:kern w:val="0"/>
                <w:sz w:val="20"/>
                <w:szCs w:val="20"/>
                <w:u w:val="none"/>
                <w:lang w:val="en-US" w:eastAsia="zh-CN" w:bidi="ar"/>
              </w:rPr>
              <w:t>林业和草原</w:t>
            </w:r>
            <w:r>
              <w:rPr>
                <w:rFonts w:hint="eastAsia" w:asciiTheme="minorEastAsia" w:hAnsiTheme="minorEastAsia" w:cstheme="minorEastAsia"/>
                <w:i w:val="0"/>
                <w:color w:val="auto"/>
                <w:kern w:val="0"/>
                <w:sz w:val="20"/>
                <w:szCs w:val="20"/>
                <w:u w:val="none"/>
                <w:lang w:val="en-US" w:eastAsia="zh-CN" w:bidi="ar"/>
              </w:rPr>
              <w:t>）</w:t>
            </w:r>
            <w:r>
              <w:rPr>
                <w:rFonts w:hint="eastAsia" w:asciiTheme="minorEastAsia" w:hAnsiTheme="minorEastAsia" w:eastAsiaTheme="minorEastAsia" w:cstheme="minorEastAsia"/>
                <w:i w:val="0"/>
                <w:color w:val="auto"/>
                <w:kern w:val="0"/>
                <w:sz w:val="20"/>
                <w:szCs w:val="20"/>
                <w:u w:val="none"/>
                <w:lang w:val="en-US" w:eastAsia="zh-CN" w:bidi="ar"/>
              </w:rPr>
              <w:t>(2类2</w:t>
            </w:r>
            <w:r>
              <w:rPr>
                <w:rFonts w:hint="eastAsia" w:asciiTheme="minorEastAsia" w:hAnsiTheme="minorEastAsia" w:cstheme="minorEastAsia"/>
                <w:i w:val="0"/>
                <w:color w:val="auto"/>
                <w:kern w:val="0"/>
                <w:sz w:val="20"/>
                <w:szCs w:val="20"/>
                <w:u w:val="none"/>
                <w:lang w:val="en-US" w:eastAsia="zh-CN" w:bidi="ar"/>
              </w:rPr>
              <w:t>项</w:t>
            </w:r>
            <w:r>
              <w:rPr>
                <w:rFonts w:hint="eastAsia" w:asciiTheme="minorEastAsia" w:hAnsiTheme="minorEastAsia" w:eastAsiaTheme="minorEastAsia" w:cstheme="minorEastAsia"/>
                <w:i w:val="0"/>
                <w:color w:val="auto"/>
                <w:kern w:val="0"/>
                <w:sz w:val="20"/>
                <w:szCs w:val="20"/>
                <w:u w:val="none"/>
                <w:lang w:val="en-US" w:eastAsia="zh-CN" w:bidi="ar"/>
              </w:rPr>
              <w:t>)</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国家和省级重点保护陆生野生动物驯养繁殖许可证核发的检查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国家和省级重点保护陆生野生动物驯养繁殖许可证核发的检查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在昆明市林业和草原局申请办理国家和省级重点保护陆生野生动物驯养繁殖许可证核发事项并已取得相关许可的昆明市范围内的公民、法人和其他组织。</w:t>
            </w: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林业和草原主管部门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《中华人民共和国森林法》第十三条 各级林业主管部门依照本法规定，对森林资源的保护、利用、更新，实行管理和监督。</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315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left"/>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对主要林木良种种子生产经营许可证核发的检查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对主要林木良种种子生产经营许可证核发的检查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在昆明市林业和草原局申请办理国家和省级重点保护陆生野生动物驯养繁殖许可证核发事项并已取得相关许可的昆明市范围内的公民、法人和其他组织。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林业和草原主管部门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D412CC1-65B4-408F-B55B-802D09DA1C9A}"/>
  </w:font>
  <w:font w:name="方正黑体_GBK">
    <w:altName w:val="微软雅黑"/>
    <w:panose1 w:val="03000509000000000000"/>
    <w:charset w:val="86"/>
    <w:family w:val="script"/>
    <w:pitch w:val="default"/>
    <w:sig w:usb0="00000000" w:usb1="00000000" w:usb2="00000000" w:usb3="00000000" w:csb0="00040000" w:csb1="00000000"/>
    <w:embedRegular r:id="rId2" w:fontKey="{68183E8D-D953-4CB9-8DB0-CCA5FC0D2FB8}"/>
  </w:font>
  <w:font w:name="方正小标宋_GBK">
    <w:panose1 w:val="02000000000000000000"/>
    <w:charset w:val="86"/>
    <w:family w:val="auto"/>
    <w:pitch w:val="default"/>
    <w:sig w:usb0="A00002BF" w:usb1="38CF7CFA" w:usb2="00082016" w:usb3="00000000" w:csb0="00040001" w:csb1="00000000"/>
    <w:embedRegular r:id="rId3" w:fontKey="{630397F0-0A1F-4BBA-B10A-34D499F33961}"/>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jEyZTdiMTk1ZDQwMjZjNDRmMDczMDgwMWUwYzkifQ=="/>
  </w:docVars>
  <w:rsids>
    <w:rsidRoot w:val="049E3C57"/>
    <w:rsid w:val="049E3C57"/>
    <w:rsid w:val="05A07F88"/>
    <w:rsid w:val="0EFB1286"/>
    <w:rsid w:val="12113D82"/>
    <w:rsid w:val="49412CCE"/>
    <w:rsid w:val="4D6B571A"/>
    <w:rsid w:val="5B322098"/>
    <w:rsid w:val="5F752002"/>
    <w:rsid w:val="798406FC"/>
    <w:rsid w:val="7FFA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49146</Words>
  <Characters>50266</Characters>
  <Lines>0</Lines>
  <Paragraphs>0</Paragraphs>
  <TotalTime>12</TotalTime>
  <ScaleCrop>false</ScaleCrop>
  <LinksUpToDate>false</LinksUpToDate>
  <CharactersWithSpaces>50374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2021-08-05T03:30:00Z</dcterms:created>
  <dc:creator>ME I'</dc:creator>
  <cp:lastModifiedBy>恰似白月光</cp:lastModifiedBy>
  <dcterms:modified xsi:type="dcterms:W3CDTF">2023-09-07T03:07:57Z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0CF27B65FCC247229A566392B4B247CA</vt:lpwstr>
  </property>
  <property fmtid="{D5CDD505-2E9C-101B-9397-08002B2CF9AE}" pid="4" name="KSOSaveFontToCloudKey">
    <vt:lpwstr>282887265_btnclosed</vt:lpwstr>
  </property>
</Properties>
</file>