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859" w:tblpY="1794"/>
        <w:tblOverlap w:val="never"/>
        <w:tblW w:w="13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30"/>
        <w:gridCol w:w="739"/>
        <w:gridCol w:w="1889"/>
        <w:gridCol w:w="1728"/>
        <w:gridCol w:w="1031"/>
        <w:gridCol w:w="980"/>
        <w:gridCol w:w="1"/>
        <w:gridCol w:w="936"/>
        <w:gridCol w:w="1357"/>
        <w:gridCol w:w="1"/>
        <w:gridCol w:w="2876"/>
        <w:gridCol w:w="10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369" w:type="dxa"/>
            <w:gridSpan w:val="2"/>
            <w:tcBorders>
              <w:top w:val="nil"/>
              <w:left w:val="nil"/>
              <w:bottom w:val="nil"/>
              <w:right w:val="nil"/>
            </w:tcBorders>
            <w:noWrap/>
            <w:tcMar>
              <w:top w:w="15" w:type="dxa"/>
              <w:left w:w="15" w:type="dxa"/>
              <w:right w:w="15" w:type="dxa"/>
            </w:tcMar>
            <w:vAlign w:val="center"/>
          </w:tcPr>
          <w:p>
            <w:pPr>
              <w:keepNext w:val="0"/>
              <w:keepLines w:val="0"/>
              <w:widowControl/>
              <w:suppressLineNumbers w:val="0"/>
              <w:jc w:val="left"/>
              <w:textAlignment w:val="center"/>
              <w:rPr>
                <w:rFonts w:ascii="仿宋_GB2312" w:hAnsi="宋体" w:eastAsia="仿宋_GB2312" w:cs="仿宋_GB2312"/>
                <w:i w:val="0"/>
                <w:color w:val="000000"/>
                <w:sz w:val="32"/>
                <w:szCs w:val="32"/>
                <w:u w:val="none"/>
              </w:rPr>
            </w:pPr>
            <w:bookmarkStart w:id="0" w:name="_GoBack"/>
            <w:bookmarkEnd w:id="0"/>
            <w:r>
              <w:rPr>
                <w:rFonts w:hint="eastAsia" w:ascii="仿宋_GB2312" w:hAnsi="宋体" w:eastAsia="仿宋_GB2312" w:cs="仿宋_GB2312"/>
                <w:i w:val="0"/>
                <w:color w:val="000000"/>
                <w:kern w:val="0"/>
                <w:sz w:val="32"/>
                <w:szCs w:val="32"/>
                <w:u w:val="none"/>
                <w:lang w:val="en-US" w:eastAsia="zh-CN" w:bidi="ar"/>
              </w:rPr>
              <w:t>附件</w:t>
            </w:r>
          </w:p>
        </w:tc>
        <w:tc>
          <w:tcPr>
            <w:tcW w:w="1889"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28"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1"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80"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37" w:type="dxa"/>
            <w:gridSpan w:val="2"/>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58" w:type="dxa"/>
            <w:gridSpan w:val="2"/>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876"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2"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13200" w:type="dxa"/>
            <w:gridSpan w:val="12"/>
            <w:vMerge w:val="restart"/>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6"/>
                <w:szCs w:val="36"/>
                <w:u w:val="none"/>
                <w:lang w:val="en-US" w:eastAsia="zh-CN" w:bidi="ar"/>
              </w:rPr>
              <w:t>中国（云南）自由贸易试验区探索开展专业技术人员国际职业资格认可情况统计表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0" w:hRule="atLeast"/>
        </w:trPr>
        <w:tc>
          <w:tcPr>
            <w:tcW w:w="13200" w:type="dxa"/>
            <w:gridSpan w:val="12"/>
            <w:vMerge w:val="continue"/>
            <w:tcBorders>
              <w:top w:val="nil"/>
              <w:left w:val="nil"/>
              <w:bottom w:val="nil"/>
              <w:right w:val="nil"/>
            </w:tcBorders>
            <w:noWrap/>
            <w:tcMar>
              <w:top w:w="15" w:type="dxa"/>
              <w:left w:w="15" w:type="dxa"/>
              <w:right w:w="15" w:type="dxa"/>
            </w:tcMar>
            <w:vAlign w:val="center"/>
          </w:tcPr>
          <w:p>
            <w:pPr>
              <w:jc w:val="center"/>
              <w:rPr>
                <w:rFonts w:hint="eastAsia" w:ascii="宋体" w:hAnsi="宋体" w:eastAsia="宋体" w:cs="宋体"/>
                <w:b/>
                <w:i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3258" w:type="dxa"/>
            <w:gridSpan w:val="3"/>
            <w:tcBorders>
              <w:top w:val="nil"/>
              <w:left w:val="nil"/>
              <w:bottom w:val="nil"/>
              <w:right w:val="nil"/>
            </w:tcBorders>
            <w:noWrap/>
            <w:tcMar>
              <w:top w:w="15" w:type="dxa"/>
              <w:left w:w="15" w:type="dxa"/>
              <w:right w:w="15" w:type="dxa"/>
            </w:tcMar>
            <w:vAlign w:val="center"/>
          </w:tcPr>
          <w:p>
            <w:pPr>
              <w:keepNext w:val="0"/>
              <w:keepLines w:val="0"/>
              <w:widowControl/>
              <w:suppressLineNumbers w:val="0"/>
              <w:jc w:val="left"/>
              <w:textAlignment w:val="center"/>
              <w:rPr>
                <w:rFonts w:ascii="楷体_GB2312" w:hAnsi="宋体" w:eastAsia="楷体_GB2312" w:cs="楷体_GB2312"/>
                <w:i w:val="0"/>
                <w:color w:val="000000"/>
                <w:sz w:val="24"/>
                <w:szCs w:val="24"/>
                <w:u w:val="none"/>
              </w:rPr>
            </w:pPr>
            <w:r>
              <w:rPr>
                <w:rFonts w:hint="default" w:ascii="楷体_GB2312" w:hAnsi="宋体" w:eastAsia="楷体_GB2312" w:cs="楷体_GB2312"/>
                <w:i w:val="0"/>
                <w:color w:val="000000"/>
                <w:kern w:val="0"/>
                <w:sz w:val="24"/>
                <w:szCs w:val="24"/>
                <w:u w:val="none"/>
                <w:lang w:val="en-US" w:eastAsia="zh-CN" w:bidi="ar"/>
              </w:rPr>
              <w:t>填报单位（盖章）：</w:t>
            </w:r>
          </w:p>
        </w:tc>
        <w:tc>
          <w:tcPr>
            <w:tcW w:w="1728" w:type="dxa"/>
            <w:tcBorders>
              <w:top w:val="nil"/>
              <w:left w:val="nil"/>
              <w:bottom w:val="nil"/>
              <w:right w:val="nil"/>
            </w:tcBorders>
            <w:noWrap/>
            <w:tcMar>
              <w:top w:w="15" w:type="dxa"/>
              <w:left w:w="15" w:type="dxa"/>
              <w:right w:w="15" w:type="dxa"/>
            </w:tcMar>
            <w:vAlign w:val="center"/>
          </w:tcPr>
          <w:p>
            <w:pPr>
              <w:keepNext w:val="0"/>
              <w:keepLines w:val="0"/>
              <w:widowControl/>
              <w:suppressLineNumbers w:val="0"/>
              <w:jc w:val="right"/>
              <w:textAlignment w:val="center"/>
              <w:rPr>
                <w:rFonts w:hint="default" w:ascii="楷体_GB2312" w:hAnsi="宋体" w:eastAsia="楷体_GB2312" w:cs="楷体_GB2312"/>
                <w:i w:val="0"/>
                <w:color w:val="000000"/>
                <w:sz w:val="24"/>
                <w:szCs w:val="24"/>
                <w:u w:val="none"/>
              </w:rPr>
            </w:pPr>
            <w:r>
              <w:rPr>
                <w:rFonts w:hint="default" w:ascii="楷体_GB2312" w:hAnsi="宋体" w:eastAsia="楷体_GB2312" w:cs="楷体_GB2312"/>
                <w:i w:val="0"/>
                <w:color w:val="000000"/>
                <w:kern w:val="0"/>
                <w:sz w:val="24"/>
                <w:szCs w:val="24"/>
                <w:u w:val="none"/>
                <w:lang w:val="en-US" w:eastAsia="zh-CN" w:bidi="ar"/>
              </w:rPr>
              <w:t>负责人：</w:t>
            </w:r>
          </w:p>
        </w:tc>
        <w:tc>
          <w:tcPr>
            <w:tcW w:w="1031" w:type="dxa"/>
            <w:tcBorders>
              <w:top w:val="nil"/>
              <w:left w:val="nil"/>
              <w:bottom w:val="nil"/>
              <w:right w:val="nil"/>
            </w:tcBorders>
            <w:noWrap/>
            <w:tcMar>
              <w:top w:w="15" w:type="dxa"/>
              <w:left w:w="15" w:type="dxa"/>
              <w:right w:w="15" w:type="dxa"/>
            </w:tcMar>
            <w:vAlign w:val="center"/>
          </w:tcPr>
          <w:p>
            <w:pPr>
              <w:jc w:val="right"/>
              <w:rPr>
                <w:rFonts w:hint="default" w:ascii="楷体_GB2312" w:hAnsi="宋体" w:eastAsia="楷体_GB2312" w:cs="楷体_GB2312"/>
                <w:i w:val="0"/>
                <w:color w:val="000000"/>
                <w:sz w:val="24"/>
                <w:szCs w:val="24"/>
                <w:u w:val="none"/>
              </w:rPr>
            </w:pPr>
          </w:p>
        </w:tc>
        <w:tc>
          <w:tcPr>
            <w:tcW w:w="980" w:type="dxa"/>
            <w:tcBorders>
              <w:top w:val="nil"/>
              <w:left w:val="nil"/>
              <w:bottom w:val="nil"/>
              <w:right w:val="nil"/>
            </w:tcBorders>
            <w:noWrap/>
            <w:tcMar>
              <w:top w:w="15" w:type="dxa"/>
              <w:left w:w="15" w:type="dxa"/>
              <w:right w:w="15" w:type="dxa"/>
            </w:tcMar>
            <w:vAlign w:val="center"/>
          </w:tcPr>
          <w:p>
            <w:pPr>
              <w:rPr>
                <w:rFonts w:hint="default" w:ascii="楷体_GB2312" w:hAnsi="宋体" w:eastAsia="楷体_GB2312" w:cs="楷体_GB2312"/>
                <w:i w:val="0"/>
                <w:color w:val="000000"/>
                <w:sz w:val="24"/>
                <w:szCs w:val="24"/>
                <w:u w:val="none"/>
              </w:rPr>
            </w:pPr>
          </w:p>
        </w:tc>
        <w:tc>
          <w:tcPr>
            <w:tcW w:w="2295" w:type="dxa"/>
            <w:gridSpan w:val="4"/>
            <w:tcBorders>
              <w:top w:val="nil"/>
              <w:left w:val="nil"/>
              <w:bottom w:val="nil"/>
              <w:right w:val="nil"/>
            </w:tcBorders>
            <w:noWrap/>
            <w:tcMar>
              <w:top w:w="15" w:type="dxa"/>
              <w:left w:w="15" w:type="dxa"/>
              <w:right w:w="15" w:type="dxa"/>
            </w:tcMar>
            <w:vAlign w:val="center"/>
          </w:tcPr>
          <w:p>
            <w:pPr>
              <w:keepNext w:val="0"/>
              <w:keepLines w:val="0"/>
              <w:widowControl/>
              <w:suppressLineNumbers w:val="0"/>
              <w:jc w:val="right"/>
              <w:textAlignment w:val="center"/>
              <w:rPr>
                <w:rFonts w:hint="default" w:ascii="楷体_GB2312" w:hAnsi="宋体" w:eastAsia="楷体_GB2312" w:cs="楷体_GB2312"/>
                <w:i w:val="0"/>
                <w:color w:val="000000"/>
                <w:sz w:val="24"/>
                <w:szCs w:val="24"/>
                <w:u w:val="none"/>
              </w:rPr>
            </w:pPr>
            <w:r>
              <w:rPr>
                <w:rFonts w:hint="default" w:ascii="楷体_GB2312" w:hAnsi="宋体" w:eastAsia="楷体_GB2312" w:cs="楷体_GB2312"/>
                <w:i w:val="0"/>
                <w:color w:val="000000"/>
                <w:kern w:val="0"/>
                <w:sz w:val="24"/>
                <w:szCs w:val="24"/>
                <w:u w:val="none"/>
                <w:lang w:val="en-US" w:eastAsia="zh-CN" w:bidi="ar"/>
              </w:rPr>
              <w:t>经办人及联系电话：</w:t>
            </w:r>
          </w:p>
        </w:tc>
        <w:tc>
          <w:tcPr>
            <w:tcW w:w="2876" w:type="dxa"/>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4"/>
                <w:szCs w:val="24"/>
                <w:u w:val="none"/>
              </w:rPr>
            </w:pPr>
            <w:r>
              <w:rPr>
                <w:rFonts w:hint="default" w:ascii="楷体_GB2312" w:hAnsi="宋体" w:eastAsia="楷体_GB2312" w:cs="楷体_GB2312"/>
                <w:i w:val="0"/>
                <w:color w:val="000000"/>
                <w:kern w:val="0"/>
                <w:sz w:val="24"/>
                <w:szCs w:val="24"/>
                <w:u w:val="none"/>
                <w:lang w:val="en-US" w:eastAsia="zh-CN" w:bidi="ar"/>
              </w:rPr>
              <w:t xml:space="preserve">         填报时间：</w:t>
            </w:r>
          </w:p>
        </w:tc>
        <w:tc>
          <w:tcPr>
            <w:tcW w:w="1032" w:type="dxa"/>
            <w:tcBorders>
              <w:top w:val="nil"/>
              <w:left w:val="nil"/>
              <w:bottom w:val="nil"/>
              <w:right w:val="nil"/>
            </w:tcBorders>
            <w:noWrap/>
            <w:tcMar>
              <w:top w:w="15" w:type="dxa"/>
              <w:left w:w="15" w:type="dxa"/>
              <w:right w:w="15" w:type="dxa"/>
            </w:tcMar>
            <w:vAlign w:val="center"/>
          </w:tcPr>
          <w:p>
            <w:pPr>
              <w:rPr>
                <w:rFonts w:hint="default" w:ascii="楷体_GB2312" w:hAnsi="宋体" w:eastAsia="楷体_GB2312" w:cs="楷体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9" w:hRule="atLeast"/>
        </w:trPr>
        <w:tc>
          <w:tcPr>
            <w:tcW w:w="630"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73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所在片区</w:t>
            </w:r>
          </w:p>
        </w:tc>
        <w:tc>
          <w:tcPr>
            <w:tcW w:w="1889"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职业资格名称</w:t>
            </w:r>
          </w:p>
        </w:tc>
        <w:tc>
          <w:tcPr>
            <w:tcW w:w="1728"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颁证国家、地区</w:t>
            </w:r>
          </w:p>
        </w:tc>
        <w:tc>
          <w:tcPr>
            <w:tcW w:w="2948"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人员类别</w:t>
            </w:r>
          </w:p>
        </w:tc>
        <w:tc>
          <w:tcPr>
            <w:tcW w:w="4234"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备案情况</w:t>
            </w:r>
          </w:p>
        </w:tc>
        <w:tc>
          <w:tcPr>
            <w:tcW w:w="1032"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9" w:hRule="atLeast"/>
        </w:trPr>
        <w:tc>
          <w:tcPr>
            <w:tcW w:w="63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73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1889"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1728"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10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我国公民</w:t>
            </w:r>
          </w:p>
        </w:tc>
        <w:tc>
          <w:tcPr>
            <w:tcW w:w="98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港澳台</w:t>
            </w:r>
          </w:p>
        </w:tc>
        <w:tc>
          <w:tcPr>
            <w:tcW w:w="9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外籍</w:t>
            </w:r>
          </w:p>
        </w:tc>
        <w:tc>
          <w:tcPr>
            <w:tcW w:w="13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备案注册人数</w:t>
            </w:r>
          </w:p>
        </w:tc>
        <w:tc>
          <w:tcPr>
            <w:tcW w:w="287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核准部门</w:t>
            </w:r>
          </w:p>
        </w:tc>
        <w:tc>
          <w:tcPr>
            <w:tcW w:w="1032"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9" w:hRule="atLeast"/>
        </w:trPr>
        <w:tc>
          <w:tcPr>
            <w:tcW w:w="6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8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87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9" w:hRule="atLeast"/>
        </w:trPr>
        <w:tc>
          <w:tcPr>
            <w:tcW w:w="6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8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87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9" w:hRule="atLeast"/>
        </w:trPr>
        <w:tc>
          <w:tcPr>
            <w:tcW w:w="6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8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87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9" w:hRule="atLeast"/>
        </w:trPr>
        <w:tc>
          <w:tcPr>
            <w:tcW w:w="6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8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87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9" w:hRule="atLeast"/>
        </w:trPr>
        <w:tc>
          <w:tcPr>
            <w:tcW w:w="13200" w:type="dxa"/>
            <w:gridSpan w:val="12"/>
            <w:vMerge w:val="restart"/>
            <w:tcBorders>
              <w:top w:val="single" w:color="000000" w:sz="4" w:space="0"/>
              <w:left w:val="nil"/>
              <w:bottom w:val="nil"/>
              <w:right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楷体_GB2312" w:hAnsi="宋体" w:eastAsia="楷体_GB2312" w:cs="楷体_GB2312"/>
                <w:i w:val="0"/>
                <w:color w:val="000000"/>
                <w:sz w:val="22"/>
                <w:szCs w:val="22"/>
                <w:u w:val="none"/>
              </w:rPr>
            </w:pPr>
            <w:r>
              <w:rPr>
                <w:rFonts w:hint="default" w:ascii="楷体_GB2312" w:hAnsi="宋体" w:eastAsia="楷体_GB2312" w:cs="楷体_GB2312"/>
                <w:i w:val="0"/>
                <w:color w:val="000000"/>
                <w:kern w:val="0"/>
                <w:sz w:val="22"/>
                <w:szCs w:val="22"/>
                <w:u w:val="none"/>
                <w:lang w:val="en-US" w:eastAsia="zh-CN" w:bidi="ar"/>
              </w:rPr>
              <w:t>填报说明：本表由各片区相关行业主管部门按每半年填写，报片区管委会审核汇总后，分别报片区所在州（市）人力资源社会保障局和行业主管部门；片区所在州（市）人力资源和社会保障局、行业主管部门汇总后，于每年6月30日和12月31日前，分别报省人力资源社会保障厅专业技术人员管理处和省级相关行业主管部门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46" w:hRule="atLeast"/>
        </w:trPr>
        <w:tc>
          <w:tcPr>
            <w:tcW w:w="13200" w:type="dxa"/>
            <w:gridSpan w:val="12"/>
            <w:vMerge w:val="continue"/>
            <w:tcBorders>
              <w:top w:val="single" w:color="000000" w:sz="4" w:space="0"/>
              <w:left w:val="nil"/>
              <w:bottom w:val="nil"/>
              <w:right w:val="nil"/>
            </w:tcBorders>
            <w:noWrap w:val="0"/>
            <w:tcMar>
              <w:top w:w="15" w:type="dxa"/>
              <w:left w:w="15" w:type="dxa"/>
              <w:right w:w="15" w:type="dxa"/>
            </w:tcMar>
            <w:vAlign w:val="center"/>
          </w:tcPr>
          <w:p>
            <w:pPr>
              <w:jc w:val="left"/>
              <w:rPr>
                <w:rFonts w:hint="default" w:ascii="楷体_GB2312" w:hAnsi="宋体" w:eastAsia="楷体_GB2312" w:cs="楷体_GB2312"/>
                <w:i w:val="0"/>
                <w:color w:val="000000"/>
                <w:sz w:val="22"/>
                <w:szCs w:val="22"/>
                <w:u w:val="none"/>
              </w:rPr>
            </w:pPr>
          </w:p>
        </w:tc>
      </w:tr>
    </w:tbl>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CC72CA"/>
    <w:rsid w:val="4A924D0D"/>
    <w:rsid w:val="648E50BA"/>
    <w:rsid w:val="68CC7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adjustRightInd w:val="0"/>
      <w:snapToGrid w:val="0"/>
      <w:spacing w:after="120"/>
    </w:pPr>
    <w:rPr>
      <w:rFonts w:ascii="Calibri" w:hAnsi="Calibri" w:eastAsia="仿宋" w:cs="Times New Roman"/>
      <w:sz w:val="28"/>
      <w:szCs w:val="24"/>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云南省人力资源和社会保障厅</Company>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2020-09-02T07:06:00Z</dcterms:created>
  <dc:creator>韩国华</dc:creator>
  <cp:lastModifiedBy>韩国华</cp:lastModifiedBy>
  <dcterms:modified xsi:type="dcterms:W3CDTF">2020-09-02T07:08:28Z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