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right"/>
        <w:rPr>
          <w:rFonts w:hint="default" w:eastAsia="黑体"/>
          <w:b/>
          <w:bCs/>
          <w:w w:val="130"/>
          <w:sz w:val="72"/>
          <w:szCs w:val="72"/>
          <w:lang w:val="en-US" w:eastAsia="zh-CN"/>
        </w:rPr>
      </w:pPr>
      <w:r>
        <w:rPr>
          <w:rFonts w:hint="eastAsia" w:eastAsia="黑体"/>
          <w:b/>
          <w:bCs/>
          <w:w w:val="130"/>
          <w:sz w:val="72"/>
          <w:szCs w:val="72"/>
          <w:lang w:val="en-US" w:eastAsia="zh-CN"/>
        </w:rPr>
        <w:t xml:space="preserve">   </w:t>
      </w:r>
      <w:r>
        <w:rPr>
          <w:rFonts w:eastAsia="黑体"/>
          <w:b/>
          <w:bCs/>
          <w:w w:val="130"/>
          <w:sz w:val="72"/>
          <w:szCs w:val="72"/>
        </w:rPr>
        <w:t>Q/KMSTHJ</w:t>
      </w:r>
      <w:r>
        <w:rPr>
          <w:rFonts w:hint="eastAsia" w:eastAsia="黑体"/>
          <w:b/>
          <w:bCs/>
          <w:w w:val="130"/>
          <w:sz w:val="72"/>
          <w:szCs w:val="72"/>
          <w:lang w:val="en-US" w:eastAsia="zh-CN"/>
        </w:rPr>
        <w:t>JK</w:t>
      </w:r>
    </w:p>
    <w:p>
      <w:pPr>
        <w:spacing w:line="240" w:lineRule="auto"/>
        <w:ind w:firstLine="0" w:firstLineChars="0"/>
        <w:jc w:val="distribute"/>
        <w:rPr>
          <w:rFonts w:ascii="黑体" w:hAnsi="黑体" w:eastAsia="黑体" w:cs="黑体"/>
          <w:sz w:val="48"/>
          <w:szCs w:val="48"/>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distribute"/>
        <w:textAlignment w:val="auto"/>
        <w:rPr>
          <w:rFonts w:hint="eastAsia" w:ascii="黑体" w:hAnsi="黑体" w:eastAsia="黑体" w:cs="黑体"/>
          <w:sz w:val="48"/>
          <w:szCs w:val="48"/>
          <w:lang w:val="en-US" w:eastAsia="zh-CN"/>
        </w:rPr>
      </w:pPr>
      <w:r>
        <w:rPr>
          <w:rFonts w:hint="eastAsia" w:ascii="黑体" w:hAnsi="黑体" w:eastAsia="黑体" w:cs="黑体"/>
          <w:sz w:val="48"/>
          <w:szCs w:val="48"/>
        </w:rPr>
        <w:t>昆明市生态环境局</w:t>
      </w:r>
      <w:r>
        <w:rPr>
          <w:rFonts w:hint="eastAsia" w:ascii="黑体" w:hAnsi="黑体" w:eastAsia="黑体" w:cs="黑体"/>
          <w:sz w:val="48"/>
          <w:szCs w:val="48"/>
          <w:lang w:eastAsia="zh-CN"/>
        </w:rPr>
        <w:t>经开分局</w:t>
      </w:r>
    </w:p>
    <w:p>
      <w:pPr>
        <w:pBdr>
          <w:top w:val="none" w:color="auto" w:sz="0" w:space="1"/>
          <w:left w:val="none" w:color="auto" w:sz="0" w:space="4"/>
          <w:bottom w:val="single" w:color="auto" w:sz="8" w:space="1"/>
          <w:right w:val="none" w:color="auto" w:sz="0" w:space="4"/>
        </w:pBdr>
        <w:spacing w:before="240" w:beforeLines="100" w:after="120" w:afterLines="50" w:line="360" w:lineRule="auto"/>
        <w:ind w:firstLine="0" w:firstLineChars="0"/>
        <w:jc w:val="right"/>
        <w:rPr>
          <w:rFonts w:ascii="黑体" w:hAnsi="黑体" w:eastAsia="黑体" w:cs="黑体"/>
          <w:szCs w:val="20"/>
        </w:rPr>
      </w:pPr>
      <w:r>
        <w:rPr>
          <w:rFonts w:eastAsia="黑体"/>
          <w:szCs w:val="20"/>
        </w:rPr>
        <w:t>Q/YWSC</w:t>
      </w:r>
      <w:r>
        <w:rPr>
          <w:rFonts w:hint="eastAsia" w:ascii="黑体" w:hAnsi="黑体" w:eastAsia="黑体" w:cs="黑体"/>
          <w:szCs w:val="20"/>
        </w:rPr>
        <w:t>1100186000—202</w:t>
      </w:r>
      <w:r>
        <w:rPr>
          <w:rFonts w:ascii="黑体" w:hAnsi="黑体" w:eastAsia="黑体" w:cs="黑体"/>
          <w:szCs w:val="20"/>
        </w:rPr>
        <w:t>3</w:t>
      </w:r>
    </w:p>
    <w:p>
      <w:pPr>
        <w:spacing w:line="360" w:lineRule="auto"/>
        <w:ind w:firstLine="0" w:firstLineChars="0"/>
        <w:jc w:val="center"/>
      </w:pPr>
    </w:p>
    <w:p>
      <w:pPr>
        <w:spacing w:line="360" w:lineRule="auto"/>
        <w:ind w:firstLine="0" w:firstLineChars="0"/>
        <w:jc w:val="center"/>
      </w:pPr>
    </w:p>
    <w:p>
      <w:pPr>
        <w:spacing w:line="360" w:lineRule="auto"/>
        <w:ind w:firstLine="0" w:firstLineChars="0"/>
        <w:jc w:val="center"/>
      </w:pPr>
    </w:p>
    <w:p>
      <w:pPr>
        <w:spacing w:line="360" w:lineRule="auto"/>
        <w:ind w:firstLine="0" w:firstLineChars="0"/>
        <w:jc w:val="center"/>
      </w:pPr>
    </w:p>
    <w:p>
      <w:pPr>
        <w:pStyle w:val="146"/>
        <w:framePr w:w="0" w:hRule="auto" w:wrap="auto" w:vAnchor="margin" w:hAnchor="text" w:xAlign="left" w:yAlign="inline"/>
        <w:spacing w:line="360" w:lineRule="auto"/>
        <w:rPr>
          <w:rFonts w:ascii="方正小标宋_GBK" w:eastAsia="方正小标宋_GBK"/>
        </w:rPr>
      </w:pPr>
      <w:r>
        <w:rPr>
          <w:rFonts w:hint="eastAsia" w:ascii="方正小标宋_GBK" w:eastAsia="方正小标宋_GBK"/>
          <w:color w:val="auto"/>
          <w:lang w:eastAsia="zh-CN"/>
        </w:rPr>
        <w:t>经开区</w:t>
      </w:r>
      <w:r>
        <w:rPr>
          <w:rFonts w:hint="eastAsia" w:ascii="方正小标宋_GBK" w:eastAsia="方正小标宋_GBK"/>
        </w:rPr>
        <w:t>建设项目环境影响评价文件</w:t>
      </w:r>
    </w:p>
    <w:p>
      <w:pPr>
        <w:pStyle w:val="146"/>
        <w:framePr w:w="0" w:hRule="auto" w:wrap="auto" w:vAnchor="margin" w:hAnchor="text" w:xAlign="left" w:yAlign="inline"/>
        <w:spacing w:line="360" w:lineRule="auto"/>
        <w:rPr>
          <w:rFonts w:ascii="方正小标宋_GBK" w:eastAsia="方正小标宋_GBK"/>
        </w:rPr>
      </w:pPr>
      <w:r>
        <w:rPr>
          <w:rFonts w:hint="eastAsia" w:ascii="方正小标宋_GBK" w:eastAsia="方正小标宋_GBK"/>
        </w:rPr>
        <w:t>审批业务手册</w:t>
      </w:r>
    </w:p>
    <w:p>
      <w:pPr>
        <w:ind w:firstLine="0" w:firstLineChars="0"/>
        <w:jc w:val="center"/>
      </w:pPr>
    </w:p>
    <w:p>
      <w:pPr>
        <w:ind w:firstLine="0" w:firstLineChars="0"/>
        <w:jc w:val="center"/>
      </w:pPr>
    </w:p>
    <w:p>
      <w:pPr>
        <w:ind w:firstLine="0" w:firstLineChars="0"/>
        <w:jc w:val="center"/>
      </w:pPr>
    </w:p>
    <w:p>
      <w:pPr>
        <w:ind w:firstLine="0" w:firstLineChars="0"/>
        <w:jc w:val="center"/>
      </w:pPr>
    </w:p>
    <w:p>
      <w:pPr>
        <w:ind w:firstLine="0" w:firstLineChars="0"/>
        <w:jc w:val="center"/>
      </w:pPr>
    </w:p>
    <w:p>
      <w:pPr>
        <w:ind w:firstLine="0" w:firstLineChars="0"/>
        <w:jc w:val="center"/>
      </w:pPr>
    </w:p>
    <w:p>
      <w:pPr>
        <w:ind w:firstLine="0" w:firstLineChars="0"/>
        <w:jc w:val="center"/>
      </w:pPr>
    </w:p>
    <w:p>
      <w:pPr>
        <w:spacing w:line="240" w:lineRule="auto"/>
        <w:ind w:firstLine="0" w:firstLineChars="0"/>
        <w:jc w:val="center"/>
      </w:pPr>
    </w:p>
    <w:p>
      <w:pPr>
        <w:spacing w:line="240" w:lineRule="auto"/>
        <w:ind w:firstLine="0" w:firstLineChars="0"/>
        <w:jc w:val="center"/>
      </w:pPr>
    </w:p>
    <w:p>
      <w:pPr>
        <w:pBdr>
          <w:bottom w:val="single" w:color="auto" w:sz="8" w:space="1"/>
        </w:pBdr>
        <w:ind w:firstLine="0" w:firstLineChars="0"/>
        <w:jc w:val="center"/>
      </w:pPr>
      <w:r>
        <w:rPr>
          <w:rFonts w:hint="eastAsia" w:ascii="黑体" w:hAnsi="黑体" w:eastAsia="黑体" w:cs="黑体"/>
          <w:szCs w:val="20"/>
        </w:rPr>
        <w:t>202</w:t>
      </w:r>
      <w:r>
        <w:rPr>
          <w:rFonts w:ascii="黑体" w:hAnsi="黑体" w:eastAsia="黑体" w:cs="黑体"/>
          <w:szCs w:val="20"/>
        </w:rPr>
        <w:t>3</w:t>
      </w:r>
      <w:r>
        <w:rPr>
          <w:rFonts w:hint="eastAsia" w:ascii="黑体" w:hAnsi="黑体" w:eastAsia="黑体" w:cs="黑体"/>
          <w:szCs w:val="20"/>
        </w:rPr>
        <w:t>-</w:t>
      </w:r>
      <w:r>
        <w:rPr>
          <w:rFonts w:ascii="黑体" w:hAnsi="黑体" w:eastAsia="黑体" w:cs="黑体"/>
          <w:szCs w:val="20"/>
        </w:rPr>
        <w:t>07</w:t>
      </w:r>
      <w:r>
        <w:rPr>
          <w:rFonts w:hint="eastAsia" w:ascii="黑体" w:hAnsi="黑体" w:eastAsia="黑体" w:cs="黑体"/>
          <w:szCs w:val="20"/>
        </w:rPr>
        <w:t>-</w:t>
      </w:r>
      <w:r>
        <w:rPr>
          <w:rFonts w:ascii="黑体" w:hAnsi="黑体" w:eastAsia="黑体" w:cs="黑体"/>
          <w:szCs w:val="20"/>
        </w:rPr>
        <w:t>01</w:t>
      </w:r>
      <w:r>
        <w:rPr>
          <w:rFonts w:hint="eastAsia" w:ascii="黑体" w:hAnsi="黑体" w:eastAsia="黑体" w:cs="黑体"/>
          <w:szCs w:val="20"/>
        </w:rPr>
        <w:t xml:space="preserve">发布                       </w:t>
      </w:r>
      <w:r>
        <w:rPr>
          <w:rFonts w:ascii="黑体" w:hAnsi="黑体" w:eastAsia="黑体" w:cs="黑体"/>
          <w:szCs w:val="20"/>
        </w:rPr>
        <w:t xml:space="preserve">  </w:t>
      </w:r>
      <w:r>
        <w:rPr>
          <w:rFonts w:hint="eastAsia" w:ascii="黑体" w:hAnsi="黑体" w:eastAsia="黑体" w:cs="黑体"/>
          <w:szCs w:val="20"/>
        </w:rPr>
        <w:t xml:space="preserve">         202</w:t>
      </w:r>
      <w:r>
        <w:rPr>
          <w:rFonts w:ascii="黑体" w:hAnsi="黑体" w:eastAsia="黑体" w:cs="黑体"/>
          <w:szCs w:val="20"/>
        </w:rPr>
        <w:t>3</w:t>
      </w:r>
      <w:r>
        <w:rPr>
          <w:rFonts w:hint="eastAsia" w:ascii="黑体" w:hAnsi="黑体" w:eastAsia="黑体" w:cs="黑体"/>
          <w:szCs w:val="20"/>
        </w:rPr>
        <w:t>-</w:t>
      </w:r>
      <w:r>
        <w:rPr>
          <w:rFonts w:ascii="黑体" w:hAnsi="黑体" w:eastAsia="黑体" w:cs="黑体"/>
          <w:szCs w:val="20"/>
        </w:rPr>
        <w:t>07</w:t>
      </w:r>
      <w:r>
        <w:rPr>
          <w:rFonts w:hint="eastAsia" w:ascii="黑体" w:hAnsi="黑体" w:eastAsia="黑体" w:cs="黑体"/>
          <w:szCs w:val="20"/>
        </w:rPr>
        <w:t>-</w:t>
      </w:r>
      <w:r>
        <w:rPr>
          <w:rFonts w:ascii="黑体" w:hAnsi="黑体" w:eastAsia="黑体" w:cs="黑体"/>
          <w:szCs w:val="20"/>
        </w:rPr>
        <w:t>01</w:t>
      </w:r>
      <w:r>
        <w:rPr>
          <w:rFonts w:hint="eastAsia" w:ascii="黑体" w:hAnsi="黑体" w:eastAsia="黑体" w:cs="黑体"/>
          <w:szCs w:val="20"/>
        </w:rPr>
        <w:t>实施</w:t>
      </w:r>
    </w:p>
    <w:p>
      <w:pPr>
        <w:pStyle w:val="2"/>
        <w:pBdr>
          <w:bottom w:val="single" w:color="auto" w:sz="8" w:space="1"/>
        </w:pBdr>
        <w:sectPr>
          <w:headerReference r:id="rId6" w:type="first"/>
          <w:footerReference r:id="rId9" w:type="first"/>
          <w:footerReference r:id="rId7" w:type="default"/>
          <w:headerReference r:id="rId5" w:type="even"/>
          <w:footerReference r:id="rId8" w:type="even"/>
          <w:pgSz w:w="11907" w:h="16840"/>
          <w:pgMar w:top="2098" w:right="1474" w:bottom="1985" w:left="1588" w:header="851" w:footer="1587" w:gutter="0"/>
          <w:pgNumType w:fmt="decimal" w:start="1"/>
          <w:cols w:space="425" w:num="1"/>
          <w:docGrid w:linePitch="381" w:charSpace="0"/>
        </w:sectPr>
      </w:pPr>
    </w:p>
    <w:p>
      <w:pPr>
        <w:spacing w:line="360" w:lineRule="auto"/>
        <w:ind w:firstLine="0" w:firstLineChars="0"/>
        <w:jc w:val="center"/>
        <w:outlineLvl w:val="0"/>
        <w:rPr>
          <w:rFonts w:ascii="黑体" w:hAnsi="黑体" w:eastAsia="黑体"/>
          <w:sz w:val="44"/>
          <w:szCs w:val="44"/>
        </w:rPr>
      </w:pPr>
      <w:bookmarkStart w:id="0" w:name="_Toc43285445"/>
      <w:bookmarkStart w:id="1" w:name="_Toc43283041"/>
      <w:bookmarkStart w:id="2" w:name="_Toc520391777"/>
      <w:bookmarkStart w:id="3" w:name="_Toc524077892"/>
      <w:r>
        <w:rPr>
          <w:rFonts w:hint="eastAsia" w:ascii="黑体" w:hAnsi="黑体" w:eastAsia="黑体"/>
          <w:sz w:val="44"/>
          <w:szCs w:val="44"/>
        </w:rPr>
        <w:t>前言</w:t>
      </w:r>
      <w:bookmarkEnd w:id="0"/>
    </w:p>
    <w:p>
      <w:pPr>
        <w:ind w:firstLine="560"/>
      </w:pPr>
      <w:r>
        <w:rPr>
          <w:rFonts w:hint="eastAsia"/>
        </w:rPr>
        <w:t>为全面深化“放管服”改革优化营商环境，进一步规范建设项目环境影响评价文件审批服务，按照《云南省深化“放管服”改革“六个一”行动实施方案》（云政办发〔</w:t>
      </w:r>
      <w:r>
        <w:t>2018</w:t>
      </w:r>
      <w:r>
        <w:rPr>
          <w:rFonts w:hint="eastAsia"/>
        </w:rPr>
        <w:t>〕</w:t>
      </w:r>
      <w:r>
        <w:t>34</w:t>
      </w:r>
      <w:r>
        <w:rPr>
          <w:rFonts w:hint="eastAsia"/>
        </w:rPr>
        <w:t>号）、《云南省人民政府行政审批制度改革办公室关于全面推进行政审批标准化工作的通知》（云审改办发〔</w:t>
      </w:r>
      <w:r>
        <w:t>2018</w:t>
      </w:r>
      <w:r>
        <w:rPr>
          <w:rFonts w:hint="eastAsia"/>
        </w:rPr>
        <w:t>〕</w:t>
      </w:r>
      <w:r>
        <w:t>4</w:t>
      </w:r>
      <w:r>
        <w:rPr>
          <w:rFonts w:hint="eastAsia"/>
        </w:rPr>
        <w:t>号）、《昆明市行政审批制度改革领导小组办公室关于全面推进政审批标准化工作的通知》（昆审改办发〔</w:t>
      </w:r>
      <w:r>
        <w:t>2018</w:t>
      </w:r>
      <w:r>
        <w:rPr>
          <w:rFonts w:hint="eastAsia"/>
        </w:rPr>
        <w:t>〕</w:t>
      </w:r>
      <w:r>
        <w:t>20</w:t>
      </w:r>
      <w:r>
        <w:rPr>
          <w:rFonts w:hint="eastAsia"/>
        </w:rPr>
        <w:t>号）要求，</w:t>
      </w:r>
      <w:r>
        <w:rPr>
          <w:rFonts w:hint="eastAsia"/>
          <w:lang w:eastAsia="zh-CN"/>
        </w:rPr>
        <w:t>在昆明市生态环境局发布</w:t>
      </w:r>
      <w:r>
        <w:rPr>
          <w:rFonts w:hint="eastAsia"/>
        </w:rPr>
        <w:t>《</w:t>
      </w:r>
      <w:r>
        <w:rPr>
          <w:rFonts w:hint="eastAsia"/>
          <w:lang w:eastAsia="zh-CN"/>
        </w:rPr>
        <w:t>昆明市</w:t>
      </w:r>
      <w:r>
        <w:rPr>
          <w:rFonts w:hint="eastAsia"/>
        </w:rPr>
        <w:t>建设项目环境影响评价文件审批业务手册》</w:t>
      </w:r>
      <w:r>
        <w:rPr>
          <w:rFonts w:hint="eastAsia"/>
          <w:lang w:eastAsia="zh-CN"/>
        </w:rPr>
        <w:t>之日起</w:t>
      </w:r>
      <w:r>
        <w:rPr>
          <w:rFonts w:hint="eastAsia"/>
        </w:rPr>
        <w:t>，</w:t>
      </w:r>
      <w:r>
        <w:rPr>
          <w:rFonts w:hint="eastAsia"/>
          <w:lang w:eastAsia="zh-CN"/>
        </w:rPr>
        <w:t>我分局动态修改制定</w:t>
      </w:r>
      <w:r>
        <w:rPr>
          <w:rFonts w:hint="eastAsia"/>
          <w:color w:val="auto"/>
          <w:lang w:eastAsia="zh-CN"/>
        </w:rPr>
        <w:t>《经开区</w:t>
      </w:r>
      <w:r>
        <w:rPr>
          <w:rFonts w:hint="eastAsia"/>
          <w:color w:val="auto"/>
        </w:rPr>
        <w:t>建</w:t>
      </w:r>
      <w:r>
        <w:rPr>
          <w:rFonts w:hint="eastAsia"/>
        </w:rPr>
        <w:t>设项目环境影响评价文件审批</w:t>
      </w:r>
      <w:r>
        <w:rPr>
          <w:rFonts w:hint="eastAsia"/>
          <w:lang w:eastAsia="zh-CN"/>
        </w:rPr>
        <w:t>业务手册》，</w:t>
      </w:r>
      <w:r>
        <w:rPr>
          <w:rFonts w:hint="eastAsia"/>
        </w:rPr>
        <w:t>工作严格按照本业务手册的相关要求进行。</w:t>
      </w:r>
    </w:p>
    <w:p>
      <w:pPr>
        <w:ind w:firstLine="560"/>
      </w:pPr>
      <w:r>
        <w:rPr>
          <w:rFonts w:hint="eastAsia"/>
        </w:rPr>
        <w:t>本业务手册的归口管理部门：昆明市生态环境局</w:t>
      </w:r>
      <w:r>
        <w:rPr>
          <w:rFonts w:hint="eastAsia"/>
          <w:lang w:eastAsia="zh-CN"/>
        </w:rPr>
        <w:t>经开分局</w:t>
      </w:r>
      <w:r>
        <w:rPr>
          <w:rFonts w:hint="eastAsia"/>
        </w:rPr>
        <w:t>。</w:t>
      </w:r>
    </w:p>
    <w:p>
      <w:pPr>
        <w:ind w:firstLine="560"/>
      </w:pPr>
      <w:r>
        <w:rPr>
          <w:rFonts w:hint="eastAsia"/>
        </w:rPr>
        <w:t>本业务手册主要编写人：</w:t>
      </w:r>
    </w:p>
    <w:p>
      <w:pPr>
        <w:ind w:firstLine="560"/>
      </w:pPr>
      <w:r>
        <w:rPr>
          <w:rFonts w:hint="eastAsia"/>
        </w:rPr>
        <w:t>本业务手册2018年9月10日首次发布，2020年6月第一次修改发布，2023年</w:t>
      </w:r>
      <w:r>
        <w:t>7</w:t>
      </w:r>
      <w:r>
        <w:rPr>
          <w:rFonts w:hint="eastAsia"/>
        </w:rPr>
        <w:t>月第</w:t>
      </w:r>
      <w:r>
        <w:rPr>
          <w:rFonts w:hint="eastAsia"/>
          <w:lang w:eastAsia="zh-CN"/>
        </w:rPr>
        <w:t>二</w:t>
      </w:r>
      <w:r>
        <w:rPr>
          <w:rFonts w:hint="eastAsia"/>
        </w:rPr>
        <w:t>次修改发布。</w:t>
      </w:r>
    </w:p>
    <w:p>
      <w:pPr>
        <w:ind w:firstLine="173" w:firstLineChars="62"/>
        <w:rPr>
          <w:rFonts w:ascii="黑体" w:hAnsi="黑体" w:eastAsia="黑体" w:cs="黑体"/>
          <w:szCs w:val="32"/>
        </w:rPr>
        <w:sectPr>
          <w:footerReference r:id="rId10" w:type="default"/>
          <w:footerReference r:id="rId11" w:type="even"/>
          <w:pgSz w:w="11907" w:h="16840"/>
          <w:pgMar w:top="2098" w:right="1474" w:bottom="1985" w:left="1588" w:header="851" w:footer="1474" w:gutter="0"/>
          <w:pgNumType w:fmt="decimal" w:start="1"/>
          <w:cols w:space="425" w:num="1"/>
          <w:docGrid w:linePitch="435" w:charSpace="0"/>
        </w:sectPr>
      </w:pPr>
      <w:r>
        <w:rPr>
          <w:rFonts w:hint="eastAsia"/>
        </w:rPr>
        <w:t>本业务手册的解释部门：昆明市生态环境局</w:t>
      </w:r>
      <w:r>
        <w:rPr>
          <w:rFonts w:hint="eastAsia"/>
          <w:lang w:eastAsia="zh-CN"/>
        </w:rPr>
        <w:t>经开分局生态环境联络二科</w:t>
      </w:r>
      <w:r>
        <w:rPr>
          <w:rFonts w:hint="eastAsia"/>
        </w:rPr>
        <w:t>。</w:t>
      </w:r>
    </w:p>
    <w:bookmarkEnd w:id="1"/>
    <w:p>
      <w:pPr>
        <w:spacing w:line="360" w:lineRule="auto"/>
        <w:ind w:firstLine="0" w:firstLineChars="0"/>
        <w:jc w:val="center"/>
        <w:rPr>
          <w:rFonts w:ascii="黑体" w:hAnsi="黑体" w:eastAsia="黑体"/>
          <w:sz w:val="44"/>
          <w:szCs w:val="44"/>
        </w:rPr>
      </w:pPr>
      <w:bookmarkStart w:id="4" w:name="_Toc520391778"/>
      <w:bookmarkStart w:id="5" w:name="_Toc520360102"/>
      <w:bookmarkStart w:id="6" w:name="_Toc520365028"/>
      <w:r>
        <w:rPr>
          <w:rFonts w:hint="eastAsia" w:ascii="黑体" w:hAnsi="黑体" w:eastAsia="黑体"/>
          <w:sz w:val="44"/>
          <w:szCs w:val="44"/>
        </w:rPr>
        <w:t>目录</w:t>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r>
        <w:fldChar w:fldCharType="begin"/>
      </w:r>
      <w:r>
        <w:instrText xml:space="preserve"> HYPERLINK \l "_Toc120270869" </w:instrText>
      </w:r>
      <w:r>
        <w:fldChar w:fldCharType="separate"/>
      </w:r>
      <w:r>
        <w:rPr>
          <w:rStyle w:val="52"/>
          <w:rFonts w:ascii="Times New Roman" w:hAnsi="Times New Roman" w:cs="Times New Roman"/>
          <w:color w:val="auto"/>
          <w:sz w:val="28"/>
          <w:szCs w:val="28"/>
        </w:rPr>
        <w:t>一、受理范围</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_Toc120270869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"_Toc120270870" </w:instrText>
      </w:r>
      <w:r>
        <w:fldChar w:fldCharType="separate"/>
      </w:r>
      <w:r>
        <w:rPr>
          <w:rStyle w:val="52"/>
          <w:rFonts w:ascii="Times New Roman" w:hAnsi="Times New Roman" w:cs="Times New Roman"/>
          <w:color w:val="auto"/>
          <w:sz w:val="28"/>
          <w:szCs w:val="28"/>
        </w:rPr>
        <w:t>（一）申请内容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_Toc120270870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"_Toc120270871" </w:instrText>
      </w:r>
      <w:r>
        <w:fldChar w:fldCharType="separate"/>
      </w:r>
      <w:r>
        <w:rPr>
          <w:rStyle w:val="52"/>
          <w:rFonts w:ascii="Times New Roman" w:hAnsi="Times New Roman" w:cs="Times New Roman"/>
          <w:color w:val="auto"/>
          <w:sz w:val="28"/>
          <w:szCs w:val="28"/>
        </w:rPr>
        <w:t>（二）申请人范围及申请条件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_Toc120270871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"_Toc120270872" </w:instrText>
      </w:r>
      <w:r>
        <w:fldChar w:fldCharType="separate"/>
      </w:r>
      <w:r>
        <w:rPr>
          <w:rStyle w:val="52"/>
          <w:rFonts w:ascii="Times New Roman" w:hAnsi="Times New Roman" w:cs="Times New Roman"/>
          <w:color w:val="auto"/>
          <w:sz w:val="28"/>
          <w:szCs w:val="28"/>
        </w:rPr>
        <w:t>二、适用对象</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_Toc120270872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"_Toc120270873" </w:instrText>
      </w:r>
      <w:r>
        <w:fldChar w:fldCharType="separate"/>
      </w:r>
      <w:r>
        <w:rPr>
          <w:rStyle w:val="52"/>
          <w:rFonts w:ascii="Times New Roman" w:hAnsi="Times New Roman" w:cs="Times New Roman"/>
          <w:color w:val="auto"/>
          <w:sz w:val="28"/>
          <w:szCs w:val="28"/>
        </w:rPr>
        <w:t>三、办理依据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_Toc120270873 \h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"_Toc120270874" </w:instrText>
      </w:r>
      <w:r>
        <w:fldChar w:fldCharType="separate"/>
      </w:r>
      <w:r>
        <w:rPr>
          <w:rStyle w:val="52"/>
          <w:rFonts w:ascii="Times New Roman" w:hAnsi="Times New Roman" w:cs="Times New Roman"/>
          <w:color w:val="auto"/>
          <w:sz w:val="28"/>
          <w:szCs w:val="28"/>
        </w:rPr>
        <w:t>四、实施机构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_Toc120270874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"_Toc120270875" </w:instrText>
      </w:r>
      <w:r>
        <w:fldChar w:fldCharType="separate"/>
      </w:r>
      <w:r>
        <w:rPr>
          <w:rStyle w:val="52"/>
          <w:rFonts w:ascii="Times New Roman" w:hAnsi="Times New Roman" w:cs="Times New Roman"/>
          <w:color w:val="auto"/>
          <w:sz w:val="28"/>
          <w:szCs w:val="28"/>
        </w:rPr>
        <w:t>五、许可人员</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_Toc120270875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"_Toc120270876" </w:instrText>
      </w:r>
      <w:r>
        <w:fldChar w:fldCharType="separate"/>
      </w:r>
      <w:r>
        <w:rPr>
          <w:rStyle w:val="52"/>
          <w:rFonts w:ascii="Times New Roman" w:hAnsi="Times New Roman" w:cs="Times New Roman"/>
          <w:color w:val="auto"/>
          <w:sz w:val="28"/>
          <w:szCs w:val="28"/>
        </w:rPr>
        <w:t>六、批准条件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_Toc120270876 \h </w:instrText>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"_Toc120270877" </w:instrText>
      </w:r>
      <w:r>
        <w:fldChar w:fldCharType="separate"/>
      </w:r>
      <w:r>
        <w:rPr>
          <w:rStyle w:val="52"/>
          <w:rFonts w:ascii="Times New Roman" w:hAnsi="Times New Roman" w:cs="Times New Roman"/>
          <w:color w:val="auto"/>
          <w:sz w:val="28"/>
          <w:szCs w:val="28"/>
        </w:rPr>
        <w:t>（一）准予批准的条件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_Toc120270877 \h </w:instrText>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"_Toc120270878" </w:instrText>
      </w:r>
      <w:r>
        <w:fldChar w:fldCharType="separate"/>
      </w:r>
      <w:r>
        <w:rPr>
          <w:rStyle w:val="52"/>
          <w:rFonts w:ascii="Times New Roman" w:hAnsi="Times New Roman" w:cs="Times New Roman"/>
          <w:color w:val="auto"/>
          <w:sz w:val="28"/>
          <w:szCs w:val="28"/>
        </w:rPr>
        <w:t>（二）不予批准的情形</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_Toc120270878 \h </w:instrText>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"_Toc120270879" </w:instrText>
      </w:r>
      <w:r>
        <w:fldChar w:fldCharType="separate"/>
      </w:r>
      <w:r>
        <w:rPr>
          <w:rStyle w:val="52"/>
          <w:rFonts w:ascii="Times New Roman" w:hAnsi="Times New Roman" w:cs="Times New Roman"/>
          <w:color w:val="auto"/>
          <w:sz w:val="28"/>
          <w:szCs w:val="28"/>
        </w:rPr>
        <w:t>七、申请材料</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_Toc120270879 \h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"_Toc120270880" </w:instrText>
      </w:r>
      <w:r>
        <w:fldChar w:fldCharType="separate"/>
      </w:r>
      <w:r>
        <w:rPr>
          <w:rStyle w:val="52"/>
          <w:rFonts w:ascii="Times New Roman" w:hAnsi="Times New Roman" w:cs="Times New Roman"/>
          <w:color w:val="auto"/>
          <w:sz w:val="28"/>
          <w:szCs w:val="28"/>
        </w:rPr>
        <w:t>八、办理时限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_Toc120270880 \h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"_Toc120270881" </w:instrText>
      </w:r>
      <w:r>
        <w:fldChar w:fldCharType="separate"/>
      </w:r>
      <w:r>
        <w:rPr>
          <w:rStyle w:val="52"/>
          <w:rFonts w:ascii="Times New Roman" w:hAnsi="Times New Roman" w:cs="Times New Roman"/>
          <w:color w:val="auto"/>
          <w:sz w:val="28"/>
          <w:szCs w:val="28"/>
        </w:rPr>
        <w:t>九、许可收费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_Toc120270881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"_Toc120270882" </w:instrText>
      </w:r>
      <w:r>
        <w:fldChar w:fldCharType="separate"/>
      </w:r>
      <w:r>
        <w:rPr>
          <w:rStyle w:val="52"/>
          <w:rFonts w:ascii="Times New Roman" w:hAnsi="Times New Roman" w:cs="Times New Roman"/>
          <w:color w:val="auto"/>
          <w:sz w:val="28"/>
          <w:szCs w:val="28"/>
        </w:rPr>
        <w:t>十、许可证件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_Toc120270882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"_Toc120270883" </w:instrText>
      </w:r>
      <w:r>
        <w:fldChar w:fldCharType="separate"/>
      </w:r>
      <w:r>
        <w:rPr>
          <w:rStyle w:val="52"/>
          <w:rFonts w:ascii="Times New Roman" w:hAnsi="Times New Roman" w:cs="Times New Roman"/>
          <w:color w:val="auto"/>
          <w:sz w:val="28"/>
          <w:szCs w:val="28"/>
        </w:rPr>
        <w:t>十一、中介服务要求</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_Toc120270883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"_Toc120270884" </w:instrText>
      </w:r>
      <w:r>
        <w:fldChar w:fldCharType="separate"/>
      </w:r>
      <w:r>
        <w:rPr>
          <w:rStyle w:val="52"/>
          <w:rFonts w:ascii="Times New Roman" w:hAnsi="Times New Roman" w:cs="Times New Roman"/>
          <w:color w:val="auto"/>
          <w:sz w:val="28"/>
          <w:szCs w:val="28"/>
        </w:rPr>
        <w:t>十二、许可办理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_Toc120270884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"_Toc120270885" </w:instrText>
      </w:r>
      <w:r>
        <w:fldChar w:fldCharType="separate"/>
      </w:r>
      <w:r>
        <w:rPr>
          <w:rStyle w:val="52"/>
          <w:rFonts w:ascii="Times New Roman" w:hAnsi="Times New Roman" w:cs="Times New Roman"/>
          <w:color w:val="auto"/>
          <w:sz w:val="28"/>
          <w:szCs w:val="28"/>
        </w:rPr>
        <w:t>（一）申请</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_Toc120270885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3"/>
        <w:tabs>
          <w:tab w:val="right" w:leader="dot" w:pos="9061"/>
        </w:tabs>
        <w:ind w:firstLine="0" w:firstLineChars="0"/>
        <w:rPr>
          <w:rFonts w:ascii="Times New Roman" w:hAnsi="Times New Roman" w:cs="Times New Roman"/>
          <w:i w:val="0"/>
          <w:iCs w:val="0"/>
          <w:sz w:val="28"/>
          <w:szCs w:val="28"/>
        </w:rPr>
      </w:pPr>
      <w:r>
        <w:fldChar w:fldCharType="begin"/>
      </w:r>
      <w:r>
        <w:instrText xml:space="preserve"> HYPERLINK \l "_Toc120270886" </w:instrText>
      </w:r>
      <w:r>
        <w:fldChar w:fldCharType="separate"/>
      </w:r>
      <w:r>
        <w:rPr>
          <w:rStyle w:val="52"/>
          <w:rFonts w:ascii="Times New Roman" w:hAnsi="Times New Roman" w:cs="Times New Roman"/>
          <w:i w:val="0"/>
          <w:iCs w:val="0"/>
          <w:color w:val="auto"/>
          <w:sz w:val="28"/>
          <w:szCs w:val="28"/>
        </w:rPr>
        <w:t>1.申请</w:t>
      </w:r>
      <w:r>
        <w:rPr>
          <w:rFonts w:ascii="Times New Roman" w:hAnsi="Times New Roman" w:cs="Times New Roman"/>
          <w:i w:val="0"/>
          <w:iCs w:val="0"/>
          <w:sz w:val="28"/>
          <w:szCs w:val="28"/>
        </w:rPr>
        <w:tab/>
      </w:r>
      <w:r>
        <w:rPr>
          <w:rFonts w:ascii="Times New Roman" w:hAnsi="Times New Roman" w:cs="Times New Roman"/>
          <w:i w:val="0"/>
          <w:iCs w:val="0"/>
          <w:sz w:val="28"/>
          <w:szCs w:val="28"/>
        </w:rPr>
        <w:fldChar w:fldCharType="begin"/>
      </w:r>
      <w:r>
        <w:rPr>
          <w:rFonts w:ascii="Times New Roman" w:hAnsi="Times New Roman" w:cs="Times New Roman"/>
          <w:i w:val="0"/>
          <w:iCs w:val="0"/>
          <w:sz w:val="28"/>
          <w:szCs w:val="28"/>
        </w:rPr>
        <w:instrText xml:space="preserve"> PAGEREF _Toc120270886 \h </w:instrText>
      </w:r>
      <w:r>
        <w:rPr>
          <w:rFonts w:ascii="Times New Roman" w:hAnsi="Times New Roman" w:cs="Times New Roman"/>
          <w:i w:val="0"/>
          <w:iCs w:val="0"/>
          <w:sz w:val="28"/>
          <w:szCs w:val="28"/>
        </w:rPr>
        <w:fldChar w:fldCharType="separate"/>
      </w:r>
      <w:r>
        <w:rPr>
          <w:rFonts w:ascii="Times New Roman" w:hAnsi="Times New Roman" w:cs="Times New Roman"/>
          <w:i w:val="0"/>
          <w:iCs w:val="0"/>
          <w:sz w:val="28"/>
          <w:szCs w:val="28"/>
        </w:rPr>
        <w:t>8</w:t>
      </w:r>
      <w:r>
        <w:rPr>
          <w:rFonts w:ascii="Times New Roman" w:hAnsi="Times New Roman" w:cs="Times New Roman"/>
          <w:i w:val="0"/>
          <w:iCs w:val="0"/>
          <w:sz w:val="28"/>
          <w:szCs w:val="28"/>
        </w:rPr>
        <w:fldChar w:fldCharType="end"/>
      </w:r>
      <w:r>
        <w:rPr>
          <w:rFonts w:ascii="Times New Roman" w:hAnsi="Times New Roman" w:cs="Times New Roman"/>
          <w:i w:val="0"/>
          <w:iCs w:val="0"/>
          <w:sz w:val="28"/>
          <w:szCs w:val="28"/>
        </w:rPr>
        <w:fldChar w:fldCharType="end"/>
      </w:r>
    </w:p>
    <w:p>
      <w:pPr>
        <w:pStyle w:val="23"/>
        <w:tabs>
          <w:tab w:val="right" w:leader="dot" w:pos="9061"/>
        </w:tabs>
        <w:ind w:firstLine="0" w:firstLineChars="0"/>
        <w:rPr>
          <w:rFonts w:ascii="Times New Roman" w:hAnsi="Times New Roman" w:cs="Times New Roman"/>
          <w:i w:val="0"/>
          <w:iCs w:val="0"/>
          <w:sz w:val="28"/>
          <w:szCs w:val="28"/>
        </w:rPr>
      </w:pPr>
      <w:r>
        <w:fldChar w:fldCharType="begin"/>
      </w:r>
      <w:r>
        <w:instrText xml:space="preserve"> HYPERLINK \l "_Toc120270887" </w:instrText>
      </w:r>
      <w:r>
        <w:fldChar w:fldCharType="separate"/>
      </w:r>
      <w:r>
        <w:rPr>
          <w:rStyle w:val="52"/>
          <w:rFonts w:ascii="Times New Roman" w:hAnsi="Times New Roman" w:cs="Times New Roman"/>
          <w:i w:val="0"/>
          <w:iCs w:val="0"/>
          <w:color w:val="auto"/>
          <w:sz w:val="28"/>
          <w:szCs w:val="28"/>
        </w:rPr>
        <w:t>2.登记</w:t>
      </w:r>
      <w:r>
        <w:rPr>
          <w:rFonts w:ascii="Times New Roman" w:hAnsi="Times New Roman" w:cs="Times New Roman"/>
          <w:i w:val="0"/>
          <w:iCs w:val="0"/>
          <w:sz w:val="28"/>
          <w:szCs w:val="28"/>
        </w:rPr>
        <w:tab/>
      </w:r>
      <w:r>
        <w:rPr>
          <w:rFonts w:ascii="Times New Roman" w:hAnsi="Times New Roman" w:cs="Times New Roman"/>
          <w:i w:val="0"/>
          <w:iCs w:val="0"/>
          <w:sz w:val="28"/>
          <w:szCs w:val="28"/>
        </w:rPr>
        <w:fldChar w:fldCharType="begin"/>
      </w:r>
      <w:r>
        <w:rPr>
          <w:rFonts w:ascii="Times New Roman" w:hAnsi="Times New Roman" w:cs="Times New Roman"/>
          <w:i w:val="0"/>
          <w:iCs w:val="0"/>
          <w:sz w:val="28"/>
          <w:szCs w:val="28"/>
        </w:rPr>
        <w:instrText xml:space="preserve"> PAGEREF _Toc120270887 \h </w:instrText>
      </w:r>
      <w:r>
        <w:rPr>
          <w:rFonts w:ascii="Times New Roman" w:hAnsi="Times New Roman" w:cs="Times New Roman"/>
          <w:i w:val="0"/>
          <w:iCs w:val="0"/>
          <w:sz w:val="28"/>
          <w:szCs w:val="28"/>
        </w:rPr>
        <w:fldChar w:fldCharType="separate"/>
      </w:r>
      <w:r>
        <w:rPr>
          <w:rFonts w:ascii="Times New Roman" w:hAnsi="Times New Roman" w:cs="Times New Roman"/>
          <w:i w:val="0"/>
          <w:iCs w:val="0"/>
          <w:sz w:val="28"/>
          <w:szCs w:val="28"/>
        </w:rPr>
        <w:t>9</w:t>
      </w:r>
      <w:r>
        <w:rPr>
          <w:rFonts w:ascii="Times New Roman" w:hAnsi="Times New Roman" w:cs="Times New Roman"/>
          <w:i w:val="0"/>
          <w:iCs w:val="0"/>
          <w:sz w:val="28"/>
          <w:szCs w:val="28"/>
        </w:rPr>
        <w:fldChar w:fldCharType="end"/>
      </w:r>
      <w:r>
        <w:rPr>
          <w:rFonts w:ascii="Times New Roman" w:hAnsi="Times New Roman" w:cs="Times New Roman"/>
          <w:i w:val="0"/>
          <w:iCs w:val="0"/>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"_Toc120270888" </w:instrText>
      </w:r>
      <w:r>
        <w:fldChar w:fldCharType="separate"/>
      </w:r>
      <w:r>
        <w:rPr>
          <w:rStyle w:val="52"/>
          <w:rFonts w:ascii="Times New Roman" w:hAnsi="Times New Roman" w:cs="Times New Roman"/>
          <w:color w:val="auto"/>
          <w:sz w:val="28"/>
          <w:szCs w:val="28"/>
        </w:rPr>
        <w:t>（二）受理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_Toc120270888 \h </w:instrText>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3"/>
        <w:tabs>
          <w:tab w:val="right" w:leader="dot" w:pos="9061"/>
        </w:tabs>
        <w:ind w:firstLine="0" w:firstLineChars="0"/>
        <w:rPr>
          <w:rFonts w:ascii="Times New Roman" w:hAnsi="Times New Roman" w:cs="Times New Roman"/>
          <w:i w:val="0"/>
          <w:iCs w:val="0"/>
          <w:sz w:val="28"/>
          <w:szCs w:val="28"/>
        </w:rPr>
      </w:pPr>
      <w:r>
        <w:fldChar w:fldCharType="begin"/>
      </w:r>
      <w:r>
        <w:instrText xml:space="preserve"> HYPERLINK \l "_Toc120270889" </w:instrText>
      </w:r>
      <w:r>
        <w:fldChar w:fldCharType="separate"/>
      </w:r>
      <w:r>
        <w:rPr>
          <w:rStyle w:val="52"/>
          <w:rFonts w:ascii="Times New Roman" w:hAnsi="Times New Roman" w:cs="Times New Roman"/>
          <w:i w:val="0"/>
          <w:iCs w:val="0"/>
          <w:color w:val="auto"/>
          <w:sz w:val="28"/>
          <w:szCs w:val="28"/>
        </w:rPr>
        <w:t>1.受理审核</w:t>
      </w:r>
      <w:r>
        <w:rPr>
          <w:rFonts w:ascii="Times New Roman" w:hAnsi="Times New Roman" w:cs="Times New Roman"/>
          <w:i w:val="0"/>
          <w:iCs w:val="0"/>
          <w:sz w:val="28"/>
          <w:szCs w:val="28"/>
        </w:rPr>
        <w:tab/>
      </w:r>
      <w:r>
        <w:rPr>
          <w:rFonts w:ascii="Times New Roman" w:hAnsi="Times New Roman" w:cs="Times New Roman"/>
          <w:i w:val="0"/>
          <w:iCs w:val="0"/>
          <w:sz w:val="28"/>
          <w:szCs w:val="28"/>
        </w:rPr>
        <w:fldChar w:fldCharType="begin"/>
      </w:r>
      <w:r>
        <w:rPr>
          <w:rFonts w:ascii="Times New Roman" w:hAnsi="Times New Roman" w:cs="Times New Roman"/>
          <w:i w:val="0"/>
          <w:iCs w:val="0"/>
          <w:sz w:val="28"/>
          <w:szCs w:val="28"/>
        </w:rPr>
        <w:instrText xml:space="preserve"> PAGEREF _Toc120270889 \h </w:instrText>
      </w:r>
      <w:r>
        <w:rPr>
          <w:rFonts w:ascii="Times New Roman" w:hAnsi="Times New Roman" w:cs="Times New Roman"/>
          <w:i w:val="0"/>
          <w:iCs w:val="0"/>
          <w:sz w:val="28"/>
          <w:szCs w:val="28"/>
        </w:rPr>
        <w:fldChar w:fldCharType="separate"/>
      </w:r>
      <w:r>
        <w:rPr>
          <w:rFonts w:ascii="Times New Roman" w:hAnsi="Times New Roman" w:cs="Times New Roman"/>
          <w:i w:val="0"/>
          <w:iCs w:val="0"/>
          <w:sz w:val="28"/>
          <w:szCs w:val="28"/>
        </w:rPr>
        <w:t>9</w:t>
      </w:r>
      <w:r>
        <w:rPr>
          <w:rFonts w:ascii="Times New Roman" w:hAnsi="Times New Roman" w:cs="Times New Roman"/>
          <w:i w:val="0"/>
          <w:iCs w:val="0"/>
          <w:sz w:val="28"/>
          <w:szCs w:val="28"/>
        </w:rPr>
        <w:fldChar w:fldCharType="end"/>
      </w:r>
      <w:r>
        <w:rPr>
          <w:rFonts w:ascii="Times New Roman" w:hAnsi="Times New Roman" w:cs="Times New Roman"/>
          <w:i w:val="0"/>
          <w:iCs w:val="0"/>
          <w:sz w:val="28"/>
          <w:szCs w:val="28"/>
        </w:rPr>
        <w:fldChar w:fldCharType="end"/>
      </w:r>
    </w:p>
    <w:p>
      <w:pPr>
        <w:pStyle w:val="23"/>
        <w:tabs>
          <w:tab w:val="right" w:leader="dot" w:pos="9061"/>
        </w:tabs>
        <w:ind w:firstLine="0" w:firstLineChars="0"/>
        <w:rPr>
          <w:rFonts w:ascii="Times New Roman" w:hAnsi="Times New Roman" w:cs="Times New Roman"/>
          <w:i w:val="0"/>
          <w:iCs w:val="0"/>
          <w:sz w:val="28"/>
          <w:szCs w:val="28"/>
        </w:rPr>
      </w:pPr>
      <w:r>
        <w:fldChar w:fldCharType="begin"/>
      </w:r>
      <w:r>
        <w:instrText xml:space="preserve"> HYPERLINK \l "_Toc120270890" </w:instrText>
      </w:r>
      <w:r>
        <w:fldChar w:fldCharType="separate"/>
      </w:r>
      <w:r>
        <w:rPr>
          <w:rStyle w:val="52"/>
          <w:rFonts w:ascii="Times New Roman" w:hAnsi="Times New Roman" w:cs="Times New Roman"/>
          <w:i w:val="0"/>
          <w:iCs w:val="0"/>
          <w:color w:val="auto"/>
          <w:sz w:val="28"/>
          <w:szCs w:val="28"/>
        </w:rPr>
        <w:t>2.受理决定</w:t>
      </w:r>
      <w:r>
        <w:rPr>
          <w:rFonts w:ascii="Times New Roman" w:hAnsi="Times New Roman" w:cs="Times New Roman"/>
          <w:i w:val="0"/>
          <w:iCs w:val="0"/>
          <w:sz w:val="28"/>
          <w:szCs w:val="28"/>
        </w:rPr>
        <w:tab/>
      </w:r>
      <w:r>
        <w:rPr>
          <w:rFonts w:ascii="Times New Roman" w:hAnsi="Times New Roman" w:cs="Times New Roman"/>
          <w:i w:val="0"/>
          <w:iCs w:val="0"/>
          <w:sz w:val="28"/>
          <w:szCs w:val="28"/>
        </w:rPr>
        <w:fldChar w:fldCharType="begin"/>
      </w:r>
      <w:r>
        <w:rPr>
          <w:rFonts w:ascii="Times New Roman" w:hAnsi="Times New Roman" w:cs="Times New Roman"/>
          <w:i w:val="0"/>
          <w:iCs w:val="0"/>
          <w:sz w:val="28"/>
          <w:szCs w:val="28"/>
        </w:rPr>
        <w:instrText xml:space="preserve"> PAGEREF _Toc120270890 \h </w:instrText>
      </w:r>
      <w:r>
        <w:rPr>
          <w:rFonts w:ascii="Times New Roman" w:hAnsi="Times New Roman" w:cs="Times New Roman"/>
          <w:i w:val="0"/>
          <w:iCs w:val="0"/>
          <w:sz w:val="28"/>
          <w:szCs w:val="28"/>
        </w:rPr>
        <w:fldChar w:fldCharType="separate"/>
      </w:r>
      <w:r>
        <w:rPr>
          <w:rFonts w:ascii="Times New Roman" w:hAnsi="Times New Roman" w:cs="Times New Roman"/>
          <w:i w:val="0"/>
          <w:iCs w:val="0"/>
          <w:sz w:val="28"/>
          <w:szCs w:val="28"/>
        </w:rPr>
        <w:t>9</w:t>
      </w:r>
      <w:r>
        <w:rPr>
          <w:rFonts w:ascii="Times New Roman" w:hAnsi="Times New Roman" w:cs="Times New Roman"/>
          <w:i w:val="0"/>
          <w:iCs w:val="0"/>
          <w:sz w:val="28"/>
          <w:szCs w:val="28"/>
        </w:rPr>
        <w:fldChar w:fldCharType="end"/>
      </w:r>
      <w:r>
        <w:rPr>
          <w:rFonts w:ascii="Times New Roman" w:hAnsi="Times New Roman" w:cs="Times New Roman"/>
          <w:i w:val="0"/>
          <w:iCs w:val="0"/>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"_Toc120270891" </w:instrText>
      </w:r>
      <w:r>
        <w:fldChar w:fldCharType="separate"/>
      </w:r>
      <w:r>
        <w:rPr>
          <w:rStyle w:val="52"/>
          <w:rFonts w:ascii="Times New Roman" w:hAnsi="Times New Roman" w:cs="Times New Roman"/>
          <w:color w:val="auto"/>
          <w:sz w:val="28"/>
          <w:szCs w:val="28"/>
        </w:rPr>
        <w:t>（三）技术评估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_Toc120270891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3"/>
        <w:tabs>
          <w:tab w:val="right" w:leader="dot" w:pos="9061"/>
        </w:tabs>
        <w:ind w:firstLine="0" w:firstLineChars="0"/>
        <w:rPr>
          <w:rFonts w:ascii="Times New Roman" w:hAnsi="Times New Roman" w:cs="Times New Roman"/>
          <w:i w:val="0"/>
          <w:iCs w:val="0"/>
          <w:sz w:val="28"/>
          <w:szCs w:val="28"/>
        </w:rPr>
      </w:pPr>
      <w:r>
        <w:fldChar w:fldCharType="begin"/>
      </w:r>
      <w:r>
        <w:instrText xml:space="preserve"> HYPERLINK \l "_Toc120270892" </w:instrText>
      </w:r>
      <w:r>
        <w:fldChar w:fldCharType="separate"/>
      </w:r>
      <w:r>
        <w:rPr>
          <w:rStyle w:val="52"/>
          <w:rFonts w:ascii="Times New Roman" w:hAnsi="Times New Roman" w:cs="Times New Roman"/>
          <w:i w:val="0"/>
          <w:iCs w:val="0"/>
          <w:color w:val="auto"/>
          <w:sz w:val="28"/>
          <w:szCs w:val="28"/>
        </w:rPr>
        <w:t>1.书面审查</w:t>
      </w:r>
      <w:r>
        <w:rPr>
          <w:rFonts w:ascii="Times New Roman" w:hAnsi="Times New Roman" w:cs="Times New Roman"/>
          <w:i w:val="0"/>
          <w:iCs w:val="0"/>
          <w:sz w:val="28"/>
          <w:szCs w:val="28"/>
        </w:rPr>
        <w:tab/>
      </w:r>
      <w:r>
        <w:rPr>
          <w:rFonts w:ascii="Times New Roman" w:hAnsi="Times New Roman" w:cs="Times New Roman"/>
          <w:i w:val="0"/>
          <w:iCs w:val="0"/>
          <w:sz w:val="28"/>
          <w:szCs w:val="28"/>
        </w:rPr>
        <w:fldChar w:fldCharType="begin"/>
      </w:r>
      <w:r>
        <w:rPr>
          <w:rFonts w:ascii="Times New Roman" w:hAnsi="Times New Roman" w:cs="Times New Roman"/>
          <w:i w:val="0"/>
          <w:iCs w:val="0"/>
          <w:sz w:val="28"/>
          <w:szCs w:val="28"/>
        </w:rPr>
        <w:instrText xml:space="preserve"> PAGEREF _Toc120270892 \h </w:instrText>
      </w:r>
      <w:r>
        <w:rPr>
          <w:rFonts w:ascii="Times New Roman" w:hAnsi="Times New Roman" w:cs="Times New Roman"/>
          <w:i w:val="0"/>
          <w:iCs w:val="0"/>
          <w:sz w:val="28"/>
          <w:szCs w:val="28"/>
        </w:rPr>
        <w:fldChar w:fldCharType="separate"/>
      </w:r>
      <w:r>
        <w:rPr>
          <w:rFonts w:ascii="Times New Roman" w:hAnsi="Times New Roman" w:cs="Times New Roman"/>
          <w:i w:val="0"/>
          <w:iCs w:val="0"/>
          <w:sz w:val="28"/>
          <w:szCs w:val="28"/>
        </w:rPr>
        <w:t>12</w:t>
      </w:r>
      <w:r>
        <w:rPr>
          <w:rFonts w:ascii="Times New Roman" w:hAnsi="Times New Roman" w:cs="Times New Roman"/>
          <w:i w:val="0"/>
          <w:iCs w:val="0"/>
          <w:sz w:val="28"/>
          <w:szCs w:val="28"/>
        </w:rPr>
        <w:fldChar w:fldCharType="end"/>
      </w:r>
      <w:r>
        <w:rPr>
          <w:rFonts w:ascii="Times New Roman" w:hAnsi="Times New Roman" w:cs="Times New Roman"/>
          <w:i w:val="0"/>
          <w:iCs w:val="0"/>
          <w:sz w:val="28"/>
          <w:szCs w:val="28"/>
        </w:rPr>
        <w:fldChar w:fldCharType="end"/>
      </w:r>
    </w:p>
    <w:p>
      <w:pPr>
        <w:pStyle w:val="23"/>
        <w:tabs>
          <w:tab w:val="right" w:leader="dot" w:pos="9061"/>
        </w:tabs>
        <w:ind w:firstLine="0" w:firstLineChars="0"/>
        <w:rPr>
          <w:rFonts w:ascii="Times New Roman" w:hAnsi="Times New Roman" w:cs="Times New Roman"/>
          <w:i w:val="0"/>
          <w:iCs w:val="0"/>
          <w:sz w:val="28"/>
          <w:szCs w:val="28"/>
        </w:rPr>
      </w:pPr>
      <w:r>
        <w:fldChar w:fldCharType="begin"/>
      </w:r>
      <w:r>
        <w:instrText xml:space="preserve"> HYPERLINK \l "_Toc120270893" </w:instrText>
      </w:r>
      <w:r>
        <w:fldChar w:fldCharType="separate"/>
      </w:r>
      <w:r>
        <w:rPr>
          <w:rStyle w:val="52"/>
          <w:rFonts w:ascii="Times New Roman" w:hAnsi="Times New Roman" w:cs="Times New Roman"/>
          <w:i w:val="0"/>
          <w:iCs w:val="0"/>
          <w:color w:val="auto"/>
          <w:sz w:val="28"/>
          <w:szCs w:val="28"/>
        </w:rPr>
        <w:t>2.现场踏勘</w:t>
      </w:r>
      <w:r>
        <w:rPr>
          <w:rFonts w:ascii="Times New Roman" w:hAnsi="Times New Roman" w:cs="Times New Roman"/>
          <w:i w:val="0"/>
          <w:iCs w:val="0"/>
          <w:sz w:val="28"/>
          <w:szCs w:val="28"/>
        </w:rPr>
        <w:tab/>
      </w:r>
      <w:r>
        <w:rPr>
          <w:rFonts w:ascii="Times New Roman" w:hAnsi="Times New Roman" w:cs="Times New Roman"/>
          <w:i w:val="0"/>
          <w:iCs w:val="0"/>
          <w:sz w:val="28"/>
          <w:szCs w:val="28"/>
        </w:rPr>
        <w:fldChar w:fldCharType="begin"/>
      </w:r>
      <w:r>
        <w:rPr>
          <w:rFonts w:ascii="Times New Roman" w:hAnsi="Times New Roman" w:cs="Times New Roman"/>
          <w:i w:val="0"/>
          <w:iCs w:val="0"/>
          <w:sz w:val="28"/>
          <w:szCs w:val="28"/>
        </w:rPr>
        <w:instrText xml:space="preserve"> PAGEREF _Toc120270893 \h </w:instrText>
      </w:r>
      <w:r>
        <w:rPr>
          <w:rFonts w:ascii="Times New Roman" w:hAnsi="Times New Roman" w:cs="Times New Roman"/>
          <w:i w:val="0"/>
          <w:iCs w:val="0"/>
          <w:sz w:val="28"/>
          <w:szCs w:val="28"/>
        </w:rPr>
        <w:fldChar w:fldCharType="separate"/>
      </w:r>
      <w:r>
        <w:rPr>
          <w:rFonts w:ascii="Times New Roman" w:hAnsi="Times New Roman" w:cs="Times New Roman"/>
          <w:i w:val="0"/>
          <w:iCs w:val="0"/>
          <w:sz w:val="28"/>
          <w:szCs w:val="28"/>
        </w:rPr>
        <w:t>12</w:t>
      </w:r>
      <w:r>
        <w:rPr>
          <w:rFonts w:ascii="Times New Roman" w:hAnsi="Times New Roman" w:cs="Times New Roman"/>
          <w:i w:val="0"/>
          <w:iCs w:val="0"/>
          <w:sz w:val="28"/>
          <w:szCs w:val="28"/>
        </w:rPr>
        <w:fldChar w:fldCharType="end"/>
      </w:r>
      <w:r>
        <w:rPr>
          <w:rFonts w:ascii="Times New Roman" w:hAnsi="Times New Roman" w:cs="Times New Roman"/>
          <w:i w:val="0"/>
          <w:iCs w:val="0"/>
          <w:sz w:val="28"/>
          <w:szCs w:val="28"/>
        </w:rPr>
        <w:fldChar w:fldCharType="end"/>
      </w:r>
    </w:p>
    <w:p>
      <w:pPr>
        <w:pStyle w:val="23"/>
        <w:tabs>
          <w:tab w:val="right" w:leader="dot" w:pos="9061"/>
        </w:tabs>
        <w:ind w:firstLine="0" w:firstLineChars="0"/>
        <w:rPr>
          <w:rFonts w:ascii="Times New Roman" w:hAnsi="Times New Roman" w:cs="Times New Roman"/>
          <w:i w:val="0"/>
          <w:iCs w:val="0"/>
          <w:sz w:val="28"/>
          <w:szCs w:val="28"/>
        </w:rPr>
      </w:pPr>
      <w:r>
        <w:fldChar w:fldCharType="begin"/>
      </w:r>
      <w:r>
        <w:instrText xml:space="preserve"> HYPERLINK \l "_Toc120270894" </w:instrText>
      </w:r>
      <w:r>
        <w:fldChar w:fldCharType="separate"/>
      </w:r>
      <w:r>
        <w:rPr>
          <w:rStyle w:val="52"/>
          <w:rFonts w:ascii="Times New Roman" w:hAnsi="Times New Roman" w:cs="Times New Roman"/>
          <w:i w:val="0"/>
          <w:iCs w:val="0"/>
          <w:color w:val="auto"/>
          <w:sz w:val="28"/>
          <w:szCs w:val="28"/>
        </w:rPr>
        <w:t>3.专家评审和技术审查</w:t>
      </w:r>
      <w:r>
        <w:rPr>
          <w:rFonts w:ascii="Times New Roman" w:hAnsi="Times New Roman" w:cs="Times New Roman"/>
          <w:i w:val="0"/>
          <w:iCs w:val="0"/>
          <w:sz w:val="28"/>
          <w:szCs w:val="28"/>
        </w:rPr>
        <w:tab/>
      </w:r>
      <w:r>
        <w:rPr>
          <w:rFonts w:ascii="Times New Roman" w:hAnsi="Times New Roman" w:cs="Times New Roman"/>
          <w:i w:val="0"/>
          <w:iCs w:val="0"/>
          <w:sz w:val="28"/>
          <w:szCs w:val="28"/>
        </w:rPr>
        <w:fldChar w:fldCharType="begin"/>
      </w:r>
      <w:r>
        <w:rPr>
          <w:rFonts w:ascii="Times New Roman" w:hAnsi="Times New Roman" w:cs="Times New Roman"/>
          <w:i w:val="0"/>
          <w:iCs w:val="0"/>
          <w:sz w:val="28"/>
          <w:szCs w:val="28"/>
        </w:rPr>
        <w:instrText xml:space="preserve"> PAGEREF _Toc120270894 \h </w:instrText>
      </w:r>
      <w:r>
        <w:rPr>
          <w:rFonts w:ascii="Times New Roman" w:hAnsi="Times New Roman" w:cs="Times New Roman"/>
          <w:i w:val="0"/>
          <w:iCs w:val="0"/>
          <w:sz w:val="28"/>
          <w:szCs w:val="28"/>
        </w:rPr>
        <w:fldChar w:fldCharType="separate"/>
      </w:r>
      <w:r>
        <w:rPr>
          <w:rFonts w:ascii="Times New Roman" w:hAnsi="Times New Roman" w:cs="Times New Roman"/>
          <w:i w:val="0"/>
          <w:iCs w:val="0"/>
          <w:sz w:val="28"/>
          <w:szCs w:val="28"/>
        </w:rPr>
        <w:t>13</w:t>
      </w:r>
      <w:r>
        <w:rPr>
          <w:rFonts w:ascii="Times New Roman" w:hAnsi="Times New Roman" w:cs="Times New Roman"/>
          <w:i w:val="0"/>
          <w:iCs w:val="0"/>
          <w:sz w:val="28"/>
          <w:szCs w:val="28"/>
        </w:rPr>
        <w:fldChar w:fldCharType="end"/>
      </w:r>
      <w:r>
        <w:rPr>
          <w:rFonts w:ascii="Times New Roman" w:hAnsi="Times New Roman" w:cs="Times New Roman"/>
          <w:i w:val="0"/>
          <w:iCs w:val="0"/>
          <w:sz w:val="28"/>
          <w:szCs w:val="28"/>
        </w:rPr>
        <w:fldChar w:fldCharType="end"/>
      </w:r>
    </w:p>
    <w:p>
      <w:pPr>
        <w:pStyle w:val="23"/>
        <w:tabs>
          <w:tab w:val="right" w:leader="dot" w:pos="9061"/>
        </w:tabs>
        <w:ind w:firstLine="0" w:firstLineChars="0"/>
        <w:rPr>
          <w:rFonts w:ascii="Times New Roman" w:hAnsi="Times New Roman" w:cs="Times New Roman"/>
          <w:i w:val="0"/>
          <w:iCs w:val="0"/>
          <w:sz w:val="28"/>
          <w:szCs w:val="28"/>
        </w:rPr>
      </w:pPr>
      <w:r>
        <w:fldChar w:fldCharType="begin"/>
      </w:r>
      <w:r>
        <w:instrText xml:space="preserve"> HYPERLINK \l "_Toc120270895" </w:instrText>
      </w:r>
      <w:r>
        <w:fldChar w:fldCharType="separate"/>
      </w:r>
      <w:r>
        <w:rPr>
          <w:rStyle w:val="52"/>
          <w:rFonts w:ascii="Times New Roman" w:hAnsi="Times New Roman" w:cs="Times New Roman"/>
          <w:i w:val="0"/>
          <w:iCs w:val="0"/>
          <w:color w:val="auto"/>
          <w:sz w:val="28"/>
          <w:szCs w:val="28"/>
        </w:rPr>
        <w:t>4.评估意见编制和审核</w:t>
      </w:r>
      <w:r>
        <w:rPr>
          <w:rFonts w:ascii="Times New Roman" w:hAnsi="Times New Roman" w:cs="Times New Roman"/>
          <w:i w:val="0"/>
          <w:iCs w:val="0"/>
          <w:sz w:val="28"/>
          <w:szCs w:val="28"/>
        </w:rPr>
        <w:tab/>
      </w:r>
      <w:r>
        <w:rPr>
          <w:rFonts w:ascii="Times New Roman" w:hAnsi="Times New Roman" w:cs="Times New Roman"/>
          <w:i w:val="0"/>
          <w:iCs w:val="0"/>
          <w:sz w:val="28"/>
          <w:szCs w:val="28"/>
        </w:rPr>
        <w:fldChar w:fldCharType="begin"/>
      </w:r>
      <w:r>
        <w:rPr>
          <w:rFonts w:ascii="Times New Roman" w:hAnsi="Times New Roman" w:cs="Times New Roman"/>
          <w:i w:val="0"/>
          <w:iCs w:val="0"/>
          <w:sz w:val="28"/>
          <w:szCs w:val="28"/>
        </w:rPr>
        <w:instrText xml:space="preserve"> PAGEREF _Toc120270895 \h </w:instrText>
      </w:r>
      <w:r>
        <w:rPr>
          <w:rFonts w:ascii="Times New Roman" w:hAnsi="Times New Roman" w:cs="Times New Roman"/>
          <w:i w:val="0"/>
          <w:iCs w:val="0"/>
          <w:sz w:val="28"/>
          <w:szCs w:val="28"/>
        </w:rPr>
        <w:fldChar w:fldCharType="separate"/>
      </w:r>
      <w:r>
        <w:rPr>
          <w:rFonts w:ascii="Times New Roman" w:hAnsi="Times New Roman" w:cs="Times New Roman"/>
          <w:i w:val="0"/>
          <w:iCs w:val="0"/>
          <w:sz w:val="28"/>
          <w:szCs w:val="28"/>
        </w:rPr>
        <w:t>14</w:t>
      </w:r>
      <w:r>
        <w:rPr>
          <w:rFonts w:ascii="Times New Roman" w:hAnsi="Times New Roman" w:cs="Times New Roman"/>
          <w:i w:val="0"/>
          <w:iCs w:val="0"/>
          <w:sz w:val="28"/>
          <w:szCs w:val="28"/>
        </w:rPr>
        <w:fldChar w:fldCharType="end"/>
      </w:r>
      <w:r>
        <w:rPr>
          <w:rFonts w:ascii="Times New Roman" w:hAnsi="Times New Roman" w:cs="Times New Roman"/>
          <w:i w:val="0"/>
          <w:iCs w:val="0"/>
          <w:sz w:val="28"/>
          <w:szCs w:val="28"/>
        </w:rPr>
        <w:fldChar w:fldCharType="end"/>
      </w:r>
    </w:p>
    <w:p>
      <w:pPr>
        <w:pStyle w:val="23"/>
        <w:tabs>
          <w:tab w:val="right" w:leader="dot" w:pos="9061"/>
        </w:tabs>
        <w:ind w:firstLine="0" w:firstLineChars="0"/>
        <w:rPr>
          <w:rFonts w:ascii="Times New Roman" w:hAnsi="Times New Roman" w:cs="Times New Roman"/>
          <w:i w:val="0"/>
          <w:iCs w:val="0"/>
          <w:sz w:val="28"/>
          <w:szCs w:val="28"/>
        </w:rPr>
      </w:pPr>
      <w:r>
        <w:fldChar w:fldCharType="begin"/>
      </w:r>
      <w:r>
        <w:instrText xml:space="preserve"> HYPERLINK \l "_Toc120270896" </w:instrText>
      </w:r>
      <w:r>
        <w:fldChar w:fldCharType="separate"/>
      </w:r>
      <w:r>
        <w:rPr>
          <w:rStyle w:val="52"/>
          <w:rFonts w:ascii="Times New Roman" w:hAnsi="Times New Roman" w:cs="Times New Roman"/>
          <w:i w:val="0"/>
          <w:iCs w:val="0"/>
          <w:color w:val="auto"/>
          <w:sz w:val="28"/>
          <w:szCs w:val="28"/>
        </w:rPr>
        <w:t>5.评估意见报送</w:t>
      </w:r>
      <w:r>
        <w:rPr>
          <w:rFonts w:ascii="Times New Roman" w:hAnsi="Times New Roman" w:cs="Times New Roman"/>
          <w:i w:val="0"/>
          <w:iCs w:val="0"/>
          <w:sz w:val="28"/>
          <w:szCs w:val="28"/>
        </w:rPr>
        <w:tab/>
      </w:r>
      <w:r>
        <w:rPr>
          <w:rFonts w:ascii="Times New Roman" w:hAnsi="Times New Roman" w:cs="Times New Roman"/>
          <w:i w:val="0"/>
          <w:iCs w:val="0"/>
          <w:sz w:val="28"/>
          <w:szCs w:val="28"/>
        </w:rPr>
        <w:fldChar w:fldCharType="begin"/>
      </w:r>
      <w:r>
        <w:rPr>
          <w:rFonts w:ascii="Times New Roman" w:hAnsi="Times New Roman" w:cs="Times New Roman"/>
          <w:i w:val="0"/>
          <w:iCs w:val="0"/>
          <w:sz w:val="28"/>
          <w:szCs w:val="28"/>
        </w:rPr>
        <w:instrText xml:space="preserve"> PAGEREF _Toc120270896 \h </w:instrText>
      </w:r>
      <w:r>
        <w:rPr>
          <w:rFonts w:ascii="Times New Roman" w:hAnsi="Times New Roman" w:cs="Times New Roman"/>
          <w:i w:val="0"/>
          <w:iCs w:val="0"/>
          <w:sz w:val="28"/>
          <w:szCs w:val="28"/>
        </w:rPr>
        <w:fldChar w:fldCharType="separate"/>
      </w:r>
      <w:r>
        <w:rPr>
          <w:rFonts w:ascii="Times New Roman" w:hAnsi="Times New Roman" w:cs="Times New Roman"/>
          <w:i w:val="0"/>
          <w:iCs w:val="0"/>
          <w:sz w:val="28"/>
          <w:szCs w:val="28"/>
        </w:rPr>
        <w:t>14</w:t>
      </w:r>
      <w:r>
        <w:rPr>
          <w:rFonts w:ascii="Times New Roman" w:hAnsi="Times New Roman" w:cs="Times New Roman"/>
          <w:i w:val="0"/>
          <w:iCs w:val="0"/>
          <w:sz w:val="28"/>
          <w:szCs w:val="28"/>
        </w:rPr>
        <w:fldChar w:fldCharType="end"/>
      </w:r>
      <w:r>
        <w:rPr>
          <w:rFonts w:ascii="Times New Roman" w:hAnsi="Times New Roman" w:cs="Times New Roman"/>
          <w:i w:val="0"/>
          <w:iCs w:val="0"/>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"_Toc120270897" </w:instrText>
      </w:r>
      <w:r>
        <w:fldChar w:fldCharType="separate"/>
      </w:r>
      <w:r>
        <w:rPr>
          <w:rStyle w:val="52"/>
          <w:rFonts w:ascii="Times New Roman" w:hAnsi="Times New Roman" w:cs="Times New Roman"/>
          <w:color w:val="auto"/>
          <w:sz w:val="28"/>
          <w:szCs w:val="28"/>
        </w:rPr>
        <w:t>（四）行政审查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_Toc120270897 \h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"_Toc120270898" </w:instrText>
      </w:r>
      <w:r>
        <w:fldChar w:fldCharType="separate"/>
      </w:r>
      <w:r>
        <w:rPr>
          <w:rStyle w:val="52"/>
          <w:rFonts w:ascii="Times New Roman" w:hAnsi="Times New Roman" w:cs="Times New Roman"/>
          <w:color w:val="auto"/>
          <w:sz w:val="28"/>
          <w:szCs w:val="28"/>
        </w:rPr>
        <w:t>（五）决定前公示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_Toc120270898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"_Toc120270899" </w:instrText>
      </w:r>
      <w:r>
        <w:fldChar w:fldCharType="separate"/>
      </w:r>
      <w:r>
        <w:rPr>
          <w:rStyle w:val="52"/>
          <w:rFonts w:ascii="Times New Roman" w:hAnsi="Times New Roman" w:cs="Times New Roman"/>
          <w:color w:val="auto"/>
          <w:sz w:val="28"/>
          <w:szCs w:val="28"/>
        </w:rPr>
        <w:t>（六）决定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_Toc120270899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"_Toc120270900" </w:instrText>
      </w:r>
      <w:r>
        <w:fldChar w:fldCharType="separate"/>
      </w:r>
      <w:r>
        <w:rPr>
          <w:rStyle w:val="52"/>
          <w:rFonts w:ascii="Times New Roman" w:hAnsi="Times New Roman" w:cs="Times New Roman"/>
          <w:color w:val="auto"/>
          <w:sz w:val="28"/>
          <w:szCs w:val="28"/>
        </w:rPr>
        <w:t>十三、许可证件制作与送达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_Toc120270900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"_Toc120270901" </w:instrText>
      </w:r>
      <w:r>
        <w:fldChar w:fldCharType="separate"/>
      </w:r>
      <w:r>
        <w:rPr>
          <w:rStyle w:val="52"/>
          <w:rFonts w:ascii="Times New Roman" w:hAnsi="Times New Roman" w:cs="Times New Roman"/>
          <w:color w:val="auto"/>
          <w:sz w:val="28"/>
          <w:szCs w:val="28"/>
          <w:lang w:val="en-GB"/>
        </w:rPr>
        <w:t>（一）</w:t>
      </w:r>
      <w:r>
        <w:rPr>
          <w:rStyle w:val="52"/>
          <w:rFonts w:ascii="Times New Roman" w:hAnsi="Times New Roman" w:cs="Times New Roman"/>
          <w:color w:val="auto"/>
          <w:sz w:val="28"/>
          <w:szCs w:val="28"/>
        </w:rPr>
        <w:t>许可证制作与送达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_Toc120270901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"_Toc120270902" </w:instrText>
      </w:r>
      <w:r>
        <w:fldChar w:fldCharType="separate"/>
      </w:r>
      <w:r>
        <w:rPr>
          <w:rStyle w:val="52"/>
          <w:rFonts w:ascii="Times New Roman" w:hAnsi="Times New Roman" w:cs="Times New Roman"/>
          <w:color w:val="auto"/>
          <w:sz w:val="28"/>
          <w:szCs w:val="28"/>
          <w:lang w:val="en-GB"/>
        </w:rPr>
        <w:t>（二）</w:t>
      </w:r>
      <w:r>
        <w:rPr>
          <w:rStyle w:val="52"/>
          <w:rFonts w:ascii="Times New Roman" w:hAnsi="Times New Roman" w:cs="Times New Roman"/>
          <w:color w:val="auto"/>
          <w:sz w:val="28"/>
          <w:szCs w:val="28"/>
        </w:rPr>
        <w:t>归档</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_Toc120270902 \h </w:instrText>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"_Toc120270903" </w:instrText>
      </w:r>
      <w:r>
        <w:fldChar w:fldCharType="separate"/>
      </w:r>
      <w:r>
        <w:rPr>
          <w:rStyle w:val="52"/>
          <w:rFonts w:ascii="Times New Roman" w:hAnsi="Times New Roman" w:cs="Times New Roman"/>
          <w:color w:val="auto"/>
          <w:sz w:val="28"/>
          <w:szCs w:val="28"/>
        </w:rPr>
        <w:t>十四、中止许可或终止许可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_Toc120270903 \h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"_Toc120270904" </w:instrText>
      </w:r>
      <w:r>
        <w:fldChar w:fldCharType="separate"/>
      </w:r>
      <w:r>
        <w:rPr>
          <w:rStyle w:val="52"/>
          <w:rFonts w:ascii="Times New Roman" w:hAnsi="Times New Roman" w:cs="Times New Roman"/>
          <w:color w:val="auto"/>
          <w:sz w:val="28"/>
          <w:szCs w:val="28"/>
        </w:rPr>
        <w:t>十五、许可服务</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_Toc120270904 \h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"_Toc120270905" </w:instrText>
      </w:r>
      <w:r>
        <w:fldChar w:fldCharType="separate"/>
      </w:r>
      <w:r>
        <w:rPr>
          <w:rStyle w:val="52"/>
          <w:rFonts w:ascii="Times New Roman" w:hAnsi="Times New Roman" w:cs="Times New Roman"/>
          <w:color w:val="auto"/>
          <w:sz w:val="28"/>
          <w:szCs w:val="28"/>
        </w:rPr>
        <w:t>（一）许可咨询</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_Toc120270905 \h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3"/>
        <w:tabs>
          <w:tab w:val="right" w:leader="dot" w:pos="9061"/>
        </w:tabs>
        <w:ind w:firstLine="0" w:firstLineChars="0"/>
        <w:rPr>
          <w:rFonts w:ascii="Times New Roman" w:hAnsi="Times New Roman" w:cs="Times New Roman"/>
          <w:i w:val="0"/>
          <w:iCs w:val="0"/>
          <w:sz w:val="28"/>
          <w:szCs w:val="28"/>
        </w:rPr>
      </w:pPr>
      <w:r>
        <w:fldChar w:fldCharType="begin"/>
      </w:r>
      <w:r>
        <w:instrText xml:space="preserve"> HYPERLINK \l "_Toc120270906" </w:instrText>
      </w:r>
      <w:r>
        <w:fldChar w:fldCharType="separate"/>
      </w:r>
      <w:r>
        <w:rPr>
          <w:rStyle w:val="52"/>
          <w:rFonts w:ascii="Times New Roman" w:hAnsi="Times New Roman" w:cs="Times New Roman"/>
          <w:i w:val="0"/>
          <w:iCs w:val="0"/>
          <w:color w:val="auto"/>
          <w:sz w:val="28"/>
          <w:szCs w:val="28"/>
        </w:rPr>
        <w:t>1.咨询方式</w:t>
      </w:r>
      <w:r>
        <w:rPr>
          <w:rFonts w:ascii="Times New Roman" w:hAnsi="Times New Roman" w:cs="Times New Roman"/>
          <w:i w:val="0"/>
          <w:iCs w:val="0"/>
          <w:sz w:val="28"/>
          <w:szCs w:val="28"/>
        </w:rPr>
        <w:tab/>
      </w:r>
      <w:r>
        <w:rPr>
          <w:rFonts w:ascii="Times New Roman" w:hAnsi="Times New Roman" w:cs="Times New Roman"/>
          <w:i w:val="0"/>
          <w:iCs w:val="0"/>
          <w:sz w:val="28"/>
          <w:szCs w:val="28"/>
        </w:rPr>
        <w:fldChar w:fldCharType="begin"/>
      </w:r>
      <w:r>
        <w:rPr>
          <w:rFonts w:ascii="Times New Roman" w:hAnsi="Times New Roman" w:cs="Times New Roman"/>
          <w:i w:val="0"/>
          <w:iCs w:val="0"/>
          <w:sz w:val="28"/>
          <w:szCs w:val="28"/>
        </w:rPr>
        <w:instrText xml:space="preserve"> PAGEREF _Toc120270906 \h </w:instrText>
      </w:r>
      <w:r>
        <w:rPr>
          <w:rFonts w:ascii="Times New Roman" w:hAnsi="Times New Roman" w:cs="Times New Roman"/>
          <w:i w:val="0"/>
          <w:iCs w:val="0"/>
          <w:sz w:val="28"/>
          <w:szCs w:val="28"/>
        </w:rPr>
        <w:fldChar w:fldCharType="separate"/>
      </w:r>
      <w:r>
        <w:rPr>
          <w:rFonts w:ascii="Times New Roman" w:hAnsi="Times New Roman" w:cs="Times New Roman"/>
          <w:i w:val="0"/>
          <w:iCs w:val="0"/>
          <w:sz w:val="28"/>
          <w:szCs w:val="28"/>
        </w:rPr>
        <w:t>17</w:t>
      </w:r>
      <w:r>
        <w:rPr>
          <w:rFonts w:ascii="Times New Roman" w:hAnsi="Times New Roman" w:cs="Times New Roman"/>
          <w:i w:val="0"/>
          <w:iCs w:val="0"/>
          <w:sz w:val="28"/>
          <w:szCs w:val="28"/>
        </w:rPr>
        <w:fldChar w:fldCharType="end"/>
      </w:r>
      <w:r>
        <w:rPr>
          <w:rFonts w:ascii="Times New Roman" w:hAnsi="Times New Roman" w:cs="Times New Roman"/>
          <w:i w:val="0"/>
          <w:iCs w:val="0"/>
          <w:sz w:val="28"/>
          <w:szCs w:val="28"/>
        </w:rPr>
        <w:fldChar w:fldCharType="end"/>
      </w:r>
    </w:p>
    <w:p>
      <w:pPr>
        <w:pStyle w:val="23"/>
        <w:tabs>
          <w:tab w:val="right" w:leader="dot" w:pos="9061"/>
        </w:tabs>
        <w:ind w:firstLine="0" w:firstLineChars="0"/>
        <w:rPr>
          <w:rFonts w:ascii="Times New Roman" w:hAnsi="Times New Roman" w:cs="Times New Roman"/>
          <w:i w:val="0"/>
          <w:iCs w:val="0"/>
          <w:sz w:val="28"/>
          <w:szCs w:val="28"/>
        </w:rPr>
      </w:pPr>
      <w:r>
        <w:fldChar w:fldCharType="begin"/>
      </w:r>
      <w:r>
        <w:instrText xml:space="preserve"> HYPERLINK \l "_Toc120270907" </w:instrText>
      </w:r>
      <w:r>
        <w:fldChar w:fldCharType="separate"/>
      </w:r>
      <w:r>
        <w:rPr>
          <w:rStyle w:val="52"/>
          <w:rFonts w:ascii="Times New Roman" w:hAnsi="Times New Roman" w:cs="Times New Roman"/>
          <w:i w:val="0"/>
          <w:iCs w:val="0"/>
          <w:color w:val="auto"/>
          <w:sz w:val="28"/>
          <w:szCs w:val="28"/>
        </w:rPr>
        <w:t>2.咨询回复</w:t>
      </w:r>
      <w:r>
        <w:rPr>
          <w:rFonts w:ascii="Times New Roman" w:hAnsi="Times New Roman" w:cs="Times New Roman"/>
          <w:i w:val="0"/>
          <w:iCs w:val="0"/>
          <w:sz w:val="28"/>
          <w:szCs w:val="28"/>
        </w:rPr>
        <w:tab/>
      </w:r>
      <w:r>
        <w:rPr>
          <w:rFonts w:ascii="Times New Roman" w:hAnsi="Times New Roman" w:cs="Times New Roman"/>
          <w:i w:val="0"/>
          <w:iCs w:val="0"/>
          <w:sz w:val="28"/>
          <w:szCs w:val="28"/>
        </w:rPr>
        <w:fldChar w:fldCharType="begin"/>
      </w:r>
      <w:r>
        <w:rPr>
          <w:rFonts w:ascii="Times New Roman" w:hAnsi="Times New Roman" w:cs="Times New Roman"/>
          <w:i w:val="0"/>
          <w:iCs w:val="0"/>
          <w:sz w:val="28"/>
          <w:szCs w:val="28"/>
        </w:rPr>
        <w:instrText xml:space="preserve"> PAGEREF _Toc120270907 \h </w:instrText>
      </w:r>
      <w:r>
        <w:rPr>
          <w:rFonts w:ascii="Times New Roman" w:hAnsi="Times New Roman" w:cs="Times New Roman"/>
          <w:i w:val="0"/>
          <w:iCs w:val="0"/>
          <w:sz w:val="28"/>
          <w:szCs w:val="28"/>
        </w:rPr>
        <w:fldChar w:fldCharType="separate"/>
      </w:r>
      <w:r>
        <w:rPr>
          <w:rFonts w:ascii="Times New Roman" w:hAnsi="Times New Roman" w:cs="Times New Roman"/>
          <w:i w:val="0"/>
          <w:iCs w:val="0"/>
          <w:sz w:val="28"/>
          <w:szCs w:val="28"/>
        </w:rPr>
        <w:t>17</w:t>
      </w:r>
      <w:r>
        <w:rPr>
          <w:rFonts w:ascii="Times New Roman" w:hAnsi="Times New Roman" w:cs="Times New Roman"/>
          <w:i w:val="0"/>
          <w:iCs w:val="0"/>
          <w:sz w:val="28"/>
          <w:szCs w:val="28"/>
        </w:rPr>
        <w:fldChar w:fldCharType="end"/>
      </w:r>
      <w:r>
        <w:rPr>
          <w:rFonts w:ascii="Times New Roman" w:hAnsi="Times New Roman" w:cs="Times New Roman"/>
          <w:i w:val="0"/>
          <w:iCs w:val="0"/>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"_Toc120270908" </w:instrText>
      </w:r>
      <w:r>
        <w:fldChar w:fldCharType="separate"/>
      </w:r>
      <w:r>
        <w:rPr>
          <w:rStyle w:val="52"/>
          <w:rFonts w:ascii="Times New Roman" w:hAnsi="Times New Roman" w:cs="Times New Roman"/>
          <w:color w:val="auto"/>
          <w:sz w:val="28"/>
          <w:szCs w:val="28"/>
        </w:rPr>
        <w:t>（二）办理进程查询</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_Toc120270908 \h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"_Toc120270909" </w:instrText>
      </w:r>
      <w:r>
        <w:fldChar w:fldCharType="separate"/>
      </w:r>
      <w:r>
        <w:rPr>
          <w:rStyle w:val="52"/>
          <w:rFonts w:ascii="Times New Roman" w:hAnsi="Times New Roman" w:cs="Times New Roman"/>
          <w:color w:val="auto"/>
          <w:sz w:val="28"/>
          <w:szCs w:val="28"/>
        </w:rPr>
        <w:t>十六、事中事后监管</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_Toc120270909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32"/>
        <w:tabs>
          <w:tab w:val="right" w:leader="dot" w:pos="9061"/>
        </w:tabs>
        <w:spacing w:before="0" w:after="0"/>
        <w:ind w:firstLine="0" w:firstLineChars="0"/>
        <w:rPr>
          <w:rFonts w:ascii="Times New Roman" w:hAnsi="Times New Roman" w:cs="Times New Roman"/>
          <w:b w:val="0"/>
          <w:bCs w:val="0"/>
          <w:caps w:val="0"/>
          <w:sz w:val="28"/>
          <w:szCs w:val="28"/>
        </w:rPr>
      </w:pPr>
      <w:r>
        <w:fldChar w:fldCharType="begin"/>
      </w:r>
      <w:r>
        <w:instrText xml:space="preserve"> HYPERLINK \l "_Toc120270910" </w:instrText>
      </w:r>
      <w:r>
        <w:fldChar w:fldCharType="separate"/>
      </w:r>
      <w:r>
        <w:rPr>
          <w:rStyle w:val="52"/>
          <w:rFonts w:ascii="Times New Roman" w:hAnsi="Times New Roman" w:cs="Times New Roman"/>
          <w:color w:val="auto"/>
          <w:sz w:val="28"/>
          <w:szCs w:val="28"/>
        </w:rPr>
        <w:t>十七、投诉举报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_Toc120270910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"_Toc120270911" </w:instrText>
      </w:r>
      <w:r>
        <w:fldChar w:fldCharType="separate"/>
      </w:r>
      <w:r>
        <w:rPr>
          <w:rStyle w:val="52"/>
          <w:rFonts w:ascii="Times New Roman" w:hAnsi="Times New Roman" w:cs="Times New Roman"/>
          <w:color w:val="auto"/>
          <w:sz w:val="28"/>
          <w:szCs w:val="28"/>
        </w:rPr>
        <w:t>（一）投诉举报范围</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_Toc120270911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"_Toc120270912" </w:instrText>
      </w:r>
      <w:r>
        <w:fldChar w:fldCharType="separate"/>
      </w:r>
      <w:r>
        <w:rPr>
          <w:rStyle w:val="52"/>
          <w:rFonts w:ascii="Times New Roman" w:hAnsi="Times New Roman" w:cs="Times New Roman"/>
          <w:color w:val="auto"/>
          <w:sz w:val="28"/>
          <w:szCs w:val="28"/>
        </w:rPr>
        <w:t>（二）投诉举报处理程序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_Toc120270912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"_Toc120270913" </w:instrText>
      </w:r>
      <w:r>
        <w:fldChar w:fldCharType="separate"/>
      </w:r>
      <w:r>
        <w:rPr>
          <w:rStyle w:val="52"/>
          <w:rFonts w:ascii="Times New Roman" w:hAnsi="Times New Roman" w:cs="Times New Roman"/>
          <w:color w:val="auto"/>
          <w:sz w:val="28"/>
          <w:szCs w:val="28"/>
        </w:rPr>
        <w:t>（三）处理跟踪程序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_Toc120270913 \h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41"/>
        <w:tabs>
          <w:tab w:val="right" w:leader="dot" w:pos="9061"/>
        </w:tabs>
        <w:ind w:firstLine="0" w:firstLineChars="0"/>
        <w:rPr>
          <w:rFonts w:ascii="Times New Roman" w:hAnsi="Times New Roman" w:cs="Times New Roman"/>
          <w:smallCaps w:val="0"/>
          <w:sz w:val="28"/>
          <w:szCs w:val="28"/>
        </w:rPr>
      </w:pPr>
      <w:r>
        <w:fldChar w:fldCharType="begin"/>
      </w:r>
      <w:r>
        <w:instrText xml:space="preserve"> HYPERLINK \l "_Toc120270914" </w:instrText>
      </w:r>
      <w:r>
        <w:fldChar w:fldCharType="separate"/>
      </w:r>
      <w:r>
        <w:rPr>
          <w:rStyle w:val="52"/>
          <w:rFonts w:ascii="Times New Roman" w:hAnsi="Times New Roman" w:cs="Times New Roman"/>
          <w:color w:val="auto"/>
          <w:sz w:val="28"/>
          <w:szCs w:val="28"/>
        </w:rPr>
        <w:t>（四）保密措施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_Toc120270914 \h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ind w:firstLine="0" w:firstLineChars="0"/>
        <w:rPr>
          <w:sz w:val="21"/>
        </w:rPr>
      </w:pPr>
      <w:r>
        <w:rPr>
          <w:szCs w:val="28"/>
        </w:rPr>
        <w:fldChar w:fldCharType="end"/>
      </w:r>
    </w:p>
    <w:p>
      <w:pPr>
        <w:ind w:firstLine="560"/>
      </w:pPr>
    </w:p>
    <w:p>
      <w:pPr>
        <w:pStyle w:val="2"/>
        <w:sectPr>
          <w:footerReference r:id="rId12" w:type="default"/>
          <w:footerReference r:id="rId13" w:type="even"/>
          <w:pgSz w:w="11900" w:h="16830"/>
          <w:pgMar w:top="2098" w:right="1474" w:bottom="1985" w:left="1588" w:header="850" w:footer="992" w:gutter="0"/>
          <w:pgNumType w:fmt="upperRoman" w:start="1"/>
          <w:cols w:space="720" w:num="1"/>
          <w:docGrid w:linePitch="435" w:charSpace="0"/>
        </w:sectPr>
      </w:pPr>
      <w:bookmarkStart w:id="7" w:name="_Toc43283042"/>
      <w:bookmarkStart w:id="8" w:name="_Toc43285446"/>
    </w:p>
    <w:p>
      <w:pPr>
        <w:ind w:firstLine="0" w:firstLineChars="0"/>
        <w:jc w:val="center"/>
        <w:outlineLvl w:val="0"/>
        <w:rPr>
          <w:rFonts w:ascii="方正小标宋_GBK" w:hAnsi="黑体" w:eastAsia="方正小标宋_GBK"/>
          <w:sz w:val="44"/>
          <w:szCs w:val="44"/>
        </w:rPr>
      </w:pPr>
      <w:r>
        <w:rPr>
          <w:rFonts w:hint="eastAsia" w:ascii="方正小标宋_GBK" w:hAnsi="黑体" w:eastAsia="方正小标宋_GBK"/>
          <w:sz w:val="44"/>
          <w:szCs w:val="44"/>
        </w:rPr>
        <w:t>建设项目环境影响评价文件审批业务手册</w:t>
      </w:r>
      <w:bookmarkEnd w:id="7"/>
      <w:bookmarkEnd w:id="8"/>
    </w:p>
    <w:p>
      <w:pPr>
        <w:ind w:firstLine="0" w:firstLineChars="0"/>
        <w:jc w:val="center"/>
        <w:rPr>
          <w:rFonts w:ascii="黑体" w:hAnsi="黑体" w:eastAsia="黑体"/>
          <w:sz w:val="44"/>
          <w:szCs w:val="44"/>
        </w:rPr>
      </w:pPr>
    </w:p>
    <w:p>
      <w:pPr>
        <w:pStyle w:val="2"/>
      </w:pPr>
      <w:bookmarkStart w:id="9" w:name="_Toc524077893"/>
      <w:bookmarkStart w:id="10" w:name="_Toc43285447"/>
      <w:bookmarkStart w:id="11" w:name="_Toc43283043"/>
      <w:bookmarkStart w:id="12" w:name="_Toc120270869"/>
      <w:r>
        <w:rPr>
          <w:rFonts w:hint="eastAsia"/>
        </w:rPr>
        <w:t>一、受理范围</w:t>
      </w:r>
      <w:bookmarkEnd w:id="4"/>
      <w:bookmarkEnd w:id="5"/>
      <w:bookmarkEnd w:id="6"/>
      <w:bookmarkEnd w:id="9"/>
      <w:bookmarkEnd w:id="10"/>
      <w:bookmarkEnd w:id="11"/>
      <w:bookmarkEnd w:id="12"/>
    </w:p>
    <w:p>
      <w:pPr>
        <w:pStyle w:val="3"/>
        <w:spacing w:before="0" w:after="0"/>
      </w:pPr>
      <w:bookmarkStart w:id="13" w:name="_Toc524077894"/>
      <w:bookmarkStart w:id="14" w:name="_Toc120270870"/>
      <w:bookmarkStart w:id="15" w:name="_Toc43285448"/>
      <w:bookmarkStart w:id="16" w:name="_Toc521931439"/>
      <w:bookmarkStart w:id="17" w:name="_Toc43283044"/>
      <w:r>
        <w:rPr>
          <w:rFonts w:hint="eastAsia"/>
        </w:rPr>
        <w:t>（一）申请内容</w:t>
      </w:r>
      <w:bookmarkEnd w:id="13"/>
      <w:bookmarkEnd w:id="14"/>
      <w:bookmarkEnd w:id="15"/>
      <w:bookmarkEnd w:id="16"/>
      <w:bookmarkEnd w:id="17"/>
    </w:p>
    <w:p>
      <w:pPr>
        <w:ind w:firstLine="560"/>
      </w:pPr>
      <w:r>
        <w:rPr>
          <w:rFonts w:hint="eastAsia"/>
        </w:rPr>
        <w:t>建设项目环境影响评价文件审批（报告书</w:t>
      </w:r>
      <w:r>
        <w:t>/</w:t>
      </w:r>
      <w:r>
        <w:rPr>
          <w:rFonts w:hint="eastAsia"/>
        </w:rPr>
        <w:t>报告表）。</w:t>
      </w:r>
    </w:p>
    <w:p>
      <w:pPr>
        <w:pStyle w:val="3"/>
        <w:spacing w:before="0" w:after="0"/>
      </w:pPr>
      <w:bookmarkStart w:id="18" w:name="_Toc43285449"/>
      <w:bookmarkStart w:id="19" w:name="_Toc524077895"/>
      <w:bookmarkStart w:id="20" w:name="_Toc43283045"/>
      <w:bookmarkStart w:id="21" w:name="_Toc120270871"/>
      <w:bookmarkStart w:id="22" w:name="_Toc521931440"/>
      <w:bookmarkStart w:id="23" w:name="_Toc520391779"/>
      <w:bookmarkStart w:id="24" w:name="_Toc520360103"/>
      <w:bookmarkStart w:id="25" w:name="_Toc520365029"/>
      <w:r>
        <w:rPr>
          <w:rFonts w:hint="eastAsia"/>
        </w:rPr>
        <w:t>（二）申请人范围及申请条件</w:t>
      </w:r>
      <w:bookmarkEnd w:id="18"/>
      <w:bookmarkEnd w:id="19"/>
      <w:bookmarkEnd w:id="20"/>
      <w:bookmarkEnd w:id="21"/>
    </w:p>
    <w:bookmarkEnd w:id="22"/>
    <w:p>
      <w:pPr>
        <w:ind w:firstLine="560"/>
        <w:rPr>
          <w:highlight w:val="none"/>
        </w:rPr>
      </w:pPr>
      <w:bookmarkStart w:id="26" w:name="_Toc43285450"/>
      <w:bookmarkStart w:id="27" w:name="_Toc524077896"/>
      <w:bookmarkStart w:id="28" w:name="_Toc43283046"/>
      <w:r>
        <w:rPr>
          <w:rFonts w:hint="eastAsia"/>
        </w:rPr>
        <w:t>1.</w:t>
      </w:r>
      <w:r>
        <w:rPr>
          <w:rFonts w:hint="eastAsia"/>
          <w:highlight w:val="none"/>
        </w:rPr>
        <w:t>除《生态环境部审批环境影响评价文件的建设项目目录（2019年本）》外，在</w:t>
      </w:r>
      <w:r>
        <w:rPr>
          <w:rFonts w:hint="eastAsia"/>
          <w:highlight w:val="none"/>
          <w:lang w:eastAsia="zh-CN"/>
        </w:rPr>
        <w:t>经开区</w:t>
      </w:r>
      <w:r>
        <w:rPr>
          <w:rFonts w:hint="eastAsia"/>
          <w:highlight w:val="none"/>
        </w:rPr>
        <w:t>辖区内建设列入《云南省生态环境厅审批环境影响评价文件的建设项目目录（2022年本）》（除法律、法规规定以及生态环境部明确必须由省生态环境厅负责审批的除外）及《昆明市生态环境局审批环境影响评价文件的建设项目目录（2022年本）》中</w:t>
      </w:r>
      <w:r>
        <w:rPr>
          <w:rFonts w:hint="eastAsia" w:ascii="方正仿宋_GBK" w:hAnsi="方正仿宋_GBK" w:eastAsia="方正仿宋_GBK" w:cs="方正仿宋_GBK"/>
          <w:highlight w:val="none"/>
        </w:rPr>
        <w:t>Ⅱ</w:t>
      </w:r>
      <w:r>
        <w:rPr>
          <w:rFonts w:hint="eastAsia"/>
          <w:highlight w:val="none"/>
        </w:rPr>
        <w:t>类建设项目的建设单位向昆明市生态环境局</w:t>
      </w:r>
      <w:r>
        <w:rPr>
          <w:rFonts w:hint="eastAsia"/>
          <w:highlight w:val="none"/>
          <w:lang w:eastAsia="zh-CN"/>
        </w:rPr>
        <w:t>经开分局</w:t>
      </w:r>
      <w:r>
        <w:rPr>
          <w:rFonts w:hint="eastAsia"/>
          <w:highlight w:val="none"/>
        </w:rPr>
        <w:t>申请办理。</w:t>
      </w:r>
    </w:p>
    <w:p>
      <w:pPr>
        <w:ind w:firstLine="560"/>
        <w:rPr>
          <w:highlight w:val="none"/>
        </w:rPr>
      </w:pPr>
      <w:r>
        <w:rPr>
          <w:rFonts w:hint="eastAsia"/>
          <w:highlight w:val="none"/>
          <w:lang w:val="en-US" w:eastAsia="zh-CN"/>
        </w:rPr>
        <w:t>2</w:t>
      </w:r>
      <w:r>
        <w:rPr>
          <w:rFonts w:hint="eastAsia"/>
          <w:highlight w:val="none"/>
        </w:rPr>
        <w:t>.在</w:t>
      </w:r>
      <w:r>
        <w:rPr>
          <w:rFonts w:hint="eastAsia"/>
          <w:highlight w:val="none"/>
          <w:lang w:eastAsia="zh-CN"/>
        </w:rPr>
        <w:t>经开区</w:t>
      </w:r>
      <w:r>
        <w:rPr>
          <w:rFonts w:hint="eastAsia"/>
          <w:highlight w:val="none"/>
        </w:rPr>
        <w:t>辖区内建设列入《昆明市生态环境局审批环境影响评价文件的建设项目目录（2022年本）》中Ⅱ类建设项目</w:t>
      </w:r>
      <w:r>
        <w:rPr>
          <w:rFonts w:hint="eastAsia"/>
          <w:highlight w:val="none"/>
          <w:lang w:eastAsia="zh-CN"/>
        </w:rPr>
        <w:t>的</w:t>
      </w:r>
      <w:r>
        <w:rPr>
          <w:rFonts w:hint="eastAsia"/>
          <w:highlight w:val="none"/>
        </w:rPr>
        <w:t>《昆明市生态环境局关于印发〈强化重大投资项目环保审批服务保障措施〉的通知》（昆生环通〔2023〕7号）中的</w:t>
      </w:r>
      <w:r>
        <w:rPr>
          <w:rFonts w:hint="eastAsia"/>
          <w:highlight w:val="none"/>
          <w:lang w:val="en-US" w:eastAsia="zh-CN"/>
        </w:rPr>
        <w:t>220</w:t>
      </w:r>
      <w:r>
        <w:rPr>
          <w:rFonts w:hint="eastAsia"/>
          <w:highlight w:val="none"/>
        </w:rPr>
        <w:t>千伏（含）以下输变电</w:t>
      </w:r>
      <w:r>
        <w:rPr>
          <w:rFonts w:hint="eastAsia"/>
          <w:highlight w:val="none"/>
          <w:lang w:eastAsia="zh-CN"/>
        </w:rPr>
        <w:t>辐射</w:t>
      </w:r>
      <w:r>
        <w:rPr>
          <w:rFonts w:hint="eastAsia"/>
          <w:highlight w:val="none"/>
        </w:rPr>
        <w:t>类的建设</w:t>
      </w:r>
      <w:r>
        <w:rPr>
          <w:rFonts w:hint="eastAsia"/>
          <w:highlight w:val="none"/>
          <w:lang w:eastAsia="zh-CN"/>
        </w:rPr>
        <w:t>单位</w:t>
      </w:r>
      <w:r>
        <w:rPr>
          <w:rFonts w:hint="eastAsia"/>
          <w:highlight w:val="none"/>
        </w:rPr>
        <w:t>向昆明市生态环境局</w:t>
      </w:r>
      <w:r>
        <w:rPr>
          <w:rFonts w:hint="eastAsia"/>
          <w:highlight w:val="none"/>
          <w:lang w:eastAsia="zh-CN"/>
        </w:rPr>
        <w:t>经开分局</w:t>
      </w:r>
      <w:r>
        <w:rPr>
          <w:rFonts w:hint="eastAsia"/>
          <w:highlight w:val="none"/>
        </w:rPr>
        <w:t>申请办理。</w:t>
      </w:r>
    </w:p>
    <w:p>
      <w:pPr>
        <w:pStyle w:val="2"/>
      </w:pPr>
      <w:bookmarkStart w:id="29" w:name="_Toc120270872"/>
      <w:r>
        <w:rPr>
          <w:rFonts w:hint="eastAsia"/>
        </w:rPr>
        <w:t>二、适用对象</w:t>
      </w:r>
      <w:bookmarkEnd w:id="23"/>
      <w:bookmarkEnd w:id="24"/>
      <w:bookmarkEnd w:id="25"/>
      <w:bookmarkEnd w:id="26"/>
      <w:bookmarkEnd w:id="27"/>
      <w:bookmarkEnd w:id="28"/>
      <w:bookmarkEnd w:id="29"/>
    </w:p>
    <w:p>
      <w:pPr>
        <w:ind w:firstLine="560"/>
      </w:pPr>
      <w:bookmarkStart w:id="30" w:name="_Toc520365030"/>
      <w:bookmarkStart w:id="31" w:name="_Toc520391780"/>
      <w:bookmarkStart w:id="32" w:name="_Toc520360104"/>
      <w:r>
        <w:rPr>
          <w:rFonts w:hint="eastAsia"/>
        </w:rPr>
        <w:t>建设项目的建设单位（国家机关、事业单位、企业、社会团体）。</w:t>
      </w:r>
    </w:p>
    <w:p>
      <w:pPr>
        <w:pStyle w:val="2"/>
      </w:pPr>
      <w:bookmarkStart w:id="33" w:name="_Toc120270873"/>
      <w:bookmarkStart w:id="34" w:name="_Toc43283047"/>
      <w:bookmarkStart w:id="35" w:name="_Toc43285451"/>
      <w:bookmarkStart w:id="36" w:name="_Toc524077897"/>
      <w:r>
        <w:rPr>
          <w:rFonts w:hint="eastAsia"/>
        </w:rPr>
        <w:t>三、办理依据</w:t>
      </w:r>
      <w:bookmarkEnd w:id="30"/>
      <w:bookmarkEnd w:id="31"/>
      <w:bookmarkEnd w:id="32"/>
      <w:bookmarkEnd w:id="33"/>
      <w:bookmarkEnd w:id="34"/>
      <w:bookmarkEnd w:id="35"/>
      <w:bookmarkEnd w:id="36"/>
    </w:p>
    <w:p>
      <w:pPr>
        <w:ind w:firstLine="560"/>
      </w:pPr>
      <w:r>
        <w:t>1.</w:t>
      </w:r>
      <w:r>
        <w:rPr>
          <w:rFonts w:hint="eastAsia"/>
        </w:rPr>
        <w:t>《中华人民共和国环境保护法》（中华人民共和国主席令第九号（</w:t>
      </w:r>
      <w:r>
        <w:t>2014</w:t>
      </w:r>
      <w:r>
        <w:rPr>
          <w:rFonts w:hint="eastAsia"/>
        </w:rPr>
        <w:t>年））第十九条：“未依法进行环境影响评价的建设项目，不得开工建设”。</w:t>
      </w:r>
    </w:p>
    <w:p>
      <w:pPr>
        <w:ind w:firstLine="560"/>
      </w:pPr>
      <w:r>
        <w:t>2.</w:t>
      </w:r>
      <w:r>
        <w:rPr>
          <w:rFonts w:hint="eastAsia"/>
        </w:rPr>
        <w:t>《中华人民共和国环境影响评价法》（中华人民共和国主席令（第二四十号）（2018年））第二十二条：建设项目的环境影响报告书、报告表，由建设单位按照国务院的规定报有审批权的生态环境行政主管部门审批。审批部门应当自收到环境影响报告书之日起六十日内，收到环境影响报告表之日起三十日内，分别作出审批决定并书面通知建设单位。国家对环境影响登记表实行备案管理。</w:t>
      </w:r>
    </w:p>
    <w:p>
      <w:pPr>
        <w:ind w:firstLine="560"/>
      </w:pPr>
      <w:r>
        <w:rPr>
          <w:rFonts w:hint="eastAsia"/>
        </w:rPr>
        <w:t>第二十三条：国务院生态环境行政主管部门负责审批下列建设项目的环境影响评价文件：（一）核设施、绝密工程等特殊性质的建设项目；（二）跨省、自治区、直辖市行政区域的建设项目；（三）由国务院审批的或者由国务院授权有关部门审批的建设项目。</w:t>
      </w:r>
    </w:p>
    <w:p>
      <w:pPr>
        <w:ind w:firstLine="560"/>
      </w:pPr>
      <w:r>
        <w:rPr>
          <w:rFonts w:hint="eastAsia"/>
        </w:rPr>
        <w:t>前款规定以外的建设项目的环境影响评价文件的审批权限，由省、自治区、直辖市人民政府规定。</w:t>
      </w:r>
    </w:p>
    <w:p>
      <w:pPr>
        <w:ind w:firstLine="560"/>
      </w:pPr>
      <w:r>
        <w:rPr>
          <w:rFonts w:hint="eastAsia"/>
        </w:rPr>
        <w:t>建设项目可能造成跨行政区域的不良环境影响，有关生态环境行政主管部门对该项目的环境影响评价结论有争议的，其环境影响评价文件由共同的上一级生态环境行政主管部门审批。</w:t>
      </w:r>
    </w:p>
    <w:p>
      <w:pPr>
        <w:ind w:firstLine="560"/>
      </w:pPr>
      <w:r>
        <w:rPr>
          <w:rFonts w:hint="eastAsia"/>
        </w:rPr>
        <w:t>第二十四条：建设项目的环境影响评价文件经批准后，建设项目的性质、规模、地点、采用的生产工艺或者防治污染、防止生态破坏的措施发生重大变动的，建设单位应当重新报批建设项目的环境影响评价文件。</w:t>
      </w:r>
    </w:p>
    <w:p>
      <w:pPr>
        <w:ind w:firstLine="560"/>
      </w:pPr>
      <w:r>
        <w:rPr>
          <w:rFonts w:hint="eastAsia"/>
        </w:rPr>
        <w:t>建设项目的环境影响评价文件自批准之日起超过五年，方决定该项目开工建设的，其环境影响评价文件应当报原审批部门重新审核；原审批部门应当自收到建设项目环境影响评价文件之日起十日内，将审核意见书面通知建设单位。</w:t>
      </w:r>
    </w:p>
    <w:p>
      <w:pPr>
        <w:ind w:firstLine="560"/>
        <w:rPr>
          <w:rFonts w:hint="eastAsia" w:eastAsia="仿宋_GB2312"/>
          <w:lang w:eastAsia="zh-CN"/>
        </w:rPr>
      </w:pPr>
      <w:r>
        <w:rPr>
          <w:rFonts w:hint="eastAsia"/>
        </w:rPr>
        <w:t>第二十七条：“在项目建设、运行过程中产生不符合经审批的环境影响评价文件的情形的，建设单位应当组织环境影响的后评价，采取改进措施，并报原环境影响评价文件审批部门和建设项目审批部门备案；原环境影响评价文件审批部门也可以责成建设单位进行环境影响的后评价，采取改进措施”</w:t>
      </w:r>
      <w:r>
        <w:rPr>
          <w:rFonts w:hint="eastAsia"/>
          <w:lang w:eastAsia="zh-CN"/>
        </w:rPr>
        <w:t>。</w:t>
      </w:r>
    </w:p>
    <w:p>
      <w:pPr>
        <w:ind w:firstLine="560"/>
      </w:pPr>
      <w:r>
        <w:rPr>
          <w:rFonts w:hint="eastAsia"/>
          <w:lang w:val="en-US" w:eastAsia="zh-CN"/>
        </w:rPr>
        <w:t>3</w:t>
      </w:r>
      <w:r>
        <w:t>.</w:t>
      </w:r>
      <w:r>
        <w:rPr>
          <w:rFonts w:hint="eastAsia"/>
        </w:rPr>
        <w:t>《建设项目环境保护管理条例》（</w:t>
      </w:r>
      <w:r>
        <w:t>1998</w:t>
      </w:r>
      <w:r>
        <w:rPr>
          <w:rFonts w:hint="eastAsia"/>
        </w:rPr>
        <w:t>年国务院令第</w:t>
      </w:r>
      <w:r>
        <w:t>253</w:t>
      </w:r>
      <w:r>
        <w:rPr>
          <w:rFonts w:hint="eastAsia"/>
        </w:rPr>
        <w:t>号，</w:t>
      </w:r>
      <w:r>
        <w:t>2017</w:t>
      </w:r>
      <w:r>
        <w:rPr>
          <w:rFonts w:hint="eastAsia"/>
        </w:rPr>
        <w:t>年修订）第九条：依法应当编制环境影响报告书、环境影响报告表的建设项目，建设单位应当在开工建设前将环境影响报告书、环境影响报告表报有审批权的环境保护行政主管部门审批；建设项目的环境影响评价文件未依法经审批部门审查或者审查后未予批准的，建设单位不得开工建设。</w:t>
      </w:r>
    </w:p>
    <w:p>
      <w:pPr>
        <w:ind w:firstLine="560"/>
      </w:pPr>
      <w:r>
        <w:rPr>
          <w:rFonts w:hint="eastAsia"/>
        </w:rPr>
        <w:t>第十条：国务院环境保护行政主管部门负责审批下列建设项目环境影响报告书、环境影响报告表：（一）核设施、绝密工程等特殊性质的建设项目；（二）跨省、自治区、直辖市行政区域的建设项目；（三）国务院审批的或者国务院授权有关部门审批的建设项目。前款规定以外的建设项目环境影响报告书、环境影响报告表的审批权限，由省、自治区、直辖市人民政府规定。建设项目造成跨行政区域环境影响，有关环境保护行政主管部门对环境影响评价结论有争议的，其环境影响报告书或者环境影响报告表由共同上一级环境保护行政主管部门审批。……，环境保护行政主管部门审批环境影响报告书、环境影响报告表，应当重点审查建设项目的环境可行性、环境影响分析预测评估的可靠性、环境保护措施的有效性、环境影响评价结论的科学性等，并分别自收到环境影响报告书之日起</w:t>
      </w:r>
      <w:r>
        <w:t>60</w:t>
      </w:r>
      <w:r>
        <w:rPr>
          <w:rFonts w:hint="eastAsia"/>
        </w:rPr>
        <w:t>日内、收到环境影响报告表之日起</w:t>
      </w:r>
      <w:r>
        <w:t>30</w:t>
      </w:r>
      <w:r>
        <w:rPr>
          <w:rFonts w:hint="eastAsia"/>
        </w:rPr>
        <w:t>日内，作出审批决定并书面通知建设单位。</w:t>
      </w:r>
    </w:p>
    <w:p>
      <w:pPr>
        <w:ind w:firstLine="560"/>
      </w:pPr>
      <w:r>
        <w:rPr>
          <w:rFonts w:hint="eastAsia"/>
        </w:rPr>
        <w:t>环境保护行政主管部门可以组织技术机构对建设项目环境影响报告书、环境影响报告表进行技术评估，并承担相应费用，技术机构应当对其提出的技术评估意见负责，不得向建设单位、从事环境影响评价工作的单位收取任何费用；</w:t>
      </w:r>
    </w:p>
    <w:p>
      <w:pPr>
        <w:ind w:firstLine="560"/>
      </w:pPr>
      <w:r>
        <w:rPr>
          <w:rFonts w:hint="eastAsia"/>
          <w:lang w:val="en-US" w:eastAsia="zh-CN"/>
        </w:rPr>
        <w:t>4</w:t>
      </w:r>
      <w:r>
        <w:t>.</w:t>
      </w:r>
      <w:r>
        <w:rPr>
          <w:rFonts w:hint="eastAsia"/>
        </w:rPr>
        <w:t>《建设项目环境影响评价政府信息公开指南（试行）》（环办〔</w:t>
      </w:r>
      <w:r>
        <w:t>2013</w:t>
      </w:r>
      <w:r>
        <w:rPr>
          <w:rFonts w:hint="eastAsia"/>
        </w:rPr>
        <w:t>〕</w:t>
      </w:r>
      <w:r>
        <w:t>103</w:t>
      </w:r>
      <w:r>
        <w:rPr>
          <w:rFonts w:hint="eastAsia"/>
        </w:rPr>
        <w:t>号）第三条第一项：“各级环境保护主管部门在受理建设项目环境影响报告书、表后向社会公开受理情况，征求公众意见。</w:t>
      </w:r>
      <w:r>
        <w:rPr>
          <w:rFonts w:hint="eastAsia"/>
          <w:lang w:val="en-US" w:eastAsia="zh-CN"/>
        </w:rPr>
        <w:t>... ...</w:t>
      </w:r>
      <w:r>
        <w:rPr>
          <w:rFonts w:hint="eastAsia"/>
        </w:rPr>
        <w:t>”</w:t>
      </w:r>
    </w:p>
    <w:p>
      <w:pPr>
        <w:ind w:firstLine="560"/>
      </w:pPr>
      <w:r>
        <w:rPr>
          <w:rFonts w:hint="eastAsia"/>
        </w:rPr>
        <w:t>第三条第二项：“各级环境保护主管部门在对建设项目作出审批意见前，向社会公开拟作出的批准和不予批准环境影响报告书、表的意见，并告知申请人、利害关系人听证权利。”</w:t>
      </w:r>
    </w:p>
    <w:p>
      <w:pPr>
        <w:ind w:firstLine="560"/>
      </w:pPr>
      <w:r>
        <w:rPr>
          <w:rFonts w:hint="eastAsia"/>
        </w:rPr>
        <w:t>第三条第三项：“各级环境保护主管部门在对建设项目作出批准或不予批准环境影响评价报告书、表的审批决定后向社会公开审批情况，告知申请人、利害关系人行政复议与行政诉讼权利。……”</w:t>
      </w:r>
    </w:p>
    <w:p>
      <w:pPr>
        <w:pStyle w:val="2"/>
      </w:pPr>
      <w:bookmarkStart w:id="37" w:name="_Toc120270874"/>
      <w:bookmarkStart w:id="38" w:name="_Toc520391781"/>
      <w:bookmarkStart w:id="39" w:name="_Toc43283048"/>
      <w:bookmarkStart w:id="40" w:name="_Toc524077898"/>
      <w:bookmarkStart w:id="41" w:name="_Toc520365031"/>
      <w:bookmarkStart w:id="42" w:name="_Toc43285452"/>
      <w:bookmarkStart w:id="43" w:name="_Toc520360105"/>
      <w:r>
        <w:rPr>
          <w:rFonts w:hint="eastAsia"/>
        </w:rPr>
        <w:t>四、实施机构</w:t>
      </w:r>
      <w:bookmarkEnd w:id="37"/>
      <w:bookmarkEnd w:id="38"/>
      <w:bookmarkEnd w:id="39"/>
      <w:bookmarkEnd w:id="40"/>
      <w:bookmarkEnd w:id="41"/>
      <w:bookmarkEnd w:id="42"/>
      <w:bookmarkEnd w:id="43"/>
    </w:p>
    <w:p>
      <w:pPr>
        <w:ind w:firstLine="560"/>
      </w:pPr>
      <w:r>
        <w:rPr>
          <w:rFonts w:hint="eastAsia"/>
        </w:rPr>
        <w:t>实施机构：昆明市生态环境局</w:t>
      </w:r>
      <w:r>
        <w:rPr>
          <w:rFonts w:hint="eastAsia"/>
          <w:lang w:eastAsia="zh-CN"/>
        </w:rPr>
        <w:t>经开分局</w:t>
      </w:r>
      <w:r>
        <w:rPr>
          <w:rFonts w:hint="eastAsia"/>
        </w:rPr>
        <w:t>。</w:t>
      </w:r>
    </w:p>
    <w:p>
      <w:pPr>
        <w:ind w:firstLine="560"/>
      </w:pPr>
      <w:r>
        <w:rPr>
          <w:rFonts w:hint="eastAsia"/>
        </w:rPr>
        <w:t>行使层级：</w:t>
      </w:r>
      <w:r>
        <w:rPr>
          <w:rFonts w:hint="eastAsia"/>
          <w:lang w:eastAsia="zh-CN"/>
        </w:rPr>
        <w:t>区</w:t>
      </w:r>
      <w:r>
        <w:rPr>
          <w:rFonts w:hint="eastAsia"/>
        </w:rPr>
        <w:t>级</w:t>
      </w:r>
    </w:p>
    <w:p>
      <w:pPr>
        <w:pStyle w:val="2"/>
      </w:pPr>
      <w:bookmarkStart w:id="44" w:name="_Toc520365032"/>
      <w:bookmarkStart w:id="45" w:name="_Toc43285453"/>
      <w:bookmarkStart w:id="46" w:name="_Toc524077899"/>
      <w:bookmarkStart w:id="47" w:name="_Toc520360106"/>
      <w:bookmarkStart w:id="48" w:name="_Toc120270875"/>
      <w:bookmarkStart w:id="49" w:name="_Toc520391782"/>
      <w:bookmarkStart w:id="50" w:name="_Toc43283049"/>
      <w:r>
        <w:rPr>
          <w:rFonts w:hint="eastAsia"/>
        </w:rPr>
        <w:t>五、许可人员</w:t>
      </w:r>
      <w:bookmarkEnd w:id="44"/>
      <w:bookmarkEnd w:id="45"/>
      <w:bookmarkEnd w:id="46"/>
      <w:bookmarkEnd w:id="47"/>
      <w:bookmarkEnd w:id="48"/>
      <w:bookmarkEnd w:id="49"/>
      <w:bookmarkEnd w:id="50"/>
    </w:p>
    <w:p>
      <w:pPr>
        <w:ind w:firstLine="560"/>
      </w:pPr>
      <w:bookmarkStart w:id="51" w:name="_Toc520360107"/>
      <w:bookmarkStart w:id="52" w:name="_Toc520365033"/>
      <w:bookmarkStart w:id="53" w:name="_Toc520391783"/>
      <w:r>
        <w:rPr>
          <w:rFonts w:hint="eastAsia"/>
        </w:rPr>
        <w:t>受理人：为熟悉建设项目环境影响评价文件审批程序，具有岗位需要的业务知识和法律法规知识，并经基本法律和专业法律培训合格、取得行政执法证。</w:t>
      </w:r>
    </w:p>
    <w:p>
      <w:pPr>
        <w:ind w:firstLine="560"/>
      </w:pPr>
      <w:r>
        <w:rPr>
          <w:rFonts w:hint="eastAsia"/>
        </w:rPr>
        <w:t>审查人、决定人：为熟悉建设项目环境影响评价文件审批程序，具有扎实业务知识和法律法规知识，并经基本法律和专业法律培训合格、取得行政执法证。</w:t>
      </w:r>
    </w:p>
    <w:p>
      <w:pPr>
        <w:pStyle w:val="2"/>
      </w:pPr>
      <w:bookmarkStart w:id="54" w:name="_Toc524077900"/>
      <w:bookmarkStart w:id="55" w:name="_Toc43283050"/>
      <w:bookmarkStart w:id="56" w:name="_Toc120270876"/>
      <w:bookmarkStart w:id="57" w:name="_Toc43285454"/>
      <w:r>
        <w:rPr>
          <w:rFonts w:hint="eastAsia"/>
        </w:rPr>
        <w:t>六、批准条件</w:t>
      </w:r>
      <w:bookmarkEnd w:id="51"/>
      <w:bookmarkEnd w:id="52"/>
      <w:bookmarkEnd w:id="53"/>
      <w:bookmarkEnd w:id="54"/>
      <w:bookmarkEnd w:id="55"/>
      <w:bookmarkEnd w:id="56"/>
      <w:bookmarkEnd w:id="57"/>
    </w:p>
    <w:p>
      <w:pPr>
        <w:pStyle w:val="3"/>
      </w:pPr>
      <w:bookmarkStart w:id="58" w:name="_Toc43283051"/>
      <w:bookmarkStart w:id="59" w:name="_Toc43285455"/>
      <w:bookmarkStart w:id="60" w:name="_Toc120270877"/>
      <w:bookmarkStart w:id="61" w:name="_Toc524077901"/>
      <w:r>
        <w:rPr>
          <w:rFonts w:hint="eastAsia"/>
        </w:rPr>
        <w:t>（一）准予批准的条件</w:t>
      </w:r>
      <w:bookmarkEnd w:id="58"/>
      <w:bookmarkEnd w:id="59"/>
      <w:bookmarkEnd w:id="60"/>
      <w:bookmarkEnd w:id="61"/>
    </w:p>
    <w:p>
      <w:pPr>
        <w:ind w:firstLine="560"/>
      </w:pPr>
      <w:r>
        <w:rPr>
          <w:rFonts w:hint="eastAsia"/>
        </w:rPr>
        <w:t>同时满足下列条件的，予以许可：</w:t>
      </w:r>
    </w:p>
    <w:p>
      <w:pPr>
        <w:ind w:firstLine="560"/>
      </w:pPr>
      <w:r>
        <w:t>1.</w:t>
      </w:r>
      <w:r>
        <w:rPr>
          <w:rFonts w:hint="eastAsia"/>
        </w:rPr>
        <w:t>建设项目符合国家、云南省和昆明市法律、法规、规章、标准规定的各项环境保护要求；</w:t>
      </w:r>
    </w:p>
    <w:p>
      <w:pPr>
        <w:ind w:firstLine="560"/>
      </w:pPr>
      <w:r>
        <w:t>2.</w:t>
      </w:r>
      <w:r>
        <w:rPr>
          <w:rFonts w:hint="eastAsia"/>
        </w:rPr>
        <w:t>建设项目选址、选线、布局符合区域、流域规划，城市总体规划等相关法定规划及有关规划环评要求；</w:t>
      </w:r>
    </w:p>
    <w:p>
      <w:pPr>
        <w:ind w:firstLine="560"/>
      </w:pPr>
      <w:r>
        <w:t>3.</w:t>
      </w:r>
      <w:r>
        <w:rPr>
          <w:rFonts w:hint="eastAsia"/>
        </w:rPr>
        <w:t>项目所在区域环境质量满足相应环境质量标准和生态功能要求，或者采取措施后能满足区域环境质量改善目标管理要求；</w:t>
      </w:r>
    </w:p>
    <w:p>
      <w:pPr>
        <w:ind w:firstLine="560"/>
      </w:pPr>
      <w:r>
        <w:t>4.</w:t>
      </w:r>
      <w:r>
        <w:rPr>
          <w:rFonts w:hint="eastAsia"/>
        </w:rPr>
        <w:t>拟采取的污染防治措施能确保污染物排放达到国家和地方规定的排放标准，满足污染物总量控制要求；涉及可能产生放射性污染的，拟采取的防治措施能有效预防和控制放射性污染；</w:t>
      </w:r>
    </w:p>
    <w:p>
      <w:pPr>
        <w:ind w:firstLine="560"/>
      </w:pPr>
      <w:r>
        <w:t>5.</w:t>
      </w:r>
      <w:r>
        <w:rPr>
          <w:rFonts w:hint="eastAsia"/>
        </w:rPr>
        <w:t>拟采取的生态保护措施能有效预防和控制生态破坏：</w:t>
      </w:r>
    </w:p>
    <w:p>
      <w:pPr>
        <w:ind w:firstLine="560"/>
      </w:pPr>
      <w:r>
        <w:t xml:space="preserve">6. </w:t>
      </w:r>
      <w:r>
        <w:rPr>
          <w:rFonts w:hint="eastAsia"/>
        </w:rPr>
        <w:t>公众参与程序符合环境影响评价公众参与相关规定要求。</w:t>
      </w:r>
    </w:p>
    <w:p>
      <w:pPr>
        <w:pStyle w:val="3"/>
      </w:pPr>
      <w:bookmarkStart w:id="62" w:name="_Toc43283052"/>
      <w:bookmarkStart w:id="63" w:name="_Toc43285456"/>
      <w:bookmarkStart w:id="64" w:name="_Toc524077902"/>
      <w:bookmarkStart w:id="65" w:name="_Toc120270878"/>
      <w:r>
        <w:rPr>
          <w:rFonts w:hint="eastAsia"/>
        </w:rPr>
        <w:t>（二）不予批准的情形</w:t>
      </w:r>
      <w:bookmarkEnd w:id="62"/>
      <w:bookmarkEnd w:id="63"/>
      <w:bookmarkEnd w:id="64"/>
      <w:bookmarkEnd w:id="65"/>
    </w:p>
    <w:p>
      <w:pPr>
        <w:ind w:firstLine="560"/>
      </w:pPr>
      <w:r>
        <w:rPr>
          <w:rFonts w:hint="eastAsia"/>
        </w:rPr>
        <w:t>具有下列情形之一的，不予以许可：</w:t>
      </w:r>
    </w:p>
    <w:p>
      <w:pPr>
        <w:ind w:firstLine="560"/>
      </w:pPr>
      <w:bookmarkStart w:id="66" w:name="_Toc520391788"/>
      <w:bookmarkStart w:id="67" w:name="_Toc520360112"/>
      <w:bookmarkStart w:id="68" w:name="_Toc520365038"/>
      <w:r>
        <w:t>1.</w:t>
      </w:r>
      <w:r>
        <w:rPr>
          <w:rFonts w:hint="eastAsia"/>
        </w:rPr>
        <w:t>建设项目类型及其选址、布局、规模等不符合环境保护法律法规和相关法定规划；</w:t>
      </w:r>
    </w:p>
    <w:p>
      <w:pPr>
        <w:ind w:firstLine="560"/>
      </w:pPr>
      <w:r>
        <w:t>2.</w:t>
      </w:r>
      <w:r>
        <w:rPr>
          <w:rFonts w:hint="eastAsia"/>
        </w:rPr>
        <w:t>所在区域环境质量未达到国家或者地方环境质量标准，且建设项目拟采取的措施不能满足区域环境质量改善目标管理要求；</w:t>
      </w:r>
    </w:p>
    <w:p>
      <w:pPr>
        <w:ind w:firstLine="560"/>
      </w:pPr>
      <w:r>
        <w:t>3.</w:t>
      </w:r>
      <w:r>
        <w:rPr>
          <w:rFonts w:hint="eastAsia"/>
        </w:rPr>
        <w:t>建设项目采取的污染防治措施无法确保污染物排放达到国家和地方排放标准，或者未采取必要措施预防和控制生态破坏；</w:t>
      </w:r>
    </w:p>
    <w:p>
      <w:pPr>
        <w:ind w:firstLine="560"/>
      </w:pPr>
      <w:r>
        <w:t>4.</w:t>
      </w:r>
      <w:r>
        <w:rPr>
          <w:rFonts w:hint="eastAsia"/>
        </w:rPr>
        <w:t>改建、扩建和技术改造项目，未针对项目原有环境污染和生态破坏提出有效防治措施；</w:t>
      </w:r>
    </w:p>
    <w:p>
      <w:pPr>
        <w:ind w:firstLine="560"/>
      </w:pPr>
      <w:r>
        <w:t>5.</w:t>
      </w:r>
      <w:r>
        <w:rPr>
          <w:rFonts w:hint="eastAsia"/>
        </w:rPr>
        <w:t>建设项目的环境影响报告书、环境影响报告表的基础资料数据明显不实，内容存在重大缺陷、遗漏，或者环境影响评价结论不明确、不合理；</w:t>
      </w:r>
    </w:p>
    <w:p>
      <w:pPr>
        <w:ind w:firstLine="560"/>
      </w:pPr>
      <w:r>
        <w:t>6.</w:t>
      </w:r>
      <w:r>
        <w:rPr>
          <w:rFonts w:hint="eastAsia"/>
        </w:rPr>
        <w:t>法律、法规、规章等规定的其他不予许可的情形。</w:t>
      </w:r>
    </w:p>
    <w:p>
      <w:pPr>
        <w:pStyle w:val="2"/>
      </w:pPr>
      <w:bookmarkStart w:id="69" w:name="_Toc43285457"/>
      <w:bookmarkStart w:id="70" w:name="_Toc43283053"/>
      <w:bookmarkStart w:id="71" w:name="_Toc120270879"/>
      <w:bookmarkStart w:id="72" w:name="_Toc524077903"/>
      <w:r>
        <w:rPr>
          <w:rFonts w:hint="eastAsia"/>
        </w:rPr>
        <w:t>七、申请材料</w:t>
      </w:r>
      <w:bookmarkEnd w:id="66"/>
      <w:bookmarkEnd w:id="67"/>
      <w:bookmarkEnd w:id="68"/>
      <w:bookmarkEnd w:id="69"/>
      <w:bookmarkEnd w:id="70"/>
      <w:bookmarkEnd w:id="71"/>
      <w:bookmarkEnd w:id="72"/>
    </w:p>
    <w:p>
      <w:pPr>
        <w:ind w:firstLine="0" w:firstLineChars="0"/>
        <w:jc w:val="center"/>
        <w:rPr>
          <w:rFonts w:ascii="黑体" w:hAnsi="黑体" w:eastAsia="黑体"/>
          <w:sz w:val="24"/>
          <w:szCs w:val="18"/>
        </w:rPr>
      </w:pPr>
      <w:r>
        <w:rPr>
          <w:rFonts w:hint="eastAsia" w:ascii="黑体" w:hAnsi="黑体" w:eastAsia="黑体"/>
          <w:sz w:val="24"/>
          <w:szCs w:val="18"/>
        </w:rPr>
        <w:t>建设项目环境影响评价文件（正常审批/告知承诺审批）申请材料</w:t>
      </w:r>
    </w:p>
    <w:tbl>
      <w:tblPr>
        <w:tblStyle w:val="46"/>
        <w:tblW w:w="5000" w:type="pct"/>
        <w:jc w:val="center"/>
        <w:tblLayout w:type="autofit"/>
        <w:tblCellMar>
          <w:top w:w="0" w:type="dxa"/>
          <w:left w:w="10" w:type="dxa"/>
          <w:bottom w:w="0" w:type="dxa"/>
          <w:right w:w="10" w:type="dxa"/>
        </w:tblCellMar>
      </w:tblPr>
      <w:tblGrid>
        <w:gridCol w:w="656"/>
        <w:gridCol w:w="2146"/>
        <w:gridCol w:w="1842"/>
        <w:gridCol w:w="1418"/>
        <w:gridCol w:w="1418"/>
        <w:gridCol w:w="2024"/>
      </w:tblGrid>
      <w:tr>
        <w:trPr>
          <w:trHeight w:val="196" w:hRule="atLeast"/>
          <w:jc w:val="center"/>
        </w:trPr>
        <w:tc>
          <w:tcPr>
            <w:tcW w:w="345" w:type="pct"/>
            <w:tcBorders>
              <w:top w:val="single" w:color="000000" w:sz="8" w:space="0"/>
              <w:left w:val="single" w:color="000000" w:sz="8" w:space="0"/>
              <w:bottom w:val="single" w:color="000000" w:sz="8" w:space="0"/>
              <w:right w:val="single" w:color="000000" w:sz="4" w:space="0"/>
            </w:tcBorders>
            <w:shd w:val="clear" w:color="auto" w:fill="auto"/>
            <w:tcMar>
              <w:left w:w="108" w:type="dxa"/>
              <w:right w:w="108" w:type="dxa"/>
            </w:tcMar>
            <w:vAlign w:val="center"/>
          </w:tcPr>
          <w:p>
            <w:pPr>
              <w:spacing w:line="240" w:lineRule="auto"/>
              <w:ind w:firstLine="0" w:firstLineChars="0"/>
              <w:jc w:val="center"/>
              <w:rPr>
                <w:rFonts w:ascii="黑体" w:hAnsi="黑体" w:eastAsia="黑体"/>
                <w:sz w:val="24"/>
                <w:szCs w:val="18"/>
              </w:rPr>
            </w:pPr>
            <w:r>
              <w:rPr>
                <w:rFonts w:hint="eastAsia" w:ascii="黑体" w:hAnsi="黑体" w:eastAsia="黑体"/>
                <w:sz w:val="24"/>
                <w:szCs w:val="18"/>
              </w:rPr>
              <w:t>序号</w:t>
            </w:r>
          </w:p>
        </w:tc>
        <w:tc>
          <w:tcPr>
            <w:tcW w:w="1129" w:type="pct"/>
            <w:tcBorders>
              <w:top w:val="single" w:color="000000" w:sz="8" w:space="0"/>
              <w:left w:val="single" w:color="000000" w:sz="4" w:space="0"/>
              <w:bottom w:val="single" w:color="000000" w:sz="8" w:space="0"/>
              <w:right w:val="single" w:color="000000" w:sz="4" w:space="0"/>
            </w:tcBorders>
            <w:shd w:val="clear" w:color="auto" w:fill="auto"/>
            <w:tcMar>
              <w:left w:w="108" w:type="dxa"/>
              <w:right w:w="108" w:type="dxa"/>
            </w:tcMar>
            <w:vAlign w:val="center"/>
          </w:tcPr>
          <w:p>
            <w:pPr>
              <w:spacing w:line="240" w:lineRule="auto"/>
              <w:ind w:firstLine="0" w:firstLineChars="0"/>
              <w:jc w:val="center"/>
              <w:rPr>
                <w:rFonts w:ascii="黑体" w:hAnsi="黑体" w:eastAsia="黑体"/>
                <w:sz w:val="24"/>
                <w:szCs w:val="18"/>
              </w:rPr>
            </w:pPr>
            <w:r>
              <w:rPr>
                <w:rFonts w:hint="eastAsia" w:ascii="黑体" w:hAnsi="黑体" w:eastAsia="黑体"/>
                <w:sz w:val="24"/>
                <w:szCs w:val="18"/>
              </w:rPr>
              <w:t>材料名称</w:t>
            </w:r>
          </w:p>
        </w:tc>
        <w:tc>
          <w:tcPr>
            <w:tcW w:w="969" w:type="pct"/>
            <w:tcBorders>
              <w:top w:val="single" w:color="000000" w:sz="8" w:space="0"/>
              <w:left w:val="single" w:color="000000" w:sz="4" w:space="0"/>
              <w:bottom w:val="single" w:color="000000" w:sz="8" w:space="0"/>
              <w:right w:val="single" w:color="000000" w:sz="4" w:space="0"/>
            </w:tcBorders>
            <w:shd w:val="clear" w:color="auto" w:fill="auto"/>
            <w:tcMar>
              <w:left w:w="108" w:type="dxa"/>
              <w:right w:w="108" w:type="dxa"/>
            </w:tcMar>
            <w:vAlign w:val="center"/>
          </w:tcPr>
          <w:p>
            <w:pPr>
              <w:spacing w:line="240" w:lineRule="auto"/>
              <w:ind w:firstLine="0" w:firstLineChars="0"/>
              <w:jc w:val="center"/>
              <w:rPr>
                <w:rFonts w:ascii="黑体" w:hAnsi="黑体" w:eastAsia="黑体"/>
                <w:sz w:val="24"/>
                <w:szCs w:val="18"/>
              </w:rPr>
            </w:pPr>
            <w:r>
              <w:rPr>
                <w:rFonts w:hint="eastAsia" w:ascii="黑体" w:hAnsi="黑体" w:eastAsia="黑体"/>
                <w:sz w:val="24"/>
                <w:szCs w:val="18"/>
              </w:rPr>
              <w:t>材料形式</w:t>
            </w:r>
          </w:p>
        </w:tc>
        <w:tc>
          <w:tcPr>
            <w:tcW w:w="746" w:type="pct"/>
            <w:tcBorders>
              <w:top w:val="single" w:color="000000" w:sz="8" w:space="0"/>
              <w:left w:val="single" w:color="000000" w:sz="4" w:space="0"/>
              <w:bottom w:val="single" w:color="000000" w:sz="8" w:space="0"/>
              <w:right w:val="single" w:color="000000" w:sz="4" w:space="0"/>
            </w:tcBorders>
            <w:shd w:val="clear" w:color="auto" w:fill="auto"/>
            <w:tcMar>
              <w:left w:w="108" w:type="dxa"/>
              <w:right w:w="108" w:type="dxa"/>
            </w:tcMar>
            <w:vAlign w:val="center"/>
          </w:tcPr>
          <w:p>
            <w:pPr>
              <w:spacing w:line="240" w:lineRule="auto"/>
              <w:ind w:firstLine="0" w:firstLineChars="0"/>
              <w:jc w:val="center"/>
              <w:rPr>
                <w:rFonts w:ascii="黑体" w:hAnsi="黑体" w:eastAsia="黑体"/>
                <w:sz w:val="24"/>
                <w:szCs w:val="18"/>
              </w:rPr>
            </w:pPr>
            <w:r>
              <w:rPr>
                <w:rFonts w:hint="eastAsia" w:ascii="黑体" w:hAnsi="黑体" w:eastAsia="黑体"/>
                <w:sz w:val="24"/>
                <w:szCs w:val="18"/>
              </w:rPr>
              <w:t>份数</w:t>
            </w:r>
          </w:p>
        </w:tc>
        <w:tc>
          <w:tcPr>
            <w:tcW w:w="746" w:type="pct"/>
            <w:tcBorders>
              <w:top w:val="single" w:color="000000" w:sz="8" w:space="0"/>
              <w:left w:val="single" w:color="000000" w:sz="4" w:space="0"/>
              <w:bottom w:val="single" w:color="000000" w:sz="8" w:space="0"/>
              <w:right w:val="single" w:color="000000" w:sz="4" w:space="0"/>
            </w:tcBorders>
            <w:shd w:val="clear" w:color="auto" w:fill="auto"/>
            <w:tcMar>
              <w:left w:w="108" w:type="dxa"/>
              <w:right w:w="108" w:type="dxa"/>
            </w:tcMar>
            <w:vAlign w:val="center"/>
          </w:tcPr>
          <w:p>
            <w:pPr>
              <w:spacing w:line="240" w:lineRule="auto"/>
              <w:ind w:firstLine="0" w:firstLineChars="0"/>
              <w:jc w:val="center"/>
              <w:rPr>
                <w:rFonts w:ascii="黑体" w:hAnsi="黑体" w:eastAsia="黑体"/>
                <w:sz w:val="24"/>
                <w:szCs w:val="18"/>
              </w:rPr>
            </w:pPr>
            <w:r>
              <w:rPr>
                <w:rFonts w:hint="eastAsia" w:ascii="黑体" w:hAnsi="黑体" w:eastAsia="黑体"/>
                <w:sz w:val="24"/>
                <w:szCs w:val="18"/>
              </w:rPr>
              <w:t>材料来源</w:t>
            </w:r>
          </w:p>
        </w:tc>
        <w:tc>
          <w:tcPr>
            <w:tcW w:w="1065" w:type="pct"/>
            <w:tcBorders>
              <w:top w:val="single" w:color="000000" w:sz="8" w:space="0"/>
              <w:left w:val="single" w:color="000000" w:sz="4" w:space="0"/>
              <w:bottom w:val="single" w:color="000000" w:sz="8" w:space="0"/>
              <w:right w:val="single" w:color="000000" w:sz="8" w:space="0"/>
            </w:tcBorders>
            <w:shd w:val="clear" w:color="auto" w:fill="auto"/>
            <w:tcMar>
              <w:left w:w="108" w:type="dxa"/>
              <w:right w:w="108" w:type="dxa"/>
            </w:tcMar>
            <w:vAlign w:val="center"/>
          </w:tcPr>
          <w:p>
            <w:pPr>
              <w:spacing w:line="240" w:lineRule="auto"/>
              <w:ind w:firstLine="0" w:firstLineChars="0"/>
              <w:jc w:val="center"/>
              <w:rPr>
                <w:rFonts w:ascii="黑体" w:hAnsi="黑体" w:eastAsia="黑体"/>
                <w:sz w:val="24"/>
                <w:szCs w:val="18"/>
              </w:rPr>
            </w:pPr>
            <w:r>
              <w:rPr>
                <w:rFonts w:hint="eastAsia" w:ascii="黑体" w:hAnsi="黑体" w:eastAsia="黑体"/>
                <w:sz w:val="24"/>
                <w:szCs w:val="18"/>
              </w:rPr>
              <w:t>其他要求</w:t>
            </w:r>
          </w:p>
        </w:tc>
      </w:tr>
      <w:tr>
        <w:tblPrEx>
          <w:tblCellMar>
            <w:top w:w="0" w:type="dxa"/>
            <w:left w:w="10" w:type="dxa"/>
            <w:bottom w:w="0" w:type="dxa"/>
            <w:right w:w="10" w:type="dxa"/>
          </w:tblCellMar>
        </w:tblPrEx>
        <w:trPr>
          <w:trHeight w:val="1134" w:hRule="atLeast"/>
          <w:jc w:val="center"/>
        </w:trPr>
        <w:tc>
          <w:tcPr>
            <w:tcW w:w="345" w:type="pct"/>
            <w:tcBorders>
              <w:top w:val="single" w:color="000000" w:sz="8" w:space="0"/>
              <w:left w:val="single" w:color="000000" w:sz="8" w:space="0"/>
              <w:bottom w:val="single" w:color="000000" w:sz="4" w:space="0"/>
              <w:right w:val="single" w:color="000000" w:sz="4" w:space="0"/>
            </w:tcBorders>
            <w:shd w:val="clear" w:color="auto" w:fill="auto"/>
            <w:tcMar>
              <w:left w:w="108" w:type="dxa"/>
              <w:right w:w="108" w:type="dxa"/>
            </w:tcMar>
            <w:vAlign w:val="center"/>
          </w:tcPr>
          <w:p>
            <w:pPr>
              <w:spacing w:line="240" w:lineRule="auto"/>
              <w:ind w:firstLine="0" w:firstLineChars="0"/>
              <w:jc w:val="center"/>
              <w:rPr>
                <w:sz w:val="24"/>
                <w:szCs w:val="18"/>
              </w:rPr>
            </w:pPr>
            <w:r>
              <w:rPr>
                <w:sz w:val="24"/>
                <w:szCs w:val="18"/>
              </w:rPr>
              <w:t>1</w:t>
            </w:r>
          </w:p>
        </w:tc>
        <w:tc>
          <w:tcPr>
            <w:tcW w:w="1129" w:type="pct"/>
            <w:tcBorders>
              <w:top w:val="single" w:color="000000" w:sz="8"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240" w:lineRule="auto"/>
              <w:ind w:firstLine="0" w:firstLineChars="0"/>
              <w:jc w:val="center"/>
              <w:rPr>
                <w:sz w:val="24"/>
                <w:szCs w:val="18"/>
              </w:rPr>
            </w:pPr>
            <w:r>
              <w:rPr>
                <w:rFonts w:hint="eastAsia"/>
                <w:sz w:val="24"/>
                <w:szCs w:val="18"/>
              </w:rPr>
              <w:t>建设项目环境影响评价文件报批申请</w:t>
            </w:r>
          </w:p>
        </w:tc>
        <w:tc>
          <w:tcPr>
            <w:tcW w:w="969" w:type="pct"/>
            <w:tcBorders>
              <w:top w:val="single" w:color="000000" w:sz="8"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240" w:lineRule="auto"/>
              <w:ind w:firstLine="0" w:firstLineChars="0"/>
              <w:jc w:val="center"/>
              <w:rPr>
                <w:sz w:val="24"/>
                <w:szCs w:val="18"/>
              </w:rPr>
            </w:pPr>
            <w:r>
              <w:rPr>
                <w:rFonts w:hint="eastAsia"/>
                <w:sz w:val="24"/>
                <w:szCs w:val="18"/>
              </w:rPr>
              <w:t>原件</w:t>
            </w:r>
          </w:p>
        </w:tc>
        <w:tc>
          <w:tcPr>
            <w:tcW w:w="746" w:type="pct"/>
            <w:tcBorders>
              <w:top w:val="single" w:color="000000" w:sz="8"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240" w:lineRule="auto"/>
              <w:ind w:firstLine="0" w:firstLineChars="0"/>
              <w:jc w:val="center"/>
              <w:rPr>
                <w:sz w:val="24"/>
                <w:szCs w:val="18"/>
              </w:rPr>
            </w:pPr>
            <w:r>
              <w:rPr>
                <w:sz w:val="24"/>
                <w:szCs w:val="18"/>
              </w:rPr>
              <w:t>1</w:t>
            </w:r>
            <w:r>
              <w:rPr>
                <w:rFonts w:hint="eastAsia"/>
                <w:sz w:val="24"/>
                <w:szCs w:val="18"/>
              </w:rPr>
              <w:t>份</w:t>
            </w:r>
          </w:p>
        </w:tc>
        <w:tc>
          <w:tcPr>
            <w:tcW w:w="746" w:type="pct"/>
            <w:tcBorders>
              <w:top w:val="single" w:color="000000" w:sz="8"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240" w:lineRule="auto"/>
              <w:ind w:firstLine="0" w:firstLineChars="0"/>
              <w:jc w:val="center"/>
              <w:rPr>
                <w:sz w:val="24"/>
                <w:szCs w:val="18"/>
              </w:rPr>
            </w:pPr>
            <w:r>
              <w:rPr>
                <w:rFonts w:hint="eastAsia"/>
                <w:sz w:val="24"/>
                <w:szCs w:val="18"/>
              </w:rPr>
              <w:t>申请人自备</w:t>
            </w:r>
          </w:p>
        </w:tc>
        <w:tc>
          <w:tcPr>
            <w:tcW w:w="1065" w:type="pct"/>
            <w:tcBorders>
              <w:top w:val="single" w:color="000000" w:sz="8" w:space="0"/>
              <w:left w:val="single" w:color="000000" w:sz="4" w:space="0"/>
              <w:bottom w:val="single" w:color="000000" w:sz="4" w:space="0"/>
              <w:right w:val="single" w:color="000000" w:sz="8" w:space="0"/>
            </w:tcBorders>
            <w:shd w:val="clear" w:color="auto" w:fill="auto"/>
            <w:tcMar>
              <w:left w:w="108" w:type="dxa"/>
              <w:right w:w="108" w:type="dxa"/>
            </w:tcMar>
            <w:vAlign w:val="center"/>
          </w:tcPr>
          <w:p>
            <w:pPr>
              <w:spacing w:line="240" w:lineRule="auto"/>
              <w:ind w:firstLine="0" w:firstLineChars="0"/>
              <w:jc w:val="center"/>
              <w:rPr>
                <w:sz w:val="24"/>
                <w:szCs w:val="18"/>
              </w:rPr>
            </w:pPr>
          </w:p>
        </w:tc>
      </w:tr>
      <w:tr>
        <w:tblPrEx>
          <w:tblCellMar>
            <w:top w:w="0" w:type="dxa"/>
            <w:left w:w="10" w:type="dxa"/>
            <w:bottom w:w="0" w:type="dxa"/>
            <w:right w:w="10" w:type="dxa"/>
          </w:tblCellMar>
        </w:tblPrEx>
        <w:trPr>
          <w:trHeight w:val="1134" w:hRule="atLeast"/>
          <w:jc w:val="center"/>
        </w:trPr>
        <w:tc>
          <w:tcPr>
            <w:tcW w:w="345" w:type="pct"/>
            <w:tcBorders>
              <w:top w:val="single" w:color="000000" w:sz="4" w:space="0"/>
              <w:left w:val="single" w:color="000000" w:sz="8" w:space="0"/>
              <w:bottom w:val="single" w:color="000000" w:sz="4" w:space="0"/>
              <w:right w:val="single" w:color="000000" w:sz="4" w:space="0"/>
            </w:tcBorders>
            <w:shd w:val="clear" w:color="auto" w:fill="auto"/>
            <w:tcMar>
              <w:left w:w="108" w:type="dxa"/>
              <w:right w:w="108" w:type="dxa"/>
            </w:tcMar>
            <w:vAlign w:val="center"/>
          </w:tcPr>
          <w:p>
            <w:pPr>
              <w:spacing w:line="240" w:lineRule="auto"/>
              <w:ind w:firstLine="0" w:firstLineChars="0"/>
              <w:jc w:val="center"/>
              <w:rPr>
                <w:sz w:val="24"/>
                <w:szCs w:val="18"/>
              </w:rPr>
            </w:pPr>
            <w:r>
              <w:rPr>
                <w:sz w:val="24"/>
                <w:szCs w:val="18"/>
              </w:rPr>
              <w:t>2</w:t>
            </w:r>
          </w:p>
        </w:tc>
        <w:tc>
          <w:tcPr>
            <w:tcW w:w="112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240" w:lineRule="auto"/>
              <w:ind w:firstLine="0" w:firstLineChars="0"/>
              <w:jc w:val="center"/>
              <w:rPr>
                <w:sz w:val="24"/>
                <w:szCs w:val="18"/>
              </w:rPr>
            </w:pPr>
            <w:r>
              <w:rPr>
                <w:rFonts w:hint="eastAsia"/>
                <w:sz w:val="24"/>
                <w:szCs w:val="18"/>
              </w:rPr>
              <w:t>建设项目环境影响评价文件</w:t>
            </w:r>
          </w:p>
        </w:tc>
        <w:tc>
          <w:tcPr>
            <w:tcW w:w="96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240" w:lineRule="auto"/>
              <w:ind w:firstLine="0" w:firstLineChars="0"/>
              <w:jc w:val="center"/>
              <w:rPr>
                <w:sz w:val="24"/>
                <w:szCs w:val="18"/>
              </w:rPr>
            </w:pPr>
            <w:r>
              <w:rPr>
                <w:rFonts w:hint="eastAsia"/>
                <w:sz w:val="24"/>
                <w:szCs w:val="18"/>
              </w:rPr>
              <w:t>原件及</w:t>
            </w:r>
          </w:p>
          <w:p>
            <w:pPr>
              <w:spacing w:line="240" w:lineRule="auto"/>
              <w:ind w:firstLine="0" w:firstLineChars="0"/>
              <w:jc w:val="center"/>
              <w:rPr>
                <w:sz w:val="24"/>
                <w:szCs w:val="18"/>
              </w:rPr>
            </w:pPr>
            <w:r>
              <w:rPr>
                <w:sz w:val="24"/>
                <w:szCs w:val="18"/>
              </w:rPr>
              <w:t>PDF</w:t>
            </w:r>
            <w:r>
              <w:rPr>
                <w:rFonts w:hint="eastAsia"/>
                <w:sz w:val="24"/>
                <w:szCs w:val="18"/>
              </w:rPr>
              <w:t>格式电子版</w:t>
            </w:r>
          </w:p>
        </w:tc>
        <w:tc>
          <w:tcPr>
            <w:tcW w:w="746"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240" w:lineRule="auto"/>
              <w:ind w:firstLine="0" w:firstLineChars="0"/>
              <w:jc w:val="center"/>
              <w:rPr>
                <w:sz w:val="24"/>
                <w:szCs w:val="18"/>
              </w:rPr>
            </w:pPr>
            <w:r>
              <w:rPr>
                <w:rFonts w:hint="eastAsia"/>
                <w:sz w:val="24"/>
                <w:szCs w:val="18"/>
              </w:rPr>
              <w:t>纸质2份，电子1份</w:t>
            </w:r>
          </w:p>
        </w:tc>
        <w:tc>
          <w:tcPr>
            <w:tcW w:w="746"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240" w:lineRule="auto"/>
              <w:ind w:firstLine="0" w:firstLineChars="0"/>
              <w:jc w:val="center"/>
              <w:rPr>
                <w:sz w:val="24"/>
                <w:szCs w:val="18"/>
              </w:rPr>
            </w:pPr>
            <w:r>
              <w:rPr>
                <w:rFonts w:hint="eastAsia"/>
                <w:sz w:val="24"/>
                <w:szCs w:val="18"/>
              </w:rPr>
              <w:t>申请人自备</w:t>
            </w:r>
          </w:p>
        </w:tc>
        <w:tc>
          <w:tcPr>
            <w:tcW w:w="1065" w:type="pct"/>
            <w:tcBorders>
              <w:top w:val="single" w:color="000000" w:sz="4" w:space="0"/>
              <w:left w:val="single" w:color="000000" w:sz="4" w:space="0"/>
              <w:bottom w:val="single" w:color="000000" w:sz="4" w:space="0"/>
              <w:right w:val="single" w:color="000000" w:sz="8" w:space="0"/>
            </w:tcBorders>
            <w:shd w:val="clear" w:color="auto" w:fill="auto"/>
            <w:tcMar>
              <w:left w:w="108" w:type="dxa"/>
              <w:right w:w="108" w:type="dxa"/>
            </w:tcMar>
            <w:vAlign w:val="center"/>
          </w:tcPr>
          <w:p>
            <w:pPr>
              <w:spacing w:line="240" w:lineRule="auto"/>
              <w:ind w:firstLine="0" w:firstLineChars="0"/>
              <w:jc w:val="center"/>
              <w:rPr>
                <w:sz w:val="24"/>
                <w:szCs w:val="18"/>
              </w:rPr>
            </w:pPr>
            <w:r>
              <w:rPr>
                <w:rFonts w:hint="eastAsia"/>
                <w:sz w:val="24"/>
                <w:szCs w:val="18"/>
              </w:rPr>
              <w:t>环境影响报告书附具“公众参与说明”。</w:t>
            </w:r>
          </w:p>
        </w:tc>
      </w:tr>
    </w:tbl>
    <w:p>
      <w:pPr>
        <w:pStyle w:val="2"/>
      </w:pPr>
      <w:bookmarkStart w:id="73" w:name="_Toc520365043"/>
      <w:bookmarkStart w:id="74" w:name="_Toc524077904"/>
      <w:bookmarkStart w:id="75" w:name="_Toc43285458"/>
      <w:bookmarkStart w:id="76" w:name="_Toc120270880"/>
      <w:bookmarkStart w:id="77" w:name="_Toc520391793"/>
      <w:bookmarkStart w:id="78" w:name="_Toc520360117"/>
      <w:bookmarkStart w:id="79" w:name="_Toc43283054"/>
      <w:r>
        <w:rPr>
          <w:rFonts w:hint="eastAsia"/>
        </w:rPr>
        <w:t>八、办理时限</w:t>
      </w:r>
      <w:bookmarkEnd w:id="73"/>
      <w:bookmarkEnd w:id="74"/>
      <w:bookmarkEnd w:id="75"/>
      <w:bookmarkEnd w:id="76"/>
      <w:bookmarkEnd w:id="77"/>
      <w:bookmarkEnd w:id="78"/>
      <w:bookmarkEnd w:id="79"/>
    </w:p>
    <w:p>
      <w:pPr>
        <w:ind w:firstLine="560"/>
      </w:pPr>
      <w:bookmarkStart w:id="80" w:name="_Toc520365045"/>
      <w:bookmarkStart w:id="81" w:name="_Toc520391795"/>
      <w:bookmarkStart w:id="82" w:name="_Toc520360119"/>
      <w:r>
        <w:rPr>
          <w:rFonts w:hint="eastAsia"/>
        </w:rPr>
        <w:t>法定办结时限：</w:t>
      </w:r>
      <w:r>
        <w:t>60/30</w:t>
      </w:r>
      <w:r>
        <w:rPr>
          <w:rFonts w:hint="eastAsia"/>
        </w:rPr>
        <w:t>工作日（报告书</w:t>
      </w:r>
      <w:r>
        <w:t>/</w:t>
      </w:r>
      <w:r>
        <w:rPr>
          <w:rFonts w:hint="eastAsia"/>
        </w:rPr>
        <w:t>报告表）。</w:t>
      </w:r>
    </w:p>
    <w:p>
      <w:pPr>
        <w:ind w:firstLine="560"/>
      </w:pPr>
      <w:r>
        <w:rPr>
          <w:rFonts w:hint="eastAsia"/>
        </w:rPr>
        <w:t>承诺办结时限：不超过</w:t>
      </w:r>
      <w:r>
        <w:t>14/7</w:t>
      </w:r>
      <w:r>
        <w:rPr>
          <w:rFonts w:hint="eastAsia"/>
        </w:rPr>
        <w:t>工作日（报告书</w:t>
      </w:r>
      <w:r>
        <w:t>/</w:t>
      </w:r>
      <w:r>
        <w:rPr>
          <w:rFonts w:hint="eastAsia"/>
        </w:rPr>
        <w:t>报告表）。</w:t>
      </w:r>
    </w:p>
    <w:p>
      <w:pPr>
        <w:ind w:firstLine="560"/>
      </w:pPr>
      <w:r>
        <w:rPr>
          <w:rFonts w:hint="eastAsia"/>
        </w:rPr>
        <w:t>技术评估（专家评审、技术审查、现场踏勘）、公示时间不计入审批时限。</w:t>
      </w:r>
    </w:p>
    <w:p>
      <w:pPr>
        <w:pStyle w:val="2"/>
      </w:pPr>
      <w:bookmarkStart w:id="83" w:name="_Toc120270881"/>
      <w:bookmarkStart w:id="84" w:name="_Toc524077905"/>
      <w:bookmarkStart w:id="85" w:name="_Toc43285459"/>
      <w:bookmarkStart w:id="86" w:name="_Toc43283055"/>
      <w:r>
        <w:rPr>
          <w:rFonts w:hint="eastAsia"/>
        </w:rPr>
        <w:t>九、许可收费</w:t>
      </w:r>
      <w:bookmarkEnd w:id="83"/>
      <w:bookmarkEnd w:id="84"/>
      <w:bookmarkEnd w:id="85"/>
      <w:bookmarkEnd w:id="86"/>
    </w:p>
    <w:p>
      <w:pPr>
        <w:ind w:firstLine="560"/>
      </w:pPr>
      <w:r>
        <w:rPr>
          <w:rFonts w:hint="eastAsia"/>
        </w:rPr>
        <w:t>本行政许可不收费。</w:t>
      </w:r>
    </w:p>
    <w:p>
      <w:pPr>
        <w:pStyle w:val="2"/>
      </w:pPr>
      <w:bookmarkStart w:id="87" w:name="_Toc524077906"/>
      <w:bookmarkStart w:id="88" w:name="_Toc43285460"/>
      <w:bookmarkStart w:id="89" w:name="_Toc43283056"/>
      <w:bookmarkStart w:id="90" w:name="_Toc120270882"/>
      <w:r>
        <w:rPr>
          <w:rFonts w:hint="eastAsia"/>
        </w:rPr>
        <w:t>十、许可证件</w:t>
      </w:r>
      <w:bookmarkEnd w:id="87"/>
      <w:bookmarkEnd w:id="88"/>
      <w:bookmarkEnd w:id="89"/>
      <w:bookmarkEnd w:id="90"/>
    </w:p>
    <w:p>
      <w:pPr>
        <w:ind w:firstLine="560"/>
      </w:pPr>
      <w:r>
        <w:rPr>
          <w:rFonts w:hint="eastAsia"/>
        </w:rPr>
        <w:t>建设单位委托代理人办理许可事宜委托书。</w:t>
      </w:r>
    </w:p>
    <w:p>
      <w:pPr>
        <w:pStyle w:val="2"/>
      </w:pPr>
      <w:bookmarkStart w:id="91" w:name="_Toc120270883"/>
      <w:bookmarkStart w:id="92" w:name="_Toc43283057"/>
      <w:bookmarkStart w:id="93" w:name="_Toc43285461"/>
      <w:bookmarkStart w:id="94" w:name="_Toc524077907"/>
      <w:r>
        <w:rPr>
          <w:rFonts w:hint="eastAsia"/>
        </w:rPr>
        <w:t>十一、中介服务要求</w:t>
      </w:r>
      <w:bookmarkEnd w:id="91"/>
      <w:bookmarkEnd w:id="92"/>
      <w:bookmarkEnd w:id="93"/>
      <w:bookmarkEnd w:id="94"/>
    </w:p>
    <w:bookmarkEnd w:id="80"/>
    <w:bookmarkEnd w:id="81"/>
    <w:bookmarkEnd w:id="82"/>
    <w:p>
      <w:pPr>
        <w:ind w:firstLine="560"/>
      </w:pPr>
      <w:bookmarkStart w:id="95" w:name="_Toc520360121"/>
      <w:bookmarkStart w:id="96" w:name="_Toc520365047"/>
      <w:bookmarkStart w:id="97" w:name="_Toc524077908"/>
      <w:bookmarkStart w:id="98" w:name="_Toc520391797"/>
      <w:r>
        <w:rPr>
          <w:rFonts w:hint="eastAsia"/>
        </w:rPr>
        <w:t>建设单位可以委托技术单位对其建设项目开展环境影响评价，编制建设项目环境影响报告书、环境影响报告表；建设单位具备环境影响评价技术能力的，可以自行对其建设项目开展环境影响评价，编制建设项目环境影响报告书、环境影响报告表。编制单位内的编制主持人应为取得环境影响评价工程师职业资格证书的人员，不指定编制单位。对编制单位的管理按照《建设项目环境影响报告书（表）编制监督管理办法》相关要求执行。</w:t>
      </w:r>
    </w:p>
    <w:p>
      <w:pPr>
        <w:pStyle w:val="2"/>
      </w:pPr>
      <w:bookmarkStart w:id="99" w:name="_Toc43285462"/>
      <w:bookmarkStart w:id="100" w:name="_Toc43283058"/>
      <w:bookmarkStart w:id="101" w:name="_Toc120270884"/>
      <w:r>
        <w:rPr>
          <w:rFonts w:hint="eastAsia"/>
        </w:rPr>
        <w:t>十二、许可办理</w:t>
      </w:r>
      <w:bookmarkEnd w:id="95"/>
      <w:bookmarkEnd w:id="96"/>
      <w:bookmarkEnd w:id="97"/>
      <w:bookmarkEnd w:id="98"/>
      <w:bookmarkEnd w:id="99"/>
      <w:bookmarkEnd w:id="100"/>
      <w:bookmarkEnd w:id="101"/>
    </w:p>
    <w:p>
      <w:pPr>
        <w:pStyle w:val="3"/>
      </w:pPr>
      <w:bookmarkStart w:id="102" w:name="_Toc520391798"/>
      <w:bookmarkStart w:id="103" w:name="_Toc43285463"/>
      <w:bookmarkStart w:id="104" w:name="_Toc120270885"/>
      <w:bookmarkStart w:id="105" w:name="_Toc43283059"/>
      <w:bookmarkStart w:id="106" w:name="_Toc520360122"/>
      <w:bookmarkStart w:id="107" w:name="_Toc524077909"/>
      <w:bookmarkStart w:id="108" w:name="_Toc520365048"/>
      <w:r>
        <w:rPr>
          <w:rFonts w:hint="eastAsia"/>
        </w:rPr>
        <w:t>（一）申请</w:t>
      </w:r>
      <w:bookmarkEnd w:id="102"/>
      <w:bookmarkEnd w:id="103"/>
      <w:bookmarkEnd w:id="104"/>
      <w:bookmarkEnd w:id="105"/>
      <w:bookmarkEnd w:id="106"/>
      <w:bookmarkEnd w:id="107"/>
      <w:bookmarkEnd w:id="108"/>
    </w:p>
    <w:p>
      <w:pPr>
        <w:pStyle w:val="4"/>
      </w:pPr>
      <w:bookmarkStart w:id="109" w:name="_Toc120270886"/>
      <w:bookmarkStart w:id="110" w:name="_Toc524077910"/>
      <w:r>
        <w:t>1.</w:t>
      </w:r>
      <w:r>
        <w:rPr>
          <w:rFonts w:hint="eastAsia"/>
        </w:rPr>
        <w:t>申请</w:t>
      </w:r>
      <w:bookmarkEnd w:id="109"/>
      <w:bookmarkEnd w:id="110"/>
    </w:p>
    <w:p>
      <w:pPr>
        <w:wordWrap w:val="0"/>
        <w:topLinePunct/>
        <w:ind w:firstLine="560"/>
        <w:rPr>
          <w:rFonts w:hint="eastAsia" w:ascii="Times New Roman" w:hAnsi="Times New Roman" w:cs="Times New Roman"/>
        </w:rPr>
      </w:pPr>
      <w:r>
        <w:rPr>
          <w:rFonts w:hint="eastAsia"/>
        </w:rPr>
        <w:t>（1）建设单位自行登录云南政务服务网（https://zwfw.yn.gov.cn）提交申报材料（除国家规定需要保密的情形外），同步通过邮寄或者现场递交等方式，</w:t>
      </w:r>
      <w:r>
        <w:rPr>
          <w:rFonts w:hint="eastAsia"/>
          <w:lang w:eastAsia="zh-CN"/>
        </w:rPr>
        <w:t>：</w:t>
      </w:r>
      <w:r>
        <w:rPr>
          <w:rFonts w:hint="eastAsia" w:ascii="Times New Roman" w:hAnsi="Times New Roman" w:cs="Times New Roman"/>
          <w:lang w:val="en-US" w:eastAsia="zh-CN"/>
        </w:rPr>
        <w:t>昆明经开区、中国（云南）自贸区昆明片区综合</w:t>
      </w:r>
      <w:r>
        <w:rPr>
          <w:rFonts w:hint="eastAsia" w:ascii="Times New Roman" w:hAnsi="Times New Roman" w:cs="Times New Roman"/>
        </w:rPr>
        <w:t>服务中心（</w:t>
      </w:r>
      <w:r>
        <w:rPr>
          <w:rFonts w:hint="eastAsia" w:ascii="Times New Roman" w:hAnsi="Times New Roman" w:cs="Times New Roman"/>
          <w:lang w:val="en-US" w:eastAsia="zh-CN"/>
        </w:rPr>
        <w:t>昆明经开区玉缘路与鼎南路交叉路口</w:t>
      </w:r>
      <w:r>
        <w:rPr>
          <w:rFonts w:hint="eastAsia" w:ascii="Times New Roman" w:hAnsi="Times New Roman" w:cs="Times New Roman"/>
        </w:rPr>
        <w:t>）综合窗口提交申报材料。</w:t>
      </w:r>
    </w:p>
    <w:p>
      <w:pPr>
        <w:wordWrap w:val="0"/>
        <w:topLinePunct/>
        <w:ind w:firstLine="560"/>
      </w:pPr>
      <w:r>
        <w:rPr>
          <w:rFonts w:hint="eastAsia"/>
        </w:rPr>
        <w:t>（2）受理时间：周一至周五及调休工作日，上午9:00-12:00，下午13:00-17:00，法定节假日除外。</w:t>
      </w:r>
    </w:p>
    <w:p>
      <w:pPr>
        <w:adjustRightInd w:val="0"/>
        <w:snapToGrid w:val="0"/>
        <w:spacing w:line="360" w:lineRule="auto"/>
        <w:ind w:firstLine="560" w:firstLineChars="200"/>
        <w:rPr>
          <w:rFonts w:hint="eastAsia" w:ascii="Times New Roman" w:hAnsi="Times New Roman" w:cs="Times New Roman"/>
          <w:lang w:val="en-US" w:eastAsia="zh-CN"/>
        </w:rPr>
      </w:pPr>
      <w:r>
        <w:rPr>
          <w:rFonts w:hint="eastAsia"/>
        </w:rPr>
        <w:t>（</w:t>
      </w:r>
      <w:r>
        <w:t>3</w:t>
      </w:r>
      <w:r>
        <w:rPr>
          <w:rFonts w:hint="eastAsia"/>
        </w:rPr>
        <w:t>）交通方式：</w:t>
      </w:r>
      <w:r>
        <w:rPr>
          <w:rFonts w:hint="eastAsia" w:ascii="Times New Roman" w:hAnsi="Times New Roman" w:cs="Times New Roman"/>
        </w:rPr>
        <w:t>可乘</w:t>
      </w:r>
      <w:r>
        <w:rPr>
          <w:rFonts w:hint="eastAsia" w:ascii="Times New Roman" w:hAnsi="Times New Roman" w:cs="Times New Roman"/>
          <w:lang w:val="en-US" w:eastAsia="zh-CN"/>
        </w:rPr>
        <w:t>251</w:t>
      </w:r>
      <w:r>
        <w:rPr>
          <w:rFonts w:hint="eastAsia" w:ascii="Times New Roman" w:hAnsi="Times New Roman" w:cs="Times New Roman"/>
        </w:rPr>
        <w:t>路</w:t>
      </w:r>
      <w:r>
        <w:rPr>
          <w:rFonts w:hint="eastAsia" w:ascii="Times New Roman" w:hAnsi="Times New Roman" w:cs="Times New Roman"/>
          <w:lang w:eastAsia="zh-CN"/>
        </w:rPr>
        <w:t>（</w:t>
      </w:r>
      <w:r>
        <w:rPr>
          <w:rFonts w:hint="eastAsia" w:ascii="Times New Roman" w:hAnsi="Times New Roman" w:cs="Times New Roman"/>
          <w:lang w:val="en-US" w:eastAsia="zh-CN"/>
        </w:rPr>
        <w:t>洋甫车厂至螺蛳湾公交枢纽站</w:t>
      </w:r>
      <w:r>
        <w:rPr>
          <w:rFonts w:hint="eastAsia" w:ascii="Times New Roman" w:hAnsi="Times New Roman" w:cs="Times New Roman"/>
          <w:lang w:eastAsia="zh-CN"/>
        </w:rPr>
        <w:t>）、</w:t>
      </w:r>
      <w:r>
        <w:rPr>
          <w:rFonts w:hint="eastAsia" w:ascii="Times New Roman" w:hAnsi="Times New Roman" w:cs="Times New Roman"/>
          <w:lang w:val="en-US" w:eastAsia="zh-CN"/>
        </w:rPr>
        <w:t>261</w:t>
      </w:r>
      <w:r>
        <w:rPr>
          <w:rFonts w:hint="eastAsia" w:ascii="Times New Roman" w:hAnsi="Times New Roman" w:cs="Times New Roman"/>
        </w:rPr>
        <w:t>路</w:t>
      </w:r>
      <w:r>
        <w:rPr>
          <w:rFonts w:hint="eastAsia" w:ascii="Times New Roman" w:hAnsi="Times New Roman" w:cs="Times New Roman"/>
          <w:lang w:eastAsia="zh-CN"/>
        </w:rPr>
        <w:t>（</w:t>
      </w:r>
      <w:r>
        <w:rPr>
          <w:rFonts w:hint="eastAsia" w:ascii="Times New Roman" w:hAnsi="Times New Roman" w:cs="Times New Roman"/>
          <w:lang w:val="en-US" w:eastAsia="zh-CN"/>
        </w:rPr>
        <w:t>洋甫车厂至新亚洲体育城地铁站</w:t>
      </w:r>
      <w:r>
        <w:rPr>
          <w:rFonts w:hint="eastAsia" w:ascii="Times New Roman" w:hAnsi="Times New Roman" w:cs="Times New Roman"/>
          <w:lang w:eastAsia="zh-CN"/>
        </w:rPr>
        <w:t>）、</w:t>
      </w:r>
      <w:r>
        <w:rPr>
          <w:rFonts w:hint="eastAsia" w:ascii="Times New Roman" w:hAnsi="Times New Roman" w:cs="Times New Roman"/>
          <w:lang w:val="en-US" w:eastAsia="zh-CN"/>
        </w:rPr>
        <w:t>Z19</w:t>
      </w:r>
      <w:r>
        <w:rPr>
          <w:rFonts w:hint="eastAsia" w:ascii="Times New Roman" w:hAnsi="Times New Roman" w:cs="Times New Roman"/>
        </w:rPr>
        <w:t>路</w:t>
      </w:r>
      <w:r>
        <w:rPr>
          <w:rFonts w:hint="eastAsia" w:ascii="Times New Roman" w:hAnsi="Times New Roman" w:cs="Times New Roman"/>
          <w:lang w:eastAsia="zh-CN"/>
        </w:rPr>
        <w:t>（</w:t>
      </w:r>
      <w:r>
        <w:rPr>
          <w:rFonts w:hint="eastAsia" w:ascii="Times New Roman" w:hAnsi="Times New Roman" w:cs="Times New Roman"/>
          <w:lang w:val="en-US" w:eastAsia="zh-CN"/>
        </w:rPr>
        <w:t>洋甫车厂至宝泽路站</w:t>
      </w:r>
      <w:r>
        <w:rPr>
          <w:rFonts w:hint="eastAsia" w:ascii="Times New Roman" w:hAnsi="Times New Roman" w:cs="Times New Roman"/>
          <w:lang w:eastAsia="zh-CN"/>
        </w:rPr>
        <w:t>）、</w:t>
      </w:r>
      <w:r>
        <w:rPr>
          <w:rFonts w:hint="eastAsia" w:ascii="Times New Roman" w:hAnsi="Times New Roman" w:cs="Times New Roman"/>
          <w:lang w:val="en-US" w:eastAsia="zh-CN"/>
        </w:rPr>
        <w:t>D32</w:t>
      </w:r>
      <w:r>
        <w:rPr>
          <w:rFonts w:hint="eastAsia" w:ascii="Times New Roman" w:hAnsi="Times New Roman" w:cs="Times New Roman"/>
        </w:rPr>
        <w:t>路</w:t>
      </w:r>
      <w:r>
        <w:rPr>
          <w:rFonts w:hint="eastAsia" w:ascii="Times New Roman" w:hAnsi="Times New Roman" w:cs="Times New Roman"/>
          <w:lang w:eastAsia="zh-CN"/>
        </w:rPr>
        <w:t>（</w:t>
      </w:r>
      <w:r>
        <w:rPr>
          <w:rFonts w:hint="eastAsia" w:ascii="Times New Roman" w:hAnsi="Times New Roman" w:cs="Times New Roman"/>
          <w:lang w:val="en-US" w:eastAsia="zh-CN"/>
        </w:rPr>
        <w:t>信息产业基地云景路至羊甫车场站</w:t>
      </w:r>
      <w:r>
        <w:rPr>
          <w:rFonts w:hint="eastAsia" w:ascii="Times New Roman" w:hAnsi="Times New Roman" w:cs="Times New Roman"/>
          <w:lang w:eastAsia="zh-CN"/>
        </w:rPr>
        <w:t>）</w:t>
      </w:r>
      <w:r>
        <w:rPr>
          <w:rFonts w:hint="eastAsia" w:ascii="Times New Roman" w:hAnsi="Times New Roman" w:cs="Times New Roman"/>
          <w:lang w:val="en-US" w:eastAsia="zh-CN"/>
        </w:rPr>
        <w:t>到玉缘路口（顺通大道）</w:t>
      </w:r>
      <w:r>
        <w:rPr>
          <w:rFonts w:hint="eastAsia" w:ascii="Times New Roman" w:hAnsi="Times New Roman" w:cs="Times New Roman"/>
        </w:rPr>
        <w:t>公交车</w:t>
      </w:r>
      <w:r>
        <w:rPr>
          <w:rFonts w:hint="eastAsia" w:ascii="Times New Roman" w:hAnsi="Times New Roman" w:cs="Times New Roman"/>
          <w:lang w:val="en-US" w:eastAsia="zh-CN"/>
        </w:rPr>
        <w:t>下车步行到达。</w:t>
      </w:r>
    </w:p>
    <w:p>
      <w:pPr>
        <w:adjustRightInd w:val="0"/>
        <w:snapToGrid w:val="0"/>
        <w:spacing w:line="360" w:lineRule="auto"/>
        <w:ind w:firstLine="560" w:firstLineChars="200"/>
      </w:pPr>
      <w:r>
        <w:rPr>
          <w:rFonts w:hint="eastAsia" w:ascii="Times New Roman" w:hAnsi="Times New Roman" w:cs="Times New Roman"/>
          <w:lang w:val="en-US" w:eastAsia="zh-CN"/>
        </w:rPr>
        <w:t>网络提交：全天即可。</w:t>
      </w:r>
    </w:p>
    <w:p>
      <w:pPr>
        <w:ind w:firstLine="560"/>
      </w:pPr>
      <w:r>
        <w:rPr>
          <w:rFonts w:hint="eastAsia"/>
        </w:rPr>
        <w:t>（4）联系电话：</w:t>
      </w:r>
      <w:r>
        <w:t>0871-6</w:t>
      </w:r>
      <w:r>
        <w:rPr>
          <w:rFonts w:hint="eastAsia"/>
          <w:lang w:val="en-US" w:eastAsia="zh-CN"/>
        </w:rPr>
        <w:t>8163096</w:t>
      </w:r>
      <w:r>
        <w:rPr>
          <w:rFonts w:hint="eastAsia"/>
        </w:rPr>
        <w:t>。</w:t>
      </w:r>
    </w:p>
    <w:p>
      <w:pPr>
        <w:pStyle w:val="4"/>
      </w:pPr>
      <w:bookmarkStart w:id="111" w:name="_Toc520360124"/>
      <w:bookmarkStart w:id="112" w:name="_Toc520365050"/>
      <w:bookmarkStart w:id="113" w:name="_Toc524077911"/>
      <w:bookmarkStart w:id="114" w:name="_Toc520391800"/>
      <w:bookmarkStart w:id="115" w:name="_Toc120270887"/>
      <w:r>
        <w:t>2.</w:t>
      </w:r>
      <w:r>
        <w:rPr>
          <w:rFonts w:hint="eastAsia"/>
        </w:rPr>
        <w:t>登记</w:t>
      </w:r>
      <w:bookmarkEnd w:id="111"/>
      <w:bookmarkEnd w:id="112"/>
      <w:bookmarkEnd w:id="113"/>
      <w:bookmarkEnd w:id="114"/>
      <w:bookmarkEnd w:id="115"/>
    </w:p>
    <w:p>
      <w:pPr>
        <w:wordWrap w:val="0"/>
        <w:topLinePunct/>
        <w:ind w:firstLine="560"/>
      </w:pPr>
      <w:r>
        <w:rPr>
          <w:rFonts w:hint="eastAsia"/>
        </w:rPr>
        <w:t>建设单位登录云南政务服务网（https://zwfw.yn.gov.cn）提交建设项目环境影响评价文件审批申请材料后，系统自动登记并生成项目代码，作为办理、查询相关行政许可事项的凭证。</w:t>
      </w:r>
    </w:p>
    <w:p>
      <w:pPr>
        <w:ind w:firstLine="560"/>
      </w:pPr>
      <w:r>
        <w:rPr>
          <w:rFonts w:hint="eastAsia" w:ascii="Times New Roman" w:hAnsi="Times New Roman" w:cs="Times New Roman"/>
          <w:lang w:val="en-US" w:eastAsia="zh-CN"/>
        </w:rPr>
        <w:t>昆明经开区、中国（云南）自贸区昆明片区</w:t>
      </w:r>
      <w:r>
        <w:rPr>
          <w:rFonts w:hint="eastAsia"/>
        </w:rPr>
        <w:t>政务服务中心综合窗口工作人员对申请材料进行清点并登记，出具材料收取回执单。</w:t>
      </w:r>
    </w:p>
    <w:p>
      <w:pPr>
        <w:pStyle w:val="3"/>
      </w:pPr>
      <w:bookmarkStart w:id="116" w:name="_Toc524077912"/>
      <w:bookmarkStart w:id="117" w:name="_Toc43285464"/>
      <w:bookmarkStart w:id="118" w:name="_Toc520391805"/>
      <w:bookmarkStart w:id="119" w:name="_Toc520360129"/>
      <w:bookmarkStart w:id="120" w:name="_Toc120270888"/>
      <w:bookmarkStart w:id="121" w:name="_Toc520365055"/>
      <w:bookmarkStart w:id="122" w:name="_Toc43283060"/>
      <w:r>
        <w:rPr>
          <w:rFonts w:hint="eastAsia"/>
        </w:rPr>
        <w:t>（二）受理</w:t>
      </w:r>
      <w:bookmarkEnd w:id="116"/>
      <w:bookmarkEnd w:id="117"/>
      <w:bookmarkEnd w:id="118"/>
      <w:bookmarkEnd w:id="119"/>
      <w:bookmarkEnd w:id="120"/>
      <w:bookmarkEnd w:id="121"/>
      <w:bookmarkEnd w:id="122"/>
    </w:p>
    <w:p>
      <w:pPr>
        <w:pStyle w:val="4"/>
      </w:pPr>
      <w:bookmarkStart w:id="123" w:name="_Toc520391806"/>
      <w:bookmarkStart w:id="124" w:name="_Toc524077913"/>
      <w:bookmarkStart w:id="125" w:name="_Toc520365056"/>
      <w:bookmarkStart w:id="126" w:name="_Toc520360130"/>
      <w:bookmarkStart w:id="127" w:name="_Toc120270889"/>
      <w:r>
        <w:t>1.</w:t>
      </w:r>
      <w:r>
        <w:rPr>
          <w:rFonts w:hint="eastAsia"/>
        </w:rPr>
        <w:t>受理审核</w:t>
      </w:r>
      <w:bookmarkEnd w:id="123"/>
      <w:bookmarkEnd w:id="124"/>
      <w:bookmarkEnd w:id="125"/>
      <w:bookmarkEnd w:id="126"/>
      <w:bookmarkEnd w:id="127"/>
    </w:p>
    <w:p>
      <w:pPr>
        <w:ind w:firstLine="560"/>
      </w:pPr>
      <w:r>
        <w:rPr>
          <w:rFonts w:hint="eastAsia" w:ascii="Times New Roman" w:hAnsi="Times New Roman" w:cs="Times New Roman"/>
          <w:lang w:val="en-US" w:eastAsia="zh-CN"/>
        </w:rPr>
        <w:t>昆明经开区、中国（云南）自贸区昆明片区</w:t>
      </w:r>
      <w:r>
        <w:rPr>
          <w:rFonts w:hint="eastAsia"/>
        </w:rPr>
        <w:t>政务服务中心综合窗口工作人员接件后将申请材料转昆明市生态环境局</w:t>
      </w:r>
      <w:r>
        <w:rPr>
          <w:rFonts w:hint="eastAsia"/>
          <w:lang w:eastAsia="zh-CN"/>
        </w:rPr>
        <w:t>经开分局审批</w:t>
      </w:r>
      <w:r>
        <w:rPr>
          <w:rFonts w:hint="eastAsia"/>
        </w:rPr>
        <w:t>口办理，昆明市生态环境局窗口工作人员在</w:t>
      </w:r>
      <w:r>
        <w:t>5</w:t>
      </w:r>
      <w:r>
        <w:rPr>
          <w:rFonts w:hint="eastAsia"/>
        </w:rPr>
        <w:t>个工作日内完成受理审核，审核人对申请材料形式和申请材料的准确性、完整性进行审核。</w:t>
      </w:r>
    </w:p>
    <w:p>
      <w:pPr>
        <w:pStyle w:val="4"/>
      </w:pPr>
      <w:bookmarkStart w:id="128" w:name="_Toc520391807"/>
      <w:bookmarkStart w:id="129" w:name="_Toc521605401"/>
      <w:bookmarkStart w:id="130" w:name="_Toc524077914"/>
      <w:bookmarkStart w:id="131" w:name="_Toc120270890"/>
      <w:r>
        <w:t>2.</w:t>
      </w:r>
      <w:r>
        <w:rPr>
          <w:rFonts w:hint="eastAsia"/>
        </w:rPr>
        <w:t>受理</w:t>
      </w:r>
      <w:bookmarkEnd w:id="128"/>
      <w:r>
        <w:rPr>
          <w:rFonts w:hint="eastAsia"/>
        </w:rPr>
        <w:t>决定</w:t>
      </w:r>
      <w:bookmarkEnd w:id="129"/>
      <w:bookmarkEnd w:id="130"/>
      <w:bookmarkEnd w:id="131"/>
    </w:p>
    <w:p>
      <w:pPr>
        <w:ind w:firstLine="560"/>
      </w:pPr>
      <w:r>
        <w:rPr>
          <w:rFonts w:hint="eastAsia"/>
        </w:rPr>
        <w:t>经审核后作出受理决定：</w:t>
      </w:r>
    </w:p>
    <w:p>
      <w:pPr>
        <w:ind w:firstLine="560"/>
      </w:pPr>
      <w:r>
        <w:rPr>
          <w:rFonts w:hint="eastAsia"/>
        </w:rPr>
        <w:t>昆明市生态环境局</w:t>
      </w:r>
      <w:r>
        <w:rPr>
          <w:rFonts w:hint="eastAsia"/>
          <w:lang w:eastAsia="zh-CN"/>
        </w:rPr>
        <w:t>经开分局审批</w:t>
      </w:r>
      <w:r>
        <w:rPr>
          <w:rFonts w:hint="eastAsia"/>
        </w:rPr>
        <w:t>口对正常审批申请材料符合要求的，准予受理，向申请人发放《行政许可申请受理通知单》。受理结果在</w:t>
      </w:r>
      <w:r>
        <w:rPr>
          <w:rFonts w:hint="eastAsia"/>
          <w:lang w:eastAsia="zh-CN"/>
        </w:rPr>
        <w:t>昆明经济技术开发区管理委员会</w:t>
      </w:r>
      <w:r>
        <w:rPr>
          <w:rFonts w:hint="eastAsia"/>
        </w:rPr>
        <w:t>门户网站“信息</w:t>
      </w:r>
      <w:r>
        <w:rPr>
          <w:rFonts w:hint="eastAsia"/>
          <w:lang w:eastAsia="zh-CN"/>
        </w:rPr>
        <w:t>公开</w:t>
      </w:r>
      <w:r>
        <w:rPr>
          <w:rFonts w:hint="eastAsia"/>
        </w:rPr>
        <w:t>”栏目公示，公示时间</w:t>
      </w:r>
      <w:r>
        <w:rPr>
          <w:rFonts w:hint="eastAsia" w:ascii="宋体" w:hAnsi="宋体"/>
        </w:rPr>
        <w:t>报告书</w:t>
      </w:r>
      <w:r>
        <w:t>10</w:t>
      </w:r>
      <w:r>
        <w:rPr>
          <w:rFonts w:hint="eastAsia" w:ascii="宋体" w:hAnsi="宋体"/>
        </w:rPr>
        <w:t>个工作日、报告表5个工作日</w:t>
      </w:r>
      <w:r>
        <w:rPr>
          <w:rFonts w:hint="eastAsia"/>
        </w:rPr>
        <w:t>。受理公示为行政审批特别程序，不计入审批时限。</w:t>
      </w:r>
    </w:p>
    <w:p>
      <w:pPr>
        <w:ind w:firstLine="560"/>
      </w:pPr>
      <w:r>
        <w:rPr>
          <w:rFonts w:hint="eastAsia"/>
        </w:rPr>
        <w:t>对实行告知承诺审批申请材料符合要求的，准予受理，向申请人发放《受理通知单》，受理当日作出审批决定印发“建设项目环境影响评价文件（报告书</w:t>
      </w:r>
      <w:r>
        <w:t>/</w:t>
      </w:r>
      <w:r>
        <w:rPr>
          <w:rFonts w:hint="eastAsia"/>
        </w:rPr>
        <w:t>报告表）批复”，申请材料及审批结果一并在</w:t>
      </w:r>
      <w:r>
        <w:rPr>
          <w:rFonts w:hint="eastAsia"/>
          <w:lang w:eastAsia="zh-CN"/>
        </w:rPr>
        <w:t>昆明经济技术开发区管委会</w:t>
      </w:r>
      <w:r>
        <w:rPr>
          <w:rFonts w:hint="eastAsia"/>
        </w:rPr>
        <w:t>户网站“信息</w:t>
      </w:r>
      <w:r>
        <w:rPr>
          <w:rFonts w:hint="eastAsia"/>
          <w:lang w:eastAsia="zh-CN"/>
        </w:rPr>
        <w:t>公开</w:t>
      </w:r>
      <w:r>
        <w:rPr>
          <w:rFonts w:hint="eastAsia"/>
        </w:rPr>
        <w:t>”栏目公开1</w:t>
      </w:r>
      <w:r>
        <w:t>5</w:t>
      </w:r>
      <w:r>
        <w:rPr>
          <w:rFonts w:hint="eastAsia"/>
        </w:rPr>
        <w:t>个工作日。</w:t>
      </w:r>
    </w:p>
    <w:p>
      <w:pPr>
        <w:ind w:firstLine="560"/>
      </w:pPr>
      <w:r>
        <w:rPr>
          <w:rFonts w:hint="eastAsia"/>
        </w:rPr>
        <w:t>对申请材料不符合要求且可以通过补正达到要求的，向申请人发放《</w:t>
      </w:r>
      <w:r>
        <w:t>XXX</w:t>
      </w:r>
      <w:r>
        <w:rPr>
          <w:rFonts w:hint="eastAsia"/>
        </w:rPr>
        <w:t>行政许可申请材料补正告知书》，一次告知申请人需要补正的材料，逾期不告知的，自收到申请材料之日起即为受理。</w:t>
      </w:r>
    </w:p>
    <w:p>
      <w:pPr>
        <w:ind w:firstLine="560"/>
      </w:pPr>
      <w:r>
        <w:rPr>
          <w:rFonts w:hint="eastAsia"/>
        </w:rPr>
        <w:t>对不需要行政许可、不在受理范围或申请材料不符合要求且无法通过补正达到要求的，作出不予受理决定，并发放《</w:t>
      </w:r>
      <w:r>
        <w:t>XXX</w:t>
      </w:r>
      <w:r>
        <w:rPr>
          <w:rFonts w:hint="eastAsia"/>
        </w:rPr>
        <w:t>行政许可申请不予受理决定书》。</w:t>
      </w:r>
    </w:p>
    <w:p>
      <w:pPr>
        <w:ind w:firstLine="560"/>
      </w:pPr>
      <w:bookmarkStart w:id="132" w:name="_Toc520365057"/>
      <w:bookmarkStart w:id="133" w:name="_Toc520391808"/>
      <w:bookmarkStart w:id="134" w:name="_Toc520360131"/>
      <w:r>
        <w:rPr>
          <w:rFonts w:hint="eastAsia"/>
        </w:rPr>
        <w:t>在作出受理决定之前，申请人要求撤回申请的，受理人员应检查并留存申请人或者其受托人的身份证明文件（或复印件）、授权委托书、撤回申请的报告，申请人签收撤回材料凭证，经登记后将申请材料退回申请人，并留存一份申请材料（或复印件）；受理通知书一式二份，一份给申请人，另一份留底。</w:t>
      </w:r>
    </w:p>
    <w:p>
      <w:pPr>
        <w:pStyle w:val="3"/>
      </w:pPr>
      <w:bookmarkStart w:id="135" w:name="_Toc524077915"/>
      <w:bookmarkStart w:id="136" w:name="_Toc120270891"/>
      <w:bookmarkStart w:id="137" w:name="_Toc43285465"/>
      <w:bookmarkStart w:id="138" w:name="_Toc43283061"/>
      <w:r>
        <w:rPr>
          <w:rFonts w:hint="eastAsia"/>
        </w:rPr>
        <w:t>（三）技术评估</w:t>
      </w:r>
      <w:bookmarkEnd w:id="135"/>
      <w:bookmarkEnd w:id="136"/>
      <w:bookmarkEnd w:id="137"/>
      <w:bookmarkEnd w:id="138"/>
    </w:p>
    <w:p>
      <w:pPr>
        <w:ind w:firstLine="560"/>
      </w:pPr>
      <w:r>
        <w:rPr>
          <w:rFonts w:hint="eastAsia"/>
        </w:rPr>
        <w:t>受理公示结束后，昆明市生态环境局</w:t>
      </w:r>
      <w:r>
        <w:rPr>
          <w:rFonts w:hint="eastAsia"/>
          <w:lang w:eastAsia="zh-CN"/>
        </w:rPr>
        <w:t>经开分局</w:t>
      </w:r>
      <w:r>
        <w:rPr>
          <w:rFonts w:hint="eastAsia"/>
        </w:rPr>
        <w:t>委托技术评估机构进行技术评估，技术评估机构到行政审批</w:t>
      </w:r>
      <w:r>
        <w:rPr>
          <w:rFonts w:hint="eastAsia"/>
          <w:lang w:eastAsia="zh-CN"/>
        </w:rPr>
        <w:t>口</w:t>
      </w:r>
      <w:r>
        <w:rPr>
          <w:rFonts w:hint="eastAsia"/>
        </w:rPr>
        <w:t>领取申请材料。</w:t>
      </w:r>
    </w:p>
    <w:p>
      <w:pPr>
        <w:ind w:firstLine="560"/>
      </w:pPr>
      <w:r>
        <w:rPr>
          <w:rFonts w:hint="eastAsia"/>
        </w:rPr>
        <w:t>建设项目环境影响评价文件技术评估工作流程如下：</w:t>
      </w:r>
    </w:p>
    <w:p>
      <w:pPr>
        <w:spacing w:line="240" w:lineRule="auto"/>
        <w:ind w:firstLine="0" w:firstLineChars="0"/>
        <w:jc w:val="center"/>
      </w:pPr>
      <w:r>
        <w:object>
          <v:shape id="_x0000_i1025" o:spt="75" type="#_x0000_t75" style="height:597.3pt;width:401.85pt;" o:ole="t" filled="f" o:preferrelative="t" stroked="f" coordsize="21600,21600">
            <v:path/>
            <v:fill on="f" focussize="0,0"/>
            <v:stroke on="f" joinstyle="miter"/>
            <v:imagedata r:id="rId23" o:title=""/>
            <o:lock v:ext="edit" aspectratio="t"/>
            <w10:wrap type="none"/>
            <w10:anchorlock/>
          </v:shape>
          <o:OLEObject Type="Embed" ProgID="Visio.Drawing.15" ShapeID="_x0000_i1025" DrawAspect="Content" ObjectID="_1468075725" r:id="rId22">
            <o:LockedField>false</o:LockedField>
          </o:OLEObject>
        </w:object>
      </w:r>
    </w:p>
    <w:p>
      <w:pPr>
        <w:ind w:firstLine="0" w:firstLineChars="0"/>
        <w:jc w:val="center"/>
        <w:rPr>
          <w:rFonts w:ascii="黑体" w:hAnsi="黑体" w:eastAsia="黑体"/>
          <w:bCs/>
          <w:sz w:val="24"/>
          <w:szCs w:val="18"/>
        </w:rPr>
      </w:pPr>
      <w:r>
        <w:rPr>
          <w:rFonts w:hint="eastAsia" w:ascii="黑体" w:hAnsi="黑体" w:eastAsia="黑体"/>
          <w:bCs/>
          <w:sz w:val="24"/>
          <w:szCs w:val="18"/>
        </w:rPr>
        <w:t>设项目环境影响评价文件技术评估工作程序</w:t>
      </w:r>
    </w:p>
    <w:p>
      <w:pPr>
        <w:ind w:firstLine="560"/>
      </w:pPr>
      <w:r>
        <w:rPr>
          <w:rFonts w:hint="eastAsia"/>
        </w:rPr>
        <w:t>技术评估机构在20个工作日内完成项目技术审查、专家评审或现场踏勘等审查工作，出具建设项目环境影响评价文件技术评估意见，技术评估时间不计入审批时限。</w:t>
      </w:r>
    </w:p>
    <w:p>
      <w:pPr>
        <w:pStyle w:val="4"/>
      </w:pPr>
      <w:bookmarkStart w:id="139" w:name="_Toc523429072"/>
      <w:bookmarkStart w:id="140" w:name="_Toc524077916"/>
      <w:bookmarkStart w:id="141" w:name="_Toc120270892"/>
      <w:r>
        <w:rPr>
          <w:rFonts w:hint="eastAsia"/>
        </w:rPr>
        <w:t>1.</w:t>
      </w:r>
      <w:bookmarkEnd w:id="139"/>
      <w:r>
        <w:rPr>
          <w:rFonts w:hint="eastAsia"/>
        </w:rPr>
        <w:t>书面审查</w:t>
      </w:r>
      <w:bookmarkEnd w:id="140"/>
      <w:bookmarkEnd w:id="141"/>
    </w:p>
    <w:p>
      <w:pPr>
        <w:ind w:firstLine="560"/>
      </w:pPr>
      <w:r>
        <w:rPr>
          <w:rFonts w:hint="eastAsia"/>
        </w:rPr>
        <w:t>技术评估机构自领取申请材料之日起，组织专业技术人员对环境影响评价文件进行技术审查。</w:t>
      </w:r>
    </w:p>
    <w:p>
      <w:pPr>
        <w:ind w:firstLine="560"/>
      </w:pPr>
      <w:r>
        <w:rPr>
          <w:rFonts w:hint="eastAsia"/>
        </w:rPr>
        <w:t>审查内容：重点审查环评文件是否存在《建设项目环境保护管理条例》（2017版）第十一条环境保护行政主管部门应当对环境影响报告书、环境影响报告表作出不予批准的决定的情形；重点审查环评文件是否存在违反《建设项目环境影响报告书（表）编制监督管理办法》（生态环境部令第9号）有关规定的情形；重点对照审查《关于开展2017年度全国环境影响评价文件技术复核工作的通知》（环办环评函〔</w:t>
      </w:r>
      <w:r>
        <w:t>2017</w:t>
      </w:r>
      <w:r>
        <w:rPr>
          <w:rFonts w:hint="eastAsia"/>
        </w:rPr>
        <w:t>〕677号）中对建设项目环境影响报告书（表）的复核内容中的1-6条。</w:t>
      </w:r>
    </w:p>
    <w:p>
      <w:pPr>
        <w:pStyle w:val="4"/>
      </w:pPr>
      <w:bookmarkStart w:id="142" w:name="_Toc120270893"/>
      <w:bookmarkStart w:id="143" w:name="_Toc524077917"/>
      <w:bookmarkStart w:id="144" w:name="_Toc523429073"/>
      <w:r>
        <w:rPr>
          <w:rFonts w:hint="eastAsia"/>
        </w:rPr>
        <w:t>2.现场踏勘</w:t>
      </w:r>
      <w:bookmarkEnd w:id="142"/>
      <w:bookmarkEnd w:id="143"/>
      <w:bookmarkEnd w:id="144"/>
    </w:p>
    <w:p>
      <w:pPr>
        <w:ind w:firstLine="560"/>
      </w:pPr>
      <w:r>
        <w:rPr>
          <w:rFonts w:hint="eastAsia"/>
        </w:rPr>
        <w:t>根据《建设项目环境影响技术评估导则》（HJ</w:t>
      </w:r>
      <w:r>
        <w:t xml:space="preserve"> </w:t>
      </w:r>
      <w:r>
        <w:rPr>
          <w:rFonts w:hint="eastAsia"/>
        </w:rPr>
        <w:t>616-2011 2011年9月1日实施）5.4环境影响技术评估方法要求，结合建设项目实际情况，确定是否开展现场踏勘工作，对于需要进行现场踏勘的建设项目，评估技术人员组织现场踏勘。</w:t>
      </w:r>
    </w:p>
    <w:p>
      <w:pPr>
        <w:ind w:firstLine="560"/>
      </w:pPr>
      <w:r>
        <w:rPr>
          <w:rFonts w:hint="eastAsia"/>
        </w:rPr>
        <w:t>参加现场踏勘人员包括：环境影响评价文件编制单位的项目负责人，项目所在地环保部门代表、技术评估机构代表、建设单位代表、专家等，视情况邀请可研编制单位、设计单位等代表组成，其中环境影响评价文件编制单位的项目负责人必须参加现场踏勘。</w:t>
      </w:r>
    </w:p>
    <w:p>
      <w:pPr>
        <w:ind w:firstLine="560"/>
      </w:pPr>
      <w:r>
        <w:rPr>
          <w:rFonts w:hint="eastAsia"/>
        </w:rPr>
        <w:t>踏勘准备：技术评估机构评估技术人员负责组织踏勘人员进行现场踏勘，准备工作包括：1）提前向现场踏勘专家发放日常考核表；</w:t>
      </w:r>
      <w:r>
        <w:t>2</w:t>
      </w:r>
      <w:r>
        <w:rPr>
          <w:rFonts w:hint="eastAsia"/>
        </w:rPr>
        <w:t>）准备现场踏勘检查重点任务；</w:t>
      </w:r>
      <w:r>
        <w:t>3</w:t>
      </w:r>
      <w:r>
        <w:rPr>
          <w:rFonts w:hint="eastAsia"/>
        </w:rPr>
        <w:t>）通知建设单位、技术单位准备现场检查汇报材料。</w:t>
      </w:r>
    </w:p>
    <w:p>
      <w:pPr>
        <w:ind w:firstLine="560"/>
      </w:pPr>
      <w:r>
        <w:rPr>
          <w:rFonts w:hint="eastAsia"/>
        </w:rPr>
        <w:t>核查实施：现场踏勘前材料准备→现场检查→专家填写环评机构日常考核表。</w:t>
      </w:r>
    </w:p>
    <w:p>
      <w:pPr>
        <w:ind w:firstLine="560"/>
      </w:pPr>
      <w:r>
        <w:rPr>
          <w:rFonts w:hint="eastAsia"/>
        </w:rPr>
        <w:t>现场踏勘检查的内容包括：</w:t>
      </w:r>
    </w:p>
    <w:p>
      <w:pPr>
        <w:ind w:firstLine="560"/>
      </w:pPr>
      <w:r>
        <w:rPr>
          <w:rFonts w:hint="eastAsia"/>
        </w:rPr>
        <w:t>（1）项目选址情况；</w:t>
      </w:r>
    </w:p>
    <w:p>
      <w:pPr>
        <w:ind w:firstLine="560"/>
      </w:pPr>
      <w:r>
        <w:rPr>
          <w:rFonts w:hint="eastAsia"/>
        </w:rPr>
        <w:t>（2）项目周边环境敏感保护目标分布情况和位置关系；</w:t>
      </w:r>
    </w:p>
    <w:p>
      <w:pPr>
        <w:ind w:firstLine="560"/>
      </w:pPr>
      <w:r>
        <w:rPr>
          <w:rFonts w:hint="eastAsia"/>
        </w:rPr>
        <w:t>（3）项目建设情况；</w:t>
      </w:r>
    </w:p>
    <w:p>
      <w:pPr>
        <w:ind w:firstLine="560"/>
      </w:pPr>
      <w:r>
        <w:rPr>
          <w:rFonts w:hint="eastAsia"/>
        </w:rPr>
        <w:t>（4）其他需要关注的问题。</w:t>
      </w:r>
    </w:p>
    <w:p>
      <w:pPr>
        <w:pStyle w:val="4"/>
      </w:pPr>
      <w:bookmarkStart w:id="145" w:name="_Toc523429074"/>
      <w:bookmarkStart w:id="146" w:name="_Toc524077918"/>
      <w:bookmarkStart w:id="147" w:name="_Toc120270894"/>
      <w:r>
        <w:rPr>
          <w:rFonts w:hint="eastAsia"/>
        </w:rPr>
        <w:t>3.</w:t>
      </w:r>
      <w:bookmarkEnd w:id="145"/>
      <w:r>
        <w:rPr>
          <w:rFonts w:hint="eastAsia"/>
        </w:rPr>
        <w:t>专家评审和技术审查</w:t>
      </w:r>
      <w:bookmarkEnd w:id="146"/>
      <w:bookmarkEnd w:id="147"/>
    </w:p>
    <w:p>
      <w:pPr>
        <w:ind w:firstLine="560"/>
      </w:pPr>
      <w:r>
        <w:rPr>
          <w:rFonts w:hint="eastAsia"/>
        </w:rPr>
        <w:t>技术评估机构评估技术人员组织项目所在地生态环境部门、建设单位、建设项目环评文件编制单位、专家等召开环评文件技术评估会。</w:t>
      </w:r>
    </w:p>
    <w:p>
      <w:pPr>
        <w:ind w:firstLine="560"/>
      </w:pPr>
      <w:r>
        <w:rPr>
          <w:rFonts w:hint="eastAsia"/>
        </w:rPr>
        <w:t>审查依据：根据《建设项目环境影响技术评估导则》</w:t>
      </w:r>
      <w:r>
        <w:t>(HJ616-2011 2011-09-01</w:t>
      </w:r>
      <w:r>
        <w:rPr>
          <w:rFonts w:hint="eastAsia"/>
        </w:rPr>
        <w:t>实施</w:t>
      </w:r>
      <w:r>
        <w:t>)5.4</w:t>
      </w:r>
      <w:r>
        <w:rPr>
          <w:rFonts w:hint="eastAsia"/>
        </w:rPr>
        <w:t>条：“环境影响技术方法，主要采用现场调查、专家咨询、资料对比分析、专题调查与研究、模拟验算等方法”开展。</w:t>
      </w:r>
    </w:p>
    <w:p>
      <w:pPr>
        <w:ind w:firstLine="560"/>
      </w:pPr>
      <w:bookmarkStart w:id="148" w:name="_Toc523429075"/>
      <w:r>
        <w:rPr>
          <w:rFonts w:hint="eastAsia"/>
        </w:rPr>
        <w:t>审查内容：</w:t>
      </w:r>
      <w:r>
        <w:t>1</w:t>
      </w:r>
      <w:r>
        <w:rPr>
          <w:rFonts w:hint="eastAsia"/>
        </w:rPr>
        <w:t>）建设项目环评文件（送审稿）技术审查情况；</w:t>
      </w:r>
      <w:r>
        <w:t>2</w:t>
      </w:r>
      <w:r>
        <w:rPr>
          <w:rFonts w:hint="eastAsia"/>
        </w:rPr>
        <w:t>）项目现场踏勘情况；</w:t>
      </w:r>
      <w:r>
        <w:t>3</w:t>
      </w:r>
      <w:r>
        <w:rPr>
          <w:rFonts w:hint="eastAsia"/>
        </w:rPr>
        <w:t>）建设项目工程分析评估；</w:t>
      </w:r>
      <w:r>
        <w:t>4</w:t>
      </w:r>
      <w:r>
        <w:rPr>
          <w:rFonts w:hint="eastAsia"/>
        </w:rPr>
        <w:t>）环境影响分析技术评估；</w:t>
      </w:r>
      <w:r>
        <w:t>5</w:t>
      </w:r>
      <w:r>
        <w:rPr>
          <w:rFonts w:hint="eastAsia"/>
        </w:rPr>
        <w:t>）环保措施技术评估；</w:t>
      </w:r>
      <w:r>
        <w:t>6</w:t>
      </w:r>
      <w:r>
        <w:rPr>
          <w:rFonts w:hint="eastAsia"/>
        </w:rPr>
        <w:t>）环境风险技术评估；</w:t>
      </w:r>
      <w:r>
        <w:t>7</w:t>
      </w:r>
      <w:r>
        <w:rPr>
          <w:rFonts w:hint="eastAsia"/>
        </w:rPr>
        <w:t>）总量控制技术评估；</w:t>
      </w:r>
      <w:r>
        <w:t>8</w:t>
      </w:r>
      <w:r>
        <w:rPr>
          <w:rFonts w:hint="eastAsia"/>
        </w:rPr>
        <w:t>）公众参与技术评估；</w:t>
      </w:r>
      <w:r>
        <w:t>9</w:t>
      </w:r>
      <w:r>
        <w:rPr>
          <w:rFonts w:hint="eastAsia"/>
        </w:rPr>
        <w:t>）环境监管计划技术评估。</w:t>
      </w:r>
    </w:p>
    <w:p>
      <w:pPr>
        <w:ind w:firstLine="560"/>
      </w:pPr>
      <w:r>
        <w:rPr>
          <w:rFonts w:hint="eastAsia"/>
        </w:rPr>
        <w:t>根据项目性质、建设内容以及对环境影响不同，选择不同审查内容开展具体审查。</w:t>
      </w:r>
    </w:p>
    <w:p>
      <w:pPr>
        <w:ind w:firstLine="560"/>
      </w:pPr>
      <w:r>
        <w:rPr>
          <w:rFonts w:hint="eastAsia"/>
        </w:rPr>
        <w:t>审查准备：技术评估机构评估技术人员负责组织专家评审会，准备工作包括：1）会议安排；2）参会专家邀请；3）会议通知拟定；4）会议纪要草拟。</w:t>
      </w:r>
    </w:p>
    <w:p>
      <w:pPr>
        <w:ind w:firstLine="560"/>
      </w:pPr>
      <w:r>
        <w:rPr>
          <w:rFonts w:hint="eastAsia"/>
        </w:rPr>
        <w:t>审查实施：技术评估机构评估技术人员负责组织召开专家评审会，审查主要程序包括：建设单位、建设项目环评文件编制单位汇报、项目负责人提出环评文件存在的重要问题、专家质询、专家发表审核意见、讨论、会议总结环节。</w:t>
      </w:r>
    </w:p>
    <w:p>
      <w:pPr>
        <w:ind w:firstLine="560"/>
      </w:pPr>
      <w:r>
        <w:rPr>
          <w:rFonts w:hint="eastAsia"/>
        </w:rPr>
        <w:t>审查结论和审查报告：技术评估会会议纪要。</w:t>
      </w:r>
    </w:p>
    <w:p>
      <w:pPr>
        <w:pStyle w:val="4"/>
      </w:pPr>
      <w:bookmarkStart w:id="149" w:name="_Toc120270895"/>
      <w:bookmarkStart w:id="150" w:name="_Toc524077919"/>
      <w:r>
        <w:rPr>
          <w:rFonts w:hint="eastAsia"/>
        </w:rPr>
        <w:t>4.</w:t>
      </w:r>
      <w:bookmarkEnd w:id="148"/>
      <w:r>
        <w:rPr>
          <w:rFonts w:hint="eastAsia"/>
        </w:rPr>
        <w:t>评估意见编制和审核</w:t>
      </w:r>
      <w:bookmarkEnd w:id="149"/>
      <w:bookmarkEnd w:id="150"/>
    </w:p>
    <w:p>
      <w:pPr>
        <w:ind w:firstLine="560"/>
      </w:pPr>
      <w:r>
        <w:rPr>
          <w:rFonts w:hint="eastAsia"/>
        </w:rPr>
        <w:t>技术评估机构评估技术人员在专家评审和技术审查后，完成环评文件技术评估意见的编制。</w:t>
      </w:r>
    </w:p>
    <w:p>
      <w:pPr>
        <w:ind w:firstLine="560"/>
      </w:pPr>
      <w:r>
        <w:rPr>
          <w:rFonts w:hint="eastAsia"/>
        </w:rPr>
        <w:t>评估意见编制内容包括：起草评估意见→部门负责人审核→分管领导审核→单位负责人审核。</w:t>
      </w:r>
    </w:p>
    <w:p>
      <w:pPr>
        <w:pStyle w:val="4"/>
      </w:pPr>
      <w:bookmarkStart w:id="151" w:name="_Toc523429076"/>
      <w:bookmarkStart w:id="152" w:name="_Toc120270896"/>
      <w:bookmarkStart w:id="153" w:name="_Toc524077920"/>
      <w:r>
        <w:rPr>
          <w:rFonts w:hint="eastAsia"/>
        </w:rPr>
        <w:t>5.评估意见报送</w:t>
      </w:r>
      <w:bookmarkEnd w:id="151"/>
      <w:bookmarkEnd w:id="152"/>
      <w:bookmarkEnd w:id="153"/>
    </w:p>
    <w:p>
      <w:pPr>
        <w:ind w:firstLine="560"/>
      </w:pPr>
      <w:r>
        <w:rPr>
          <w:rFonts w:hint="eastAsia"/>
        </w:rPr>
        <w:t>技术评估机构通过内审、签发等环节完成建设项目环境影响评价文件技术评估意见审核并印发，向昆明市生态环境局</w:t>
      </w:r>
      <w:r>
        <w:rPr>
          <w:rFonts w:hint="eastAsia"/>
          <w:lang w:eastAsia="zh-CN"/>
        </w:rPr>
        <w:t>经开分局</w:t>
      </w:r>
      <w:r>
        <w:rPr>
          <w:rFonts w:hint="eastAsia"/>
        </w:rPr>
        <w:t>报送技术评估意见和经审核修改完成的建设项目环境影响评价文件。</w:t>
      </w:r>
    </w:p>
    <w:p>
      <w:pPr>
        <w:pStyle w:val="3"/>
      </w:pPr>
      <w:bookmarkStart w:id="154" w:name="_Toc43283062"/>
      <w:bookmarkStart w:id="155" w:name="_Toc43285466"/>
      <w:bookmarkStart w:id="156" w:name="_Toc524077921"/>
      <w:bookmarkStart w:id="157" w:name="_Toc120270897"/>
      <w:r>
        <w:rPr>
          <w:rFonts w:hint="eastAsia"/>
        </w:rPr>
        <w:t>（四）行政审查</w:t>
      </w:r>
      <w:bookmarkEnd w:id="154"/>
      <w:bookmarkEnd w:id="155"/>
      <w:bookmarkEnd w:id="156"/>
      <w:bookmarkEnd w:id="157"/>
    </w:p>
    <w:p>
      <w:pPr>
        <w:ind w:firstLine="560"/>
      </w:pPr>
      <w:r>
        <w:rPr>
          <w:rFonts w:hint="eastAsia"/>
        </w:rPr>
        <w:t>审查依据：《建设项目环境保护管理条例》（</w:t>
      </w:r>
      <w:r>
        <w:t>1998</w:t>
      </w:r>
      <w:r>
        <w:rPr>
          <w:rFonts w:hint="eastAsia"/>
        </w:rPr>
        <w:t>年国务院令第</w:t>
      </w:r>
      <w:r>
        <w:t>253</w:t>
      </w:r>
      <w:r>
        <w:rPr>
          <w:rFonts w:hint="eastAsia"/>
        </w:rPr>
        <w:t>号，</w:t>
      </w:r>
      <w:r>
        <w:t>2017</w:t>
      </w:r>
      <w:r>
        <w:rPr>
          <w:rFonts w:hint="eastAsia"/>
        </w:rPr>
        <w:t>年修订）第九条：依法应当编制环境影响报告书、环境影响报告表的建设项目，建设单位应当在开工建设前将环境影响报告书、环境影响报告表报有审批权的环境保护行政主管部门审批。</w:t>
      </w:r>
    </w:p>
    <w:p>
      <w:pPr>
        <w:ind w:firstLine="560"/>
        <w:rPr>
          <w:rFonts w:hint="default" w:eastAsia="仿宋_GB2312"/>
          <w:color w:val="0000FF"/>
          <w:lang w:val="en-US" w:eastAsia="zh-CN"/>
        </w:rPr>
      </w:pPr>
      <w:r>
        <w:rPr>
          <w:rFonts w:hint="eastAsia"/>
        </w:rPr>
        <w:t>审查形式：</w:t>
      </w:r>
      <w:r>
        <w:rPr>
          <w:rFonts w:hint="eastAsia"/>
          <w:lang w:eastAsia="zh-CN"/>
        </w:rPr>
        <w:t>书面审查，按建设项目污染程度、敏感程度，昆明市生态环境局经开分局将其分成</w:t>
      </w:r>
      <w:r>
        <w:rPr>
          <w:rFonts w:hint="eastAsia"/>
          <w:lang w:val="en-US" w:eastAsia="zh-CN"/>
        </w:rPr>
        <w:t>3类管理，通过局长办公会、局长专题会、局长审批等不同审查审定形式进行项目审批。</w:t>
      </w:r>
    </w:p>
    <w:p>
      <w:pPr>
        <w:ind w:firstLine="560"/>
        <w:rPr>
          <w:color w:val="auto"/>
        </w:rPr>
      </w:pPr>
      <w:r>
        <w:rPr>
          <w:rFonts w:hint="eastAsia"/>
        </w:rPr>
        <w:t>审查实施机构：昆明</w:t>
      </w:r>
      <w:r>
        <w:rPr>
          <w:rFonts w:hint="eastAsia"/>
          <w:color w:val="auto"/>
        </w:rPr>
        <w:t>市生态环境局</w:t>
      </w:r>
      <w:r>
        <w:rPr>
          <w:rFonts w:hint="eastAsia"/>
          <w:color w:val="auto"/>
          <w:lang w:eastAsia="zh-CN"/>
        </w:rPr>
        <w:t>经开分局生态环境联络二科</w:t>
      </w:r>
      <w:r>
        <w:rPr>
          <w:rFonts w:hint="eastAsia"/>
          <w:color w:val="auto"/>
        </w:rPr>
        <w:t>。</w:t>
      </w:r>
    </w:p>
    <w:p>
      <w:pPr>
        <w:pStyle w:val="3"/>
        <w:rPr>
          <w:color w:val="auto"/>
        </w:rPr>
      </w:pPr>
      <w:bookmarkStart w:id="158" w:name="_Toc524077922"/>
      <w:bookmarkStart w:id="159" w:name="_Toc43283063"/>
      <w:bookmarkStart w:id="160" w:name="_Toc120270898"/>
      <w:bookmarkStart w:id="161" w:name="_Toc43285467"/>
      <w:r>
        <w:rPr>
          <w:rFonts w:hint="eastAsia"/>
          <w:color w:val="auto"/>
        </w:rPr>
        <w:t>（五）决定前公示</w:t>
      </w:r>
      <w:bookmarkEnd w:id="158"/>
      <w:bookmarkEnd w:id="159"/>
      <w:bookmarkEnd w:id="160"/>
      <w:bookmarkEnd w:id="161"/>
    </w:p>
    <w:p>
      <w:pPr>
        <w:ind w:firstLine="560"/>
      </w:pPr>
      <w:r>
        <w:rPr>
          <w:rFonts w:hint="eastAsia"/>
          <w:color w:val="auto"/>
        </w:rPr>
        <w:t>昆明市生态环境局</w:t>
      </w:r>
      <w:r>
        <w:rPr>
          <w:rFonts w:hint="eastAsia"/>
          <w:color w:val="auto"/>
          <w:lang w:eastAsia="zh-CN"/>
        </w:rPr>
        <w:t>经开分局生态环境联络二科</w:t>
      </w:r>
      <w:r>
        <w:rPr>
          <w:rFonts w:hint="eastAsia"/>
          <w:color w:val="auto"/>
        </w:rPr>
        <w:t>在</w:t>
      </w:r>
      <w:r>
        <w:rPr>
          <w:rFonts w:hint="eastAsia"/>
        </w:rPr>
        <w:t>行政审查后，对符合建设项目环境影响文件审批要求的，在昆明市生态环境局门户网站“信息公开”栏目公示，公示内容包括：项目名称、建设地点、建设单位、环境影响评价机构名称、项目概况、项目主要环境影响、项目预防及减轻不良环境影响的对策和措施，公示时间</w:t>
      </w:r>
      <w:r>
        <w:t>5</w:t>
      </w:r>
      <w:r>
        <w:rPr>
          <w:rFonts w:hint="eastAsia"/>
        </w:rPr>
        <w:t>个工作日。决定前公示为行政审批特别程序，不计入审批时限。</w:t>
      </w:r>
    </w:p>
    <w:p>
      <w:pPr>
        <w:pStyle w:val="3"/>
      </w:pPr>
      <w:bookmarkStart w:id="162" w:name="_Toc120270899"/>
      <w:bookmarkStart w:id="163" w:name="_Toc524077923"/>
      <w:bookmarkStart w:id="164" w:name="_Toc43283064"/>
      <w:bookmarkStart w:id="165" w:name="_Toc43285468"/>
      <w:r>
        <w:rPr>
          <w:rFonts w:hint="eastAsia"/>
        </w:rPr>
        <w:t>（六）决定</w:t>
      </w:r>
      <w:bookmarkEnd w:id="162"/>
      <w:bookmarkEnd w:id="163"/>
      <w:bookmarkEnd w:id="164"/>
      <w:bookmarkEnd w:id="165"/>
    </w:p>
    <w:bookmarkEnd w:id="132"/>
    <w:bookmarkEnd w:id="133"/>
    <w:bookmarkEnd w:id="134"/>
    <w:p>
      <w:pPr>
        <w:ind w:firstLine="560"/>
      </w:pPr>
      <w:r>
        <w:rPr>
          <w:rFonts w:hint="eastAsia"/>
        </w:rPr>
        <w:t>建设项目环境影响文件审批决定有审批和不予审批两种结果。</w:t>
      </w:r>
    </w:p>
    <w:p>
      <w:pPr>
        <w:ind w:firstLine="560"/>
      </w:pPr>
      <w:r>
        <w:rPr>
          <w:rFonts w:hint="eastAsia"/>
        </w:rPr>
        <w:t>对予以审批的建设项目环境影响评价文件，作出“建设项目环境影响评价文件（报告书</w:t>
      </w:r>
      <w:r>
        <w:t>/</w:t>
      </w:r>
      <w:r>
        <w:rPr>
          <w:rFonts w:hint="eastAsia"/>
        </w:rPr>
        <w:t>报告表）批复”。</w:t>
      </w:r>
    </w:p>
    <w:p>
      <w:pPr>
        <w:ind w:firstLine="560"/>
      </w:pPr>
      <w:r>
        <w:rPr>
          <w:rFonts w:hint="eastAsia"/>
        </w:rPr>
        <w:t>对不予许可的建设项目环境影响评价文件，说明理由并作出《不予行政许可通知》。</w:t>
      </w:r>
    </w:p>
    <w:p>
      <w:pPr>
        <w:pStyle w:val="2"/>
      </w:pPr>
      <w:bookmarkStart w:id="166" w:name="_Toc43283065"/>
      <w:bookmarkStart w:id="167" w:name="_Toc524077924"/>
      <w:bookmarkStart w:id="168" w:name="_Toc43285469"/>
      <w:bookmarkStart w:id="169" w:name="_Toc120270900"/>
      <w:r>
        <w:rPr>
          <w:rFonts w:hint="eastAsia"/>
        </w:rPr>
        <w:t>十三、许可证件制作与送达</w:t>
      </w:r>
      <w:bookmarkEnd w:id="166"/>
      <w:bookmarkEnd w:id="167"/>
      <w:bookmarkEnd w:id="168"/>
      <w:bookmarkEnd w:id="169"/>
      <w:bookmarkStart w:id="170" w:name="_Toc520391814"/>
    </w:p>
    <w:p>
      <w:pPr>
        <w:pStyle w:val="3"/>
      </w:pPr>
      <w:bookmarkStart w:id="171" w:name="_Toc43283066"/>
      <w:bookmarkStart w:id="172" w:name="_Toc43285470"/>
      <w:bookmarkStart w:id="173" w:name="_Toc524077925"/>
      <w:bookmarkStart w:id="174" w:name="_Toc120270901"/>
      <w:r>
        <w:rPr>
          <w:rFonts w:hint="eastAsia"/>
          <w:lang w:val="en-GB"/>
        </w:rPr>
        <w:t>（一）</w:t>
      </w:r>
      <w:r>
        <w:rPr>
          <w:rFonts w:hint="eastAsia"/>
        </w:rPr>
        <w:t>许可证制作与送达</w:t>
      </w:r>
      <w:bookmarkEnd w:id="170"/>
      <w:bookmarkEnd w:id="171"/>
      <w:bookmarkEnd w:id="172"/>
      <w:bookmarkEnd w:id="173"/>
      <w:bookmarkEnd w:id="174"/>
    </w:p>
    <w:p>
      <w:pPr>
        <w:ind w:firstLine="560"/>
        <w:rPr>
          <w:rFonts w:hint="eastAsia" w:ascii="Times New Roman" w:hAnsi="Times New Roman" w:cs="Times New Roman"/>
        </w:rPr>
      </w:pPr>
      <w:r>
        <w:rPr>
          <w:rFonts w:hint="eastAsia"/>
        </w:rPr>
        <w:t>昆明市生态环境局</w:t>
      </w:r>
      <w:r>
        <w:rPr>
          <w:rFonts w:hint="eastAsia"/>
          <w:lang w:eastAsia="zh-CN"/>
        </w:rPr>
        <w:t>经开分局</w:t>
      </w:r>
      <w:r>
        <w:rPr>
          <w:rFonts w:hint="eastAsia"/>
        </w:rPr>
        <w:t>审批后，</w:t>
      </w:r>
      <w:r>
        <w:rPr>
          <w:rFonts w:hint="eastAsia"/>
          <w:color w:val="auto"/>
          <w:lang w:eastAsia="zh-CN"/>
        </w:rPr>
        <w:t>生态环境联络二科</w:t>
      </w:r>
      <w:r>
        <w:rPr>
          <w:rFonts w:hint="eastAsia"/>
        </w:rPr>
        <w:t>负责制作印发《昆明市生态环境局关于对XXX建设项目环境影响评价文件（报告书/报告表）的批复》，并由局行政审批处加盖本机关行政印章后</w:t>
      </w:r>
      <w:r>
        <w:rPr>
          <w:rFonts w:hint="eastAsia" w:ascii="Times New Roman" w:hAnsi="Times New Roman" w:cs="Times New Roman"/>
        </w:rPr>
        <w:t>发送</w:t>
      </w:r>
      <w:r>
        <w:rPr>
          <w:rFonts w:hint="eastAsia" w:ascii="Times New Roman" w:hAnsi="Times New Roman" w:cs="Times New Roman"/>
          <w:lang w:val="en-US" w:eastAsia="zh-CN"/>
        </w:rPr>
        <w:t>昆明经开区、中国（云南）自贸区昆明片区综合</w:t>
      </w:r>
      <w:r>
        <w:rPr>
          <w:rFonts w:hint="eastAsia" w:ascii="Times New Roman" w:hAnsi="Times New Roman" w:cs="Times New Roman"/>
        </w:rPr>
        <w:t>服务中心</w:t>
      </w:r>
      <w:r>
        <w:rPr>
          <w:rFonts w:hint="eastAsia" w:ascii="Times New Roman" w:hAnsi="Times New Roman" w:cs="Times New Roman"/>
          <w:lang w:eastAsia="zh-CN"/>
        </w:rPr>
        <w:t>综合</w:t>
      </w:r>
      <w:r>
        <w:rPr>
          <w:rFonts w:hint="eastAsia" w:ascii="Times New Roman" w:hAnsi="Times New Roman" w:cs="Times New Roman"/>
        </w:rPr>
        <w:t>窗口。</w:t>
      </w:r>
    </w:p>
    <w:p>
      <w:pPr>
        <w:ind w:firstLine="560"/>
      </w:pPr>
      <w:r>
        <w:rPr>
          <w:rFonts w:hint="eastAsia" w:ascii="Times New Roman" w:hAnsi="Times New Roman" w:cs="Times New Roman"/>
          <w:lang w:val="en-US" w:eastAsia="zh-CN"/>
        </w:rPr>
        <w:t>综合</w:t>
      </w:r>
      <w:r>
        <w:rPr>
          <w:rFonts w:hint="eastAsia" w:ascii="Times New Roman" w:hAnsi="Times New Roman" w:cs="Times New Roman"/>
        </w:rPr>
        <w:t>服务中心</w:t>
      </w:r>
      <w:r>
        <w:rPr>
          <w:rFonts w:hint="eastAsia" w:ascii="Times New Roman" w:hAnsi="Times New Roman" w:cs="Times New Roman"/>
          <w:lang w:eastAsia="zh-CN"/>
        </w:rPr>
        <w:t>综合</w:t>
      </w:r>
      <w:r>
        <w:rPr>
          <w:rFonts w:hint="eastAsia"/>
        </w:rPr>
        <w:t>窗口工作人员负责通知申请单位现场领取《昆明市生态环境局关于对XXX建设项目环境影响评价文件（报告书/报告表）的批复》和办理《昆明市生态环境局行政许可送达回证》（样表详见附件）。不予行政许可的告知申请人领取正式文件书面告知和办理《昆明市生态环境局</w:t>
      </w:r>
      <w:r>
        <w:rPr>
          <w:rFonts w:hint="eastAsia"/>
          <w:lang w:eastAsia="zh-CN"/>
        </w:rPr>
        <w:t>经开分局</w:t>
      </w:r>
      <w:r>
        <w:rPr>
          <w:rFonts w:hint="eastAsia"/>
        </w:rPr>
        <w:t>行政许可送达回证》。</w:t>
      </w:r>
    </w:p>
    <w:p>
      <w:pPr>
        <w:pStyle w:val="3"/>
      </w:pPr>
      <w:bookmarkStart w:id="175" w:name="_Toc120270902"/>
      <w:bookmarkStart w:id="176" w:name="_Toc43283067"/>
      <w:bookmarkStart w:id="177" w:name="_Toc520391815"/>
      <w:bookmarkStart w:id="178" w:name="_Toc520360134"/>
      <w:bookmarkStart w:id="179" w:name="_Toc520365060"/>
      <w:bookmarkStart w:id="180" w:name="_Toc43285471"/>
      <w:bookmarkStart w:id="181" w:name="_Toc524077926"/>
      <w:r>
        <w:rPr>
          <w:rFonts w:hint="eastAsia"/>
          <w:lang w:val="en-GB"/>
        </w:rPr>
        <w:t>（二）</w:t>
      </w:r>
      <w:r>
        <w:rPr>
          <w:rFonts w:hint="eastAsia"/>
        </w:rPr>
        <w:t>归档</w:t>
      </w:r>
      <w:bookmarkEnd w:id="175"/>
      <w:bookmarkEnd w:id="176"/>
      <w:bookmarkEnd w:id="177"/>
      <w:bookmarkEnd w:id="178"/>
      <w:bookmarkEnd w:id="179"/>
      <w:bookmarkEnd w:id="180"/>
      <w:bookmarkEnd w:id="181"/>
    </w:p>
    <w:p>
      <w:pPr>
        <w:pStyle w:val="4"/>
      </w:pPr>
      <w:r>
        <w:rPr>
          <w:rFonts w:hint="eastAsia"/>
        </w:rPr>
        <w:t>1.归档时限</w:t>
      </w:r>
    </w:p>
    <w:p>
      <w:pPr>
        <w:ind w:firstLine="560"/>
      </w:pPr>
      <w:r>
        <w:rPr>
          <w:rFonts w:hint="eastAsia"/>
        </w:rPr>
        <w:t>许可办结后，行政审批处经办人按行政许可档案卷宗要求，一周内将申请材料和许可过程中发生的所有材料整理并进行归档。</w:t>
      </w:r>
    </w:p>
    <w:p>
      <w:pPr>
        <w:pStyle w:val="4"/>
      </w:pPr>
      <w:r>
        <w:rPr>
          <w:rFonts w:hint="eastAsia"/>
        </w:rPr>
        <w:t>2.档案目录清单</w:t>
      </w:r>
    </w:p>
    <w:p>
      <w:pPr>
        <w:ind w:firstLine="0" w:firstLineChars="0"/>
        <w:jc w:val="center"/>
      </w:pPr>
      <w:r>
        <w:rPr>
          <w:rFonts w:hint="eastAsia" w:ascii="黑体" w:hAnsi="黑体" w:eastAsia="黑体"/>
          <w:sz w:val="24"/>
          <w:szCs w:val="18"/>
        </w:rPr>
        <w:t>项目环评档案目录清单</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7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Pr>
          <w:p>
            <w:pPr>
              <w:spacing w:line="240" w:lineRule="auto"/>
              <w:ind w:firstLine="0" w:firstLineChars="0"/>
              <w:jc w:val="center"/>
              <w:rPr>
                <w:rFonts w:ascii="黑体" w:hAnsi="黑体" w:eastAsia="黑体" w:cs="黑体"/>
              </w:rPr>
            </w:pPr>
            <w:r>
              <w:rPr>
                <w:rFonts w:hint="eastAsia" w:ascii="黑体" w:hAnsi="黑体" w:eastAsia="黑体" w:cs="黑体"/>
              </w:rPr>
              <w:t>序号</w:t>
            </w:r>
          </w:p>
        </w:tc>
        <w:tc>
          <w:tcPr>
            <w:tcW w:w="7846" w:type="dxa"/>
          </w:tcPr>
          <w:p>
            <w:pPr>
              <w:spacing w:line="240" w:lineRule="auto"/>
              <w:ind w:firstLine="0" w:firstLineChars="0"/>
              <w:jc w:val="center"/>
              <w:rPr>
                <w:rFonts w:ascii="黑体" w:hAnsi="黑体" w:eastAsia="黑体" w:cs="黑体"/>
              </w:rPr>
            </w:pPr>
            <w:r>
              <w:rPr>
                <w:rFonts w:hint="eastAsia" w:ascii="黑体" w:hAnsi="黑体" w:eastAsia="黑体" w:cs="黑体"/>
              </w:rPr>
              <w:t>材料名称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Pr>
          <w:p>
            <w:pPr>
              <w:spacing w:line="240" w:lineRule="auto"/>
              <w:ind w:firstLine="0" w:firstLineChars="0"/>
              <w:jc w:val="center"/>
              <w:rPr>
                <w:rFonts w:cs="Calibri"/>
              </w:rPr>
            </w:pPr>
            <w:r>
              <w:rPr>
                <w:rFonts w:cs="Calibri"/>
                <w:snapToGrid w:val="0"/>
                <w:szCs w:val="28"/>
              </w:rPr>
              <w:t>1</w:t>
            </w:r>
          </w:p>
        </w:tc>
        <w:tc>
          <w:tcPr>
            <w:tcW w:w="7846" w:type="dxa"/>
          </w:tcPr>
          <w:p>
            <w:pPr>
              <w:spacing w:line="240" w:lineRule="auto"/>
              <w:ind w:firstLine="0" w:firstLineChars="0"/>
              <w:jc w:val="left"/>
              <w:rPr>
                <w:rFonts w:cs="Calibri"/>
              </w:rPr>
            </w:pPr>
            <w:r>
              <w:rPr>
                <w:rFonts w:hint="eastAsia" w:ascii="宋体" w:hAnsi="宋体" w:cs="Calibri"/>
                <w:snapToGrid w:val="0"/>
                <w:szCs w:val="28"/>
              </w:rPr>
              <w:t>建设单位报批建设项目环评文件的申请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Pr>
          <w:p>
            <w:pPr>
              <w:spacing w:line="240" w:lineRule="auto"/>
              <w:ind w:firstLine="0" w:firstLineChars="0"/>
              <w:jc w:val="center"/>
              <w:rPr>
                <w:rFonts w:cs="Calibri"/>
              </w:rPr>
            </w:pPr>
            <w:r>
              <w:rPr>
                <w:rFonts w:cs="Calibri"/>
                <w:snapToGrid w:val="0"/>
                <w:szCs w:val="28"/>
              </w:rPr>
              <w:t>2</w:t>
            </w:r>
          </w:p>
        </w:tc>
        <w:tc>
          <w:tcPr>
            <w:tcW w:w="7846" w:type="dxa"/>
          </w:tcPr>
          <w:p>
            <w:pPr>
              <w:spacing w:line="240" w:lineRule="auto"/>
              <w:ind w:firstLine="0" w:firstLineChars="0"/>
              <w:jc w:val="left"/>
              <w:rPr>
                <w:rFonts w:cs="Calibri"/>
              </w:rPr>
            </w:pPr>
            <w:r>
              <w:rPr>
                <w:rFonts w:hint="eastAsia" w:ascii="宋体" w:hAnsi="宋体" w:cs="Calibri"/>
                <w:snapToGrid w:val="0"/>
                <w:szCs w:val="28"/>
              </w:rPr>
              <w:t>政务窗口材料收取回执单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Pr>
          <w:p>
            <w:pPr>
              <w:spacing w:line="240" w:lineRule="auto"/>
              <w:ind w:firstLine="0" w:firstLineChars="0"/>
              <w:jc w:val="center"/>
              <w:rPr>
                <w:rFonts w:cs="Calibri"/>
              </w:rPr>
            </w:pPr>
            <w:r>
              <w:rPr>
                <w:rFonts w:cs="Calibri"/>
                <w:snapToGrid w:val="0"/>
                <w:szCs w:val="28"/>
              </w:rPr>
              <w:t>3</w:t>
            </w:r>
          </w:p>
        </w:tc>
        <w:tc>
          <w:tcPr>
            <w:tcW w:w="7846" w:type="dxa"/>
          </w:tcPr>
          <w:p>
            <w:pPr>
              <w:spacing w:line="240" w:lineRule="auto"/>
              <w:ind w:firstLine="0" w:firstLineChars="0"/>
              <w:jc w:val="left"/>
              <w:rPr>
                <w:rFonts w:cs="Calibri"/>
              </w:rPr>
            </w:pPr>
            <w:r>
              <w:rPr>
                <w:rFonts w:hint="eastAsia" w:ascii="宋体" w:hAnsi="宋体" w:cs="Calibri"/>
                <w:snapToGrid w:val="0"/>
                <w:szCs w:val="28"/>
              </w:rPr>
              <w:t>行政许可受理通知单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Pr>
          <w:p>
            <w:pPr>
              <w:spacing w:line="240" w:lineRule="auto"/>
              <w:ind w:firstLine="0" w:firstLineChars="0"/>
              <w:jc w:val="center"/>
              <w:rPr>
                <w:rFonts w:cs="Calibri"/>
              </w:rPr>
            </w:pPr>
            <w:r>
              <w:rPr>
                <w:rFonts w:cs="Calibri"/>
                <w:snapToGrid w:val="0"/>
                <w:szCs w:val="28"/>
              </w:rPr>
              <w:t>4</w:t>
            </w:r>
          </w:p>
        </w:tc>
        <w:tc>
          <w:tcPr>
            <w:tcW w:w="7846" w:type="dxa"/>
          </w:tcPr>
          <w:p>
            <w:pPr>
              <w:spacing w:line="240" w:lineRule="auto"/>
              <w:ind w:firstLine="0" w:firstLineChars="0"/>
              <w:jc w:val="left"/>
              <w:rPr>
                <w:rFonts w:cs="Calibri"/>
              </w:rPr>
            </w:pPr>
            <w:r>
              <w:rPr>
                <w:rFonts w:hint="eastAsia" w:ascii="宋体" w:hAnsi="宋体" w:cs="Calibri"/>
                <w:snapToGrid w:val="0"/>
                <w:szCs w:val="28"/>
              </w:rPr>
              <w:t>受理公示截图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Pr>
          <w:p>
            <w:pPr>
              <w:spacing w:line="240" w:lineRule="auto"/>
              <w:ind w:firstLine="0" w:firstLineChars="0"/>
              <w:jc w:val="center"/>
              <w:rPr>
                <w:rFonts w:cs="Calibri"/>
              </w:rPr>
            </w:pPr>
            <w:r>
              <w:rPr>
                <w:rFonts w:cs="Calibri"/>
                <w:snapToGrid w:val="0"/>
                <w:szCs w:val="28"/>
              </w:rPr>
              <w:t>5</w:t>
            </w:r>
          </w:p>
        </w:tc>
        <w:tc>
          <w:tcPr>
            <w:tcW w:w="7846" w:type="dxa"/>
          </w:tcPr>
          <w:p>
            <w:pPr>
              <w:spacing w:line="240" w:lineRule="auto"/>
              <w:ind w:firstLine="0" w:firstLineChars="0"/>
              <w:jc w:val="left"/>
              <w:rPr>
                <w:rFonts w:cs="Calibri"/>
              </w:rPr>
            </w:pPr>
            <w:r>
              <w:rPr>
                <w:rFonts w:hint="eastAsia" w:ascii="宋体" w:hAnsi="宋体" w:cs="Calibri"/>
                <w:snapToGrid w:val="0"/>
                <w:szCs w:val="28"/>
              </w:rPr>
              <w:t>建设项目环境影响评价文件（含电子光盘1个）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Pr>
          <w:p>
            <w:pPr>
              <w:spacing w:line="240" w:lineRule="auto"/>
              <w:ind w:firstLine="0" w:firstLineChars="0"/>
              <w:jc w:val="center"/>
              <w:rPr>
                <w:rFonts w:cs="Calibri"/>
              </w:rPr>
            </w:pPr>
            <w:r>
              <w:rPr>
                <w:rFonts w:cs="Calibri"/>
                <w:snapToGrid w:val="0"/>
                <w:szCs w:val="28"/>
              </w:rPr>
              <w:t>6</w:t>
            </w:r>
          </w:p>
        </w:tc>
        <w:tc>
          <w:tcPr>
            <w:tcW w:w="7846" w:type="dxa"/>
          </w:tcPr>
          <w:p>
            <w:pPr>
              <w:spacing w:line="240" w:lineRule="auto"/>
              <w:ind w:firstLine="0" w:firstLineChars="0"/>
              <w:jc w:val="left"/>
              <w:rPr>
                <w:rFonts w:cs="Calibri"/>
              </w:rPr>
            </w:pPr>
            <w:r>
              <w:rPr>
                <w:rFonts w:hint="eastAsia" w:ascii="宋体" w:hAnsi="宋体" w:cs="Calibri"/>
                <w:snapToGrid w:val="0"/>
                <w:szCs w:val="28"/>
              </w:rPr>
              <w:t>技术评估机构出具的技术评估意见（专家评审意见）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Pr>
          <w:p>
            <w:pPr>
              <w:spacing w:line="240" w:lineRule="auto"/>
              <w:ind w:firstLine="0" w:firstLineChars="0"/>
              <w:jc w:val="center"/>
              <w:rPr>
                <w:rFonts w:cs="Calibri"/>
              </w:rPr>
            </w:pPr>
            <w:r>
              <w:rPr>
                <w:rFonts w:cs="Calibri"/>
                <w:snapToGrid w:val="0"/>
                <w:szCs w:val="28"/>
              </w:rPr>
              <w:t>7</w:t>
            </w:r>
          </w:p>
        </w:tc>
        <w:tc>
          <w:tcPr>
            <w:tcW w:w="7846" w:type="dxa"/>
          </w:tcPr>
          <w:p>
            <w:pPr>
              <w:spacing w:line="240" w:lineRule="auto"/>
              <w:ind w:firstLine="0" w:firstLineChars="0"/>
              <w:jc w:val="left"/>
              <w:rPr>
                <w:rFonts w:cs="Calibri"/>
              </w:rPr>
            </w:pPr>
            <w:r>
              <w:rPr>
                <w:rFonts w:hint="eastAsia" w:ascii="宋体" w:hAnsi="宋体" w:cs="Calibri"/>
                <w:snapToGrid w:val="0"/>
                <w:szCs w:val="28"/>
              </w:rPr>
              <w:t>拟审批前公示截图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Pr>
          <w:p>
            <w:pPr>
              <w:spacing w:line="240" w:lineRule="auto"/>
              <w:ind w:firstLine="0" w:firstLineChars="0"/>
              <w:jc w:val="center"/>
              <w:rPr>
                <w:rFonts w:cs="Calibri"/>
              </w:rPr>
            </w:pPr>
            <w:r>
              <w:rPr>
                <w:rFonts w:cs="Calibri"/>
                <w:snapToGrid w:val="0"/>
                <w:szCs w:val="28"/>
              </w:rPr>
              <w:t>8</w:t>
            </w:r>
          </w:p>
        </w:tc>
        <w:tc>
          <w:tcPr>
            <w:tcW w:w="7846" w:type="dxa"/>
          </w:tcPr>
          <w:p>
            <w:pPr>
              <w:spacing w:line="240" w:lineRule="auto"/>
              <w:ind w:firstLine="0" w:firstLineChars="0"/>
              <w:jc w:val="left"/>
              <w:rPr>
                <w:rFonts w:cs="Calibri"/>
              </w:rPr>
            </w:pPr>
            <w:r>
              <w:rPr>
                <w:rFonts w:hint="eastAsia" w:ascii="宋体" w:hAnsi="宋体" w:cs="Calibri"/>
                <w:snapToGrid w:val="0"/>
                <w:szCs w:val="28"/>
              </w:rPr>
              <w:t>内部流程审批单（行政审查）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Pr>
          <w:p>
            <w:pPr>
              <w:spacing w:line="240" w:lineRule="auto"/>
              <w:ind w:firstLine="0" w:firstLineChars="0"/>
              <w:jc w:val="center"/>
              <w:rPr>
                <w:rFonts w:cs="Calibri"/>
              </w:rPr>
            </w:pPr>
            <w:r>
              <w:rPr>
                <w:rFonts w:cs="Calibri"/>
                <w:snapToGrid w:val="0"/>
                <w:szCs w:val="28"/>
              </w:rPr>
              <w:t>9</w:t>
            </w:r>
          </w:p>
        </w:tc>
        <w:tc>
          <w:tcPr>
            <w:tcW w:w="7846" w:type="dxa"/>
          </w:tcPr>
          <w:p>
            <w:pPr>
              <w:spacing w:line="240" w:lineRule="auto"/>
              <w:ind w:firstLine="0" w:firstLineChars="0"/>
              <w:jc w:val="left"/>
              <w:rPr>
                <w:rFonts w:cs="Calibri"/>
              </w:rPr>
            </w:pPr>
            <w:r>
              <w:rPr>
                <w:rFonts w:hint="eastAsia" w:ascii="宋体" w:hAnsi="宋体" w:cs="Calibri"/>
                <w:snapToGrid w:val="0"/>
                <w:szCs w:val="28"/>
              </w:rPr>
              <w:t>建设项目环境影响评价文件批复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Pr>
          <w:p>
            <w:pPr>
              <w:spacing w:line="240" w:lineRule="auto"/>
              <w:ind w:firstLine="0" w:firstLineChars="0"/>
              <w:jc w:val="center"/>
              <w:rPr>
                <w:rFonts w:cs="Calibri"/>
              </w:rPr>
            </w:pPr>
            <w:r>
              <w:rPr>
                <w:rFonts w:cs="Calibri"/>
                <w:snapToGrid w:val="0"/>
                <w:szCs w:val="28"/>
              </w:rPr>
              <w:t>10</w:t>
            </w:r>
          </w:p>
        </w:tc>
        <w:tc>
          <w:tcPr>
            <w:tcW w:w="7846" w:type="dxa"/>
          </w:tcPr>
          <w:p>
            <w:pPr>
              <w:spacing w:line="240" w:lineRule="auto"/>
              <w:ind w:firstLine="0" w:firstLineChars="0"/>
              <w:jc w:val="left"/>
              <w:rPr>
                <w:rFonts w:cs="Calibri"/>
              </w:rPr>
            </w:pPr>
            <w:r>
              <w:rPr>
                <w:rFonts w:hint="eastAsia" w:ascii="宋体" w:hAnsi="宋体" w:cs="Calibri"/>
                <w:snapToGrid w:val="0"/>
                <w:szCs w:val="28"/>
              </w:rPr>
              <w:t>送达回执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Pr>
          <w:p>
            <w:pPr>
              <w:spacing w:line="240" w:lineRule="auto"/>
              <w:ind w:firstLine="0" w:firstLineChars="0"/>
              <w:jc w:val="center"/>
              <w:rPr>
                <w:rFonts w:cs="Calibri"/>
              </w:rPr>
            </w:pPr>
            <w:r>
              <w:rPr>
                <w:rFonts w:cs="Calibri"/>
                <w:snapToGrid w:val="0"/>
                <w:szCs w:val="28"/>
              </w:rPr>
              <w:t>11</w:t>
            </w:r>
          </w:p>
        </w:tc>
        <w:tc>
          <w:tcPr>
            <w:tcW w:w="7846" w:type="dxa"/>
          </w:tcPr>
          <w:p>
            <w:pPr>
              <w:spacing w:line="240" w:lineRule="auto"/>
              <w:ind w:firstLine="0" w:firstLineChars="0"/>
              <w:jc w:val="left"/>
              <w:rPr>
                <w:rFonts w:cs="Calibri"/>
              </w:rPr>
            </w:pPr>
            <w:r>
              <w:rPr>
                <w:rFonts w:hint="eastAsia" w:ascii="宋体" w:hAnsi="宋体" w:cs="Calibri"/>
                <w:snapToGrid w:val="0"/>
                <w:szCs w:val="28"/>
              </w:rPr>
              <w:t>行政执法证件（复印件）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Pr>
          <w:p>
            <w:pPr>
              <w:spacing w:line="240" w:lineRule="auto"/>
              <w:ind w:firstLine="0" w:firstLineChars="0"/>
              <w:jc w:val="center"/>
              <w:outlineLvl w:val="0"/>
              <w:rPr>
                <w:rFonts w:cs="Calibri"/>
                <w:snapToGrid w:val="0"/>
                <w:szCs w:val="28"/>
              </w:rPr>
            </w:pPr>
            <w:r>
              <w:rPr>
                <w:rFonts w:cs="Calibri"/>
                <w:snapToGrid w:val="0"/>
                <w:szCs w:val="28"/>
              </w:rPr>
              <w:t>12</w:t>
            </w:r>
          </w:p>
        </w:tc>
        <w:tc>
          <w:tcPr>
            <w:tcW w:w="7846" w:type="dxa"/>
          </w:tcPr>
          <w:p>
            <w:pPr>
              <w:spacing w:line="240" w:lineRule="auto"/>
              <w:ind w:firstLine="0" w:firstLineChars="0"/>
              <w:jc w:val="left"/>
              <w:outlineLvl w:val="0"/>
              <w:rPr>
                <w:rFonts w:ascii="宋体" w:hAnsi="宋体" w:cs="Calibri"/>
                <w:snapToGrid w:val="0"/>
                <w:szCs w:val="28"/>
              </w:rPr>
            </w:pPr>
            <w:r>
              <w:rPr>
                <w:rFonts w:hint="eastAsia" w:ascii="宋体" w:hAnsi="宋体" w:cs="Calibri"/>
                <w:snapToGrid w:val="0"/>
                <w:szCs w:val="28"/>
              </w:rPr>
              <w:t>结案登记表</w:t>
            </w:r>
          </w:p>
        </w:tc>
      </w:tr>
    </w:tbl>
    <w:p>
      <w:pPr>
        <w:pStyle w:val="2"/>
      </w:pPr>
      <w:bookmarkStart w:id="182" w:name="_Toc372710038"/>
      <w:bookmarkStart w:id="183" w:name="_Toc372807718"/>
      <w:bookmarkStart w:id="184" w:name="_Toc371603689"/>
      <w:bookmarkStart w:id="185" w:name="_Toc375317533"/>
      <w:bookmarkStart w:id="186" w:name="_Toc375828448"/>
      <w:bookmarkStart w:id="187" w:name="_Toc373235497"/>
      <w:bookmarkStart w:id="188" w:name="_Toc373158583"/>
      <w:bookmarkStart w:id="189" w:name="_Toc371670035"/>
      <w:bookmarkStart w:id="190" w:name="_Toc371602878"/>
      <w:bookmarkStart w:id="191" w:name="_Toc372546348"/>
      <w:bookmarkStart w:id="192" w:name="_Toc371688306"/>
      <w:bookmarkStart w:id="193" w:name="_Toc372546420"/>
      <w:bookmarkStart w:id="194" w:name="_Toc372873281"/>
      <w:bookmarkStart w:id="195" w:name="_Toc373414284"/>
      <w:bookmarkStart w:id="196" w:name="_Toc372527700"/>
      <w:bookmarkStart w:id="197" w:name="_Toc373244082"/>
      <w:bookmarkStart w:id="198" w:name="_Toc373487755"/>
      <w:bookmarkStart w:id="199" w:name="_Toc373158683"/>
      <w:bookmarkStart w:id="200" w:name="_Toc373246563"/>
      <w:bookmarkStart w:id="201" w:name="_Toc350499692"/>
      <w:bookmarkStart w:id="202" w:name="_Toc371603073"/>
      <w:bookmarkStart w:id="203" w:name="_Toc371603137"/>
      <w:bookmarkStart w:id="204" w:name="_Toc373765858"/>
      <w:bookmarkStart w:id="205" w:name="_Toc371605305"/>
      <w:bookmarkStart w:id="206" w:name="_Toc43283068"/>
      <w:bookmarkStart w:id="207" w:name="_Toc43285472"/>
      <w:bookmarkStart w:id="208" w:name="_Toc120270903"/>
      <w:bookmarkStart w:id="209" w:name="_Toc524077927"/>
      <w:bookmarkStart w:id="210" w:name="_Toc520360135"/>
      <w:bookmarkStart w:id="211" w:name="_Toc520365061"/>
      <w:bookmarkStart w:id="212" w:name="_Toc520391816"/>
      <w:r>
        <w:rPr>
          <w:rFonts w:hint="eastAsia"/>
        </w:rPr>
        <w:t>十四、中止许可</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rFonts w:hint="eastAsia"/>
        </w:rPr>
        <w:t>或终止许可</w:t>
      </w:r>
      <w:bookmarkEnd w:id="206"/>
      <w:bookmarkEnd w:id="207"/>
      <w:bookmarkEnd w:id="208"/>
      <w:bookmarkEnd w:id="209"/>
    </w:p>
    <w:p>
      <w:pPr>
        <w:ind w:firstLine="560"/>
      </w:pPr>
      <w:r>
        <w:rPr>
          <w:rFonts w:hint="eastAsia"/>
        </w:rPr>
        <w:t>自做出受理公示后，期间收到重大异议，将通过技术评估、技术论证会、听证、听取利害关系人意见、集体审查（会审）等特别程序进行进一步论证，中止许可；经核实，项目符合审批条件的，准予许可；经核实，反映情况属实，项目不符合审批条件的，终止许可。</w:t>
      </w:r>
    </w:p>
    <w:p>
      <w:pPr>
        <w:pStyle w:val="2"/>
      </w:pPr>
      <w:bookmarkStart w:id="213" w:name="_Toc43283069"/>
      <w:bookmarkStart w:id="214" w:name="_Toc120270904"/>
      <w:bookmarkStart w:id="215" w:name="_Toc524077928"/>
      <w:bookmarkStart w:id="216" w:name="_Toc43285473"/>
      <w:r>
        <w:rPr>
          <w:rFonts w:hint="eastAsia"/>
        </w:rPr>
        <w:t>十五、许可</w:t>
      </w:r>
      <w:bookmarkEnd w:id="210"/>
      <w:bookmarkEnd w:id="211"/>
      <w:bookmarkEnd w:id="212"/>
      <w:r>
        <w:rPr>
          <w:rFonts w:hint="eastAsia"/>
        </w:rPr>
        <w:t>服务</w:t>
      </w:r>
      <w:bookmarkEnd w:id="213"/>
      <w:bookmarkEnd w:id="214"/>
      <w:bookmarkEnd w:id="215"/>
      <w:bookmarkEnd w:id="216"/>
    </w:p>
    <w:p>
      <w:pPr>
        <w:pStyle w:val="3"/>
      </w:pPr>
      <w:bookmarkStart w:id="217" w:name="_Toc524077929"/>
      <w:bookmarkStart w:id="218" w:name="_Toc43285474"/>
      <w:bookmarkStart w:id="219" w:name="_Toc120270905"/>
      <w:bookmarkStart w:id="220" w:name="_Toc43283070"/>
      <w:bookmarkStart w:id="221" w:name="_Toc520360136"/>
      <w:bookmarkStart w:id="222" w:name="_Toc520391817"/>
      <w:bookmarkStart w:id="223" w:name="_Toc520365062"/>
      <w:bookmarkStart w:id="224" w:name="_Toc419467027"/>
      <w:bookmarkStart w:id="225" w:name="_Toc378521126"/>
      <w:r>
        <w:rPr>
          <w:rFonts w:hint="eastAsia"/>
        </w:rPr>
        <w:t>（一）许可咨询</w:t>
      </w:r>
      <w:bookmarkEnd w:id="217"/>
      <w:bookmarkEnd w:id="218"/>
      <w:bookmarkEnd w:id="219"/>
      <w:bookmarkEnd w:id="220"/>
    </w:p>
    <w:p>
      <w:pPr>
        <w:pStyle w:val="4"/>
      </w:pPr>
      <w:bookmarkStart w:id="226" w:name="_Toc120270906"/>
      <w:bookmarkStart w:id="227" w:name="_Toc524077930"/>
      <w:r>
        <w:rPr>
          <w:rFonts w:hint="eastAsia"/>
        </w:rPr>
        <w:t>1.咨询方式</w:t>
      </w:r>
      <w:bookmarkEnd w:id="226"/>
      <w:bookmarkEnd w:id="227"/>
    </w:p>
    <w:p>
      <w:pPr>
        <w:ind w:firstLine="560"/>
        <w:rPr>
          <w:rFonts w:hint="eastAsia"/>
        </w:rPr>
      </w:pPr>
      <w:r>
        <w:rPr>
          <w:rFonts w:hint="eastAsia"/>
        </w:rPr>
        <w:t>（1）窗口咨询：</w:t>
      </w:r>
      <w:r>
        <w:rPr>
          <w:rFonts w:hint="eastAsia"/>
          <w:lang w:val="en-US" w:eastAsia="zh-CN"/>
        </w:rPr>
        <w:t>昆明经开区、中国（云南）自贸区昆明片区综合</w:t>
      </w:r>
      <w:r>
        <w:rPr>
          <w:rFonts w:hint="eastAsia"/>
        </w:rPr>
        <w:t>服务中心</w:t>
      </w:r>
      <w:r>
        <w:rPr>
          <w:rFonts w:hint="eastAsia"/>
          <w:lang w:eastAsia="zh-CN"/>
        </w:rPr>
        <w:t>综合</w:t>
      </w:r>
      <w:r>
        <w:rPr>
          <w:rFonts w:hint="eastAsia"/>
        </w:rPr>
        <w:t>窗口。</w:t>
      </w:r>
    </w:p>
    <w:p>
      <w:pPr>
        <w:ind w:firstLine="560"/>
      </w:pPr>
      <w:r>
        <w:rPr>
          <w:rFonts w:hint="eastAsia"/>
        </w:rPr>
        <w:t>（2）电话咨询：0871-6</w:t>
      </w:r>
      <w:r>
        <w:rPr>
          <w:rFonts w:hint="eastAsia"/>
          <w:lang w:val="en-US" w:eastAsia="zh-CN"/>
        </w:rPr>
        <w:t>8163096</w:t>
      </w:r>
      <w:r>
        <w:rPr>
          <w:rFonts w:hint="eastAsia"/>
        </w:rPr>
        <w:t>。</w:t>
      </w:r>
    </w:p>
    <w:p>
      <w:pPr>
        <w:ind w:firstLine="560"/>
        <w:rPr>
          <w:rFonts w:hint="eastAsia"/>
        </w:rPr>
      </w:pPr>
      <w:r>
        <w:rPr>
          <w:rFonts w:hint="eastAsia"/>
        </w:rPr>
        <w:t>（</w:t>
      </w:r>
      <w:r>
        <w:rPr>
          <w:rFonts w:hint="eastAsia"/>
          <w:lang w:val="en-US" w:eastAsia="zh-CN"/>
        </w:rPr>
        <w:t>3</w:t>
      </w:r>
      <w:r>
        <w:rPr>
          <w:rFonts w:hint="eastAsia"/>
        </w:rPr>
        <w:t>）网络咨询：云南省政务服务网上大厅（网址：https://zwfw.yn.gov.cn）。</w:t>
      </w:r>
    </w:p>
    <w:p>
      <w:pPr>
        <w:ind w:firstLine="560"/>
      </w:pPr>
      <w:r>
        <w:rPr>
          <w:rFonts w:hint="eastAsia"/>
        </w:rPr>
        <w:t>（4）信函咨询：</w:t>
      </w:r>
    </w:p>
    <w:p>
      <w:pPr>
        <w:ind w:firstLine="560"/>
      </w:pPr>
      <w:r>
        <w:rPr>
          <w:rFonts w:hint="eastAsia"/>
        </w:rPr>
        <w:t>咨询部门名称：昆明市生态环境局</w:t>
      </w:r>
      <w:r>
        <w:rPr>
          <w:rFonts w:hint="eastAsia"/>
          <w:lang w:eastAsia="zh-CN"/>
        </w:rPr>
        <w:t>经开分局生态环境联络二科</w:t>
      </w:r>
      <w:r>
        <w:rPr>
          <w:rFonts w:hint="eastAsia"/>
        </w:rPr>
        <w:t>；</w:t>
      </w:r>
    </w:p>
    <w:p>
      <w:pPr>
        <w:ind w:firstLine="560"/>
      </w:pPr>
      <w:r>
        <w:rPr>
          <w:rFonts w:hint="eastAsia"/>
        </w:rPr>
        <w:t>通讯地址：昆明市呈贡区</w:t>
      </w:r>
      <w:r>
        <w:rPr>
          <w:rFonts w:hint="eastAsia"/>
          <w:lang w:eastAsia="zh-CN"/>
        </w:rPr>
        <w:t>洛羊街道信息产业基地云湾路优立创意园</w:t>
      </w:r>
      <w:r>
        <w:rPr>
          <w:rFonts w:hint="eastAsia"/>
          <w:lang w:val="en-US" w:eastAsia="zh-CN"/>
        </w:rPr>
        <w:t>9楼昆明市生态环境局经开分局</w:t>
      </w:r>
      <w:r>
        <w:rPr>
          <w:rFonts w:hint="eastAsia"/>
        </w:rPr>
        <w:t>；邮政编码：650</w:t>
      </w:r>
      <w:r>
        <w:rPr>
          <w:rFonts w:hint="eastAsia"/>
          <w:lang w:val="en-US" w:eastAsia="zh-CN"/>
        </w:rPr>
        <w:t>501</w:t>
      </w:r>
      <w:r>
        <w:rPr>
          <w:rFonts w:hint="eastAsia"/>
        </w:rPr>
        <w:t>。</w:t>
      </w:r>
    </w:p>
    <w:p>
      <w:pPr>
        <w:pStyle w:val="4"/>
      </w:pPr>
      <w:bookmarkStart w:id="228" w:name="_Toc120270907"/>
      <w:bookmarkStart w:id="229" w:name="_Toc524077931"/>
      <w:r>
        <w:t>2.</w:t>
      </w:r>
      <w:r>
        <w:rPr>
          <w:rFonts w:hint="eastAsia"/>
        </w:rPr>
        <w:t>咨询回复</w:t>
      </w:r>
      <w:bookmarkEnd w:id="228"/>
      <w:bookmarkEnd w:id="229"/>
    </w:p>
    <w:p>
      <w:pPr>
        <w:ind w:firstLine="560"/>
      </w:pPr>
      <w:r>
        <w:rPr>
          <w:rFonts w:hint="eastAsia"/>
        </w:rPr>
        <w:t>通过窗口和电话咨询的，能当场回复的当场回复，不能当场回复的在15个工作日内回复；通过网络、信函咨询的，在15个工作日内回复。</w:t>
      </w:r>
    </w:p>
    <w:p>
      <w:pPr>
        <w:pStyle w:val="3"/>
      </w:pPr>
      <w:bookmarkStart w:id="230" w:name="_Toc120270908"/>
      <w:bookmarkStart w:id="231" w:name="_Toc43285475"/>
      <w:bookmarkStart w:id="232" w:name="_Toc524077932"/>
      <w:bookmarkStart w:id="233" w:name="_Toc43283071"/>
      <w:r>
        <w:rPr>
          <w:rFonts w:hint="eastAsia"/>
        </w:rPr>
        <w:t>（二）办理进程查询</w:t>
      </w:r>
      <w:bookmarkEnd w:id="230"/>
      <w:bookmarkEnd w:id="231"/>
      <w:bookmarkEnd w:id="232"/>
      <w:bookmarkEnd w:id="233"/>
    </w:p>
    <w:p>
      <w:pPr>
        <w:wordWrap w:val="0"/>
        <w:topLinePunct/>
        <w:ind w:firstLine="560"/>
      </w:pPr>
      <w:r>
        <w:rPr>
          <w:rFonts w:hint="eastAsia"/>
        </w:rPr>
        <w:t>申请人可通过云南政务服务网（https://zwfw.yn.gov.cn）查询审批事项办理进程。</w:t>
      </w:r>
    </w:p>
    <w:bookmarkEnd w:id="221"/>
    <w:bookmarkEnd w:id="222"/>
    <w:bookmarkEnd w:id="223"/>
    <w:bookmarkEnd w:id="224"/>
    <w:bookmarkEnd w:id="225"/>
    <w:p>
      <w:pPr>
        <w:pStyle w:val="2"/>
      </w:pPr>
      <w:bookmarkStart w:id="234" w:name="_Toc524077933"/>
      <w:bookmarkStart w:id="235" w:name="_Toc120270909"/>
      <w:bookmarkStart w:id="236" w:name="_Toc43285476"/>
      <w:bookmarkStart w:id="237" w:name="_Toc43283072"/>
      <w:bookmarkStart w:id="238" w:name="_Toc520360146"/>
      <w:bookmarkStart w:id="239" w:name="_Toc520391827"/>
      <w:bookmarkStart w:id="240" w:name="_Toc520365072"/>
      <w:r>
        <w:rPr>
          <w:rFonts w:hint="eastAsia"/>
        </w:rPr>
        <w:t>十六、事中事后监管</w:t>
      </w:r>
      <w:bookmarkEnd w:id="234"/>
      <w:bookmarkEnd w:id="235"/>
      <w:bookmarkEnd w:id="236"/>
      <w:bookmarkEnd w:id="237"/>
    </w:p>
    <w:p>
      <w:pPr>
        <w:ind w:firstLine="560"/>
      </w:pPr>
      <w:r>
        <w:rPr>
          <w:rFonts w:hint="eastAsia"/>
        </w:rPr>
        <w:t>监管依据：《关于强化建设项目环境影响评价事中事后监管的实施意见》（环环评</w:t>
      </w:r>
      <w:r>
        <w:t>[2018]11</w:t>
      </w:r>
      <w:r>
        <w:rPr>
          <w:rFonts w:hint="eastAsia"/>
        </w:rPr>
        <w:t>号）第三条：“按照“谁审批、谁负责”的原则，各级环评审批部门在日常管理中负责对环评“放管服”事项和技术评估机构、环评单位从业情况进行检查。按照“属地管理”原则，环境监察执法、核与辐射安全监管部门在日常管理中加强建设单位环境保护“三同时”要求落实情况的检查。要充分运用环境保护督察等工作机制，对地方政府和有关部门落实环评制度情况开展监督”。监管方式书面检查、实地检查、现场环境监察、环境执法等监督检查方式开展。</w:t>
      </w:r>
    </w:p>
    <w:p>
      <w:pPr>
        <w:ind w:firstLine="560"/>
      </w:pPr>
      <w:r>
        <w:rPr>
          <w:rFonts w:hint="eastAsia"/>
        </w:rPr>
        <w:t>监管内容：环境影响评价年度执行情况、建设项目环境影响评价文件的批复的落实情况、建设项目环境保护设施竣工验收情况及相关主体责任落实情况等。</w:t>
      </w:r>
    </w:p>
    <w:bookmarkEnd w:id="238"/>
    <w:bookmarkEnd w:id="239"/>
    <w:bookmarkEnd w:id="240"/>
    <w:p>
      <w:pPr>
        <w:pStyle w:val="2"/>
      </w:pPr>
      <w:bookmarkStart w:id="241" w:name="_Toc43285477"/>
      <w:bookmarkStart w:id="242" w:name="_Toc520360166"/>
      <w:bookmarkStart w:id="243" w:name="_Toc520391847"/>
      <w:bookmarkStart w:id="244" w:name="_Toc520365092"/>
      <w:bookmarkStart w:id="245" w:name="_Toc524077934"/>
      <w:bookmarkStart w:id="246" w:name="_Toc120270910"/>
      <w:bookmarkStart w:id="247" w:name="_Toc43283073"/>
      <w:r>
        <w:rPr>
          <w:rFonts w:hint="eastAsia"/>
        </w:rPr>
        <w:t>十七、投诉举报</w:t>
      </w:r>
      <w:bookmarkEnd w:id="241"/>
      <w:bookmarkEnd w:id="242"/>
      <w:bookmarkEnd w:id="243"/>
      <w:bookmarkEnd w:id="244"/>
      <w:bookmarkEnd w:id="245"/>
      <w:bookmarkEnd w:id="246"/>
      <w:bookmarkEnd w:id="247"/>
    </w:p>
    <w:p>
      <w:pPr>
        <w:pStyle w:val="3"/>
      </w:pPr>
      <w:bookmarkStart w:id="248" w:name="_Toc521605424"/>
      <w:bookmarkStart w:id="249" w:name="_Toc520391848"/>
      <w:bookmarkStart w:id="250" w:name="_Toc520365093"/>
      <w:bookmarkStart w:id="251" w:name="_Toc520360167"/>
      <w:bookmarkStart w:id="252" w:name="_Toc524077936"/>
      <w:bookmarkStart w:id="253" w:name="_Toc43285478"/>
      <w:bookmarkStart w:id="254" w:name="_Toc120270911"/>
      <w:bookmarkStart w:id="255" w:name="_Toc43283074"/>
      <w:r>
        <w:rPr>
          <w:rFonts w:hint="eastAsia"/>
        </w:rPr>
        <w:t>（一）</w:t>
      </w:r>
      <w:bookmarkEnd w:id="248"/>
      <w:bookmarkEnd w:id="249"/>
      <w:bookmarkEnd w:id="250"/>
      <w:bookmarkEnd w:id="251"/>
      <w:bookmarkStart w:id="256" w:name="_Toc378521286"/>
      <w:bookmarkStart w:id="257" w:name="_Toc520360169"/>
      <w:bookmarkStart w:id="258" w:name="_Toc520365095"/>
      <w:bookmarkStart w:id="259" w:name="_Toc419467054"/>
      <w:bookmarkStart w:id="260" w:name="_Toc520391850"/>
      <w:r>
        <w:rPr>
          <w:rFonts w:hint="eastAsia"/>
        </w:rPr>
        <w:t>投诉举报范围</w:t>
      </w:r>
      <w:bookmarkEnd w:id="252"/>
      <w:bookmarkEnd w:id="253"/>
      <w:bookmarkEnd w:id="254"/>
      <w:bookmarkEnd w:id="255"/>
      <w:bookmarkEnd w:id="256"/>
      <w:bookmarkEnd w:id="257"/>
      <w:bookmarkEnd w:id="258"/>
      <w:bookmarkEnd w:id="259"/>
      <w:bookmarkEnd w:id="260"/>
    </w:p>
    <w:p>
      <w:pPr>
        <w:ind w:firstLine="560"/>
      </w:pPr>
      <w:r>
        <w:rPr>
          <w:rFonts w:hint="eastAsia"/>
        </w:rPr>
        <w:t>建设项目环境影响评价文件审批。</w:t>
      </w:r>
    </w:p>
    <w:p>
      <w:pPr>
        <w:pStyle w:val="3"/>
      </w:pPr>
      <w:bookmarkStart w:id="261" w:name="_Toc520360171"/>
      <w:bookmarkStart w:id="262" w:name="_Toc120270912"/>
      <w:bookmarkStart w:id="263" w:name="_Toc520365097"/>
      <w:bookmarkStart w:id="264" w:name="_Toc43283075"/>
      <w:bookmarkStart w:id="265" w:name="_Toc43285479"/>
      <w:bookmarkStart w:id="266" w:name="_Toc520391852"/>
      <w:bookmarkStart w:id="267" w:name="_Toc524077937"/>
      <w:r>
        <w:rPr>
          <w:rFonts w:hint="eastAsia"/>
        </w:rPr>
        <w:t>（二）投诉举报处理程序</w:t>
      </w:r>
      <w:bookmarkEnd w:id="261"/>
      <w:bookmarkEnd w:id="262"/>
      <w:bookmarkEnd w:id="263"/>
      <w:bookmarkEnd w:id="264"/>
      <w:bookmarkEnd w:id="265"/>
      <w:bookmarkEnd w:id="266"/>
      <w:bookmarkEnd w:id="267"/>
    </w:p>
    <w:p>
      <w:pPr>
        <w:ind w:firstLine="560"/>
      </w:pPr>
      <w:bookmarkStart w:id="268" w:name="_Toc520360172"/>
      <w:bookmarkStart w:id="269" w:name="_Toc520391853"/>
      <w:bookmarkStart w:id="270" w:name="_Toc520365098"/>
      <w:r>
        <w:rPr>
          <w:rFonts w:hint="eastAsia"/>
        </w:rPr>
        <w:t>昆明市生态环境局</w:t>
      </w:r>
      <w:r>
        <w:rPr>
          <w:rFonts w:hint="eastAsia"/>
          <w:lang w:eastAsia="zh-CN"/>
        </w:rPr>
        <w:t>经开分局</w:t>
      </w:r>
      <w:r>
        <w:rPr>
          <w:rFonts w:hint="eastAsia"/>
        </w:rPr>
        <w:t>收到投诉信件</w:t>
      </w:r>
      <w:bookmarkEnd w:id="268"/>
      <w:bookmarkEnd w:id="269"/>
      <w:bookmarkEnd w:id="270"/>
      <w:r>
        <w:rPr>
          <w:rFonts w:hint="eastAsia"/>
        </w:rPr>
        <w:t>后，填写《群众来信投诉登记表》，经主管领导阅批后，按工作职责进行办理。</w:t>
      </w:r>
      <w:bookmarkStart w:id="271" w:name="_Toc520391854"/>
      <w:bookmarkStart w:id="272" w:name="_Toc520365099"/>
      <w:bookmarkStart w:id="273" w:name="_Toc520360173"/>
    </w:p>
    <w:bookmarkEnd w:id="271"/>
    <w:bookmarkEnd w:id="272"/>
    <w:bookmarkEnd w:id="273"/>
    <w:p>
      <w:pPr>
        <w:ind w:firstLine="560"/>
      </w:pPr>
      <w:r>
        <w:rPr>
          <w:rFonts w:hint="eastAsia"/>
        </w:rPr>
        <w:t>接待现场投诉来访时，应当核实投诉人的身份、住址、联系电话等并予以登记。认真听取并记录投诉人请求的事项、事实、理由和诉求，对信访事项涉及本部门相关</w:t>
      </w:r>
      <w:r>
        <w:rPr>
          <w:rFonts w:hint="eastAsia"/>
          <w:lang w:eastAsia="zh-CN"/>
        </w:rPr>
        <w:t>科室</w:t>
      </w:r>
      <w:r>
        <w:rPr>
          <w:rFonts w:hint="eastAsia"/>
        </w:rPr>
        <w:t>职能的，应通知有关</w:t>
      </w:r>
      <w:r>
        <w:rPr>
          <w:rFonts w:hint="eastAsia"/>
          <w:lang w:eastAsia="zh-CN"/>
        </w:rPr>
        <w:t>科</w:t>
      </w:r>
      <w:r>
        <w:rPr>
          <w:rFonts w:hint="eastAsia"/>
        </w:rPr>
        <w:t>室参与接待处理。</w:t>
      </w:r>
    </w:p>
    <w:p>
      <w:pPr>
        <w:pStyle w:val="3"/>
      </w:pPr>
      <w:bookmarkStart w:id="274" w:name="_Toc120270913"/>
      <w:bookmarkStart w:id="275" w:name="_Toc524077938"/>
      <w:bookmarkStart w:id="276" w:name="_Toc419467056"/>
      <w:bookmarkStart w:id="277" w:name="_Toc43283076"/>
      <w:bookmarkStart w:id="278" w:name="_Toc520360174"/>
      <w:bookmarkStart w:id="279" w:name="_Toc520391855"/>
      <w:bookmarkStart w:id="280" w:name="_Toc43285480"/>
      <w:bookmarkStart w:id="281" w:name="_Toc520365100"/>
      <w:bookmarkStart w:id="282" w:name="_Toc378521290"/>
      <w:r>
        <w:rPr>
          <w:rFonts w:hint="eastAsia"/>
        </w:rPr>
        <w:t>（三）处理跟踪程序</w:t>
      </w:r>
      <w:bookmarkEnd w:id="274"/>
      <w:bookmarkEnd w:id="275"/>
      <w:bookmarkEnd w:id="276"/>
      <w:bookmarkEnd w:id="277"/>
      <w:bookmarkEnd w:id="278"/>
      <w:bookmarkEnd w:id="279"/>
      <w:bookmarkEnd w:id="280"/>
      <w:bookmarkEnd w:id="281"/>
      <w:bookmarkEnd w:id="282"/>
    </w:p>
    <w:p>
      <w:pPr>
        <w:ind w:firstLine="560"/>
      </w:pPr>
      <w:r>
        <w:rPr>
          <w:rFonts w:hint="eastAsia"/>
        </w:rPr>
        <w:t>昆明市生态环境局</w:t>
      </w:r>
      <w:r>
        <w:rPr>
          <w:rFonts w:hint="eastAsia"/>
          <w:lang w:eastAsia="zh-CN"/>
        </w:rPr>
        <w:t>经开分局</w:t>
      </w:r>
      <w:r>
        <w:rPr>
          <w:rFonts w:hint="eastAsia"/>
        </w:rPr>
        <w:t>主要负责组织做好投诉受理工作；负责受理的投诉业务进行跟踪和督办；负责对受理举报案件的办结情况进行统计。</w:t>
      </w:r>
    </w:p>
    <w:p>
      <w:pPr>
        <w:pStyle w:val="3"/>
      </w:pPr>
      <w:bookmarkStart w:id="283" w:name="_Toc520391856"/>
      <w:bookmarkStart w:id="284" w:name="_Toc43285481"/>
      <w:bookmarkStart w:id="285" w:name="_Toc120270914"/>
      <w:bookmarkStart w:id="286" w:name="_Toc524077939"/>
      <w:bookmarkStart w:id="287" w:name="_Toc520360175"/>
      <w:bookmarkStart w:id="288" w:name="_Toc520365101"/>
      <w:bookmarkStart w:id="289" w:name="_Toc43283077"/>
      <w:r>
        <w:rPr>
          <w:rFonts w:hint="eastAsia"/>
        </w:rPr>
        <w:t>（四）保密措施</w:t>
      </w:r>
      <w:bookmarkEnd w:id="283"/>
      <w:bookmarkEnd w:id="284"/>
      <w:bookmarkEnd w:id="285"/>
      <w:bookmarkEnd w:id="286"/>
      <w:bookmarkEnd w:id="287"/>
      <w:bookmarkEnd w:id="288"/>
      <w:bookmarkEnd w:id="289"/>
    </w:p>
    <w:p>
      <w:pPr>
        <w:ind w:firstLine="560"/>
        <w:rPr>
          <w:rFonts w:eastAsia="黑体"/>
          <w:kern w:val="44"/>
          <w:szCs w:val="32"/>
        </w:rPr>
        <w:sectPr>
          <w:footerReference r:id="rId16" w:type="first"/>
          <w:footerReference r:id="rId14" w:type="default"/>
          <w:footerReference r:id="rId15" w:type="even"/>
          <w:pgSz w:w="11900" w:h="16830"/>
          <w:pgMar w:top="1430" w:right="1467" w:bottom="1485" w:left="1145" w:header="850" w:footer="992" w:gutter="0"/>
          <w:pgNumType w:fmt="decimal" w:start="1"/>
          <w:cols w:space="720" w:num="1"/>
          <w:titlePg/>
          <w:docGrid w:linePitch="326" w:charSpace="0"/>
        </w:sectPr>
      </w:pPr>
      <w:r>
        <w:rPr>
          <w:rFonts w:hint="eastAsia"/>
        </w:rPr>
        <w:t>按照信访投诉办理规定，做好投诉人的姓名、联系方式、住址等信息的保密工作。</w:t>
      </w:r>
      <w:bookmarkEnd w:id="2"/>
      <w:bookmarkEnd w:id="3"/>
    </w:p>
    <w:p>
      <w:pPr>
        <w:keepNext/>
        <w:keepLines/>
        <w:ind w:firstLine="0" w:firstLineChars="0"/>
        <w:outlineLvl w:val="0"/>
        <w:rPr>
          <w:rFonts w:eastAsia="黑体"/>
          <w:kern w:val="44"/>
          <w:szCs w:val="32"/>
        </w:rPr>
      </w:pPr>
      <w:r>
        <w:rPr>
          <w:rFonts w:eastAsia="黑体"/>
          <w:kern w:val="44"/>
          <w:szCs w:val="32"/>
        </w:rPr>
        <w:t>附件1：</w:t>
      </w:r>
    </w:p>
    <w:p>
      <w:pPr>
        <w:adjustRightInd w:val="0"/>
        <w:snapToGrid w:val="0"/>
        <w:ind w:firstLine="0" w:firstLineChars="0"/>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昆明市生态环境局</w:t>
      </w:r>
    </w:p>
    <w:p>
      <w:pPr>
        <w:adjustRightInd w:val="0"/>
        <w:snapToGrid w:val="0"/>
        <w:ind w:firstLine="0" w:firstLineChars="0"/>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关于发布《昆明市生态环境局建设项目环境影响评价文件分级审批目录（2022年本）》的通知</w:t>
      </w:r>
    </w:p>
    <w:p>
      <w:pPr>
        <w:adjustRightInd w:val="0"/>
        <w:snapToGrid w:val="0"/>
        <w:spacing w:line="240" w:lineRule="auto"/>
        <w:ind w:firstLine="0" w:firstLineChars="0"/>
        <w:jc w:val="center"/>
        <w:rPr>
          <w:rFonts w:ascii="宋体" w:cs="宋体"/>
          <w:szCs w:val="24"/>
        </w:rPr>
      </w:pPr>
      <w:r>
        <w:rPr>
          <w:rFonts w:hint="eastAsia" w:ascii="宋体" w:cs="宋体"/>
          <w:szCs w:val="24"/>
        </w:rPr>
        <w:drawing>
          <wp:inline distT="0" distB="0" distL="114300" distR="114300">
            <wp:extent cx="5882005" cy="7184390"/>
            <wp:effectExtent l="0" t="0" r="4445" b="16510"/>
            <wp:docPr id="1" name="图片 1" descr="昆生环通〔2022〕23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昆生环通〔2022〕23号-1"/>
                    <pic:cNvPicPr>
                      <a:picLocks noChangeAspect="1"/>
                    </pic:cNvPicPr>
                  </pic:nvPicPr>
                  <pic:blipFill>
                    <a:blip r:embed="rId24"/>
                    <a:srcRect t="13647"/>
                    <a:stretch>
                      <a:fillRect/>
                    </a:stretch>
                  </pic:blipFill>
                  <pic:spPr>
                    <a:xfrm>
                      <a:off x="0" y="0"/>
                      <a:ext cx="5882005" cy="7184390"/>
                    </a:xfrm>
                    <a:prstGeom prst="rect">
                      <a:avLst/>
                    </a:prstGeom>
                  </pic:spPr>
                </pic:pic>
              </a:graphicData>
            </a:graphic>
          </wp:inline>
        </w:drawing>
      </w:r>
    </w:p>
    <w:p>
      <w:pPr>
        <w:adjustRightInd w:val="0"/>
        <w:snapToGrid w:val="0"/>
        <w:spacing w:line="240" w:lineRule="auto"/>
        <w:ind w:firstLine="0" w:firstLineChars="0"/>
        <w:jc w:val="center"/>
        <w:rPr>
          <w:rFonts w:ascii="宋体" w:cs="宋体"/>
          <w:szCs w:val="24"/>
        </w:rPr>
      </w:pPr>
      <w:r>
        <w:rPr>
          <w:rFonts w:hint="eastAsia" w:ascii="宋体" w:cs="宋体"/>
          <w:szCs w:val="24"/>
        </w:rPr>
        <w:drawing>
          <wp:inline distT="0" distB="0" distL="114300" distR="114300">
            <wp:extent cx="5882005" cy="8319770"/>
            <wp:effectExtent l="0" t="0" r="4445" b="5080"/>
            <wp:docPr id="2" name="图片 2" descr="昆生环通〔2022〕23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昆生环通〔2022〕23号-2"/>
                    <pic:cNvPicPr>
                      <a:picLocks noChangeAspect="1"/>
                    </pic:cNvPicPr>
                  </pic:nvPicPr>
                  <pic:blipFill>
                    <a:blip r:embed="rId25"/>
                    <a:stretch>
                      <a:fillRect/>
                    </a:stretch>
                  </pic:blipFill>
                  <pic:spPr>
                    <a:xfrm>
                      <a:off x="0" y="0"/>
                      <a:ext cx="5882005" cy="8319770"/>
                    </a:xfrm>
                    <a:prstGeom prst="rect">
                      <a:avLst/>
                    </a:prstGeom>
                  </pic:spPr>
                </pic:pic>
              </a:graphicData>
            </a:graphic>
          </wp:inline>
        </w:drawing>
      </w:r>
    </w:p>
    <w:p>
      <w:pPr>
        <w:adjustRightInd w:val="0"/>
        <w:snapToGrid w:val="0"/>
        <w:spacing w:line="240" w:lineRule="auto"/>
        <w:ind w:firstLine="0" w:firstLineChars="0"/>
        <w:jc w:val="center"/>
        <w:rPr>
          <w:rFonts w:ascii="宋体" w:cs="宋体"/>
          <w:szCs w:val="24"/>
        </w:rPr>
      </w:pPr>
      <w:r>
        <w:rPr>
          <w:rFonts w:hint="eastAsia" w:ascii="宋体" w:cs="宋体"/>
          <w:szCs w:val="24"/>
        </w:rPr>
        <w:drawing>
          <wp:inline distT="0" distB="0" distL="114300" distR="114300">
            <wp:extent cx="5882005" cy="8319770"/>
            <wp:effectExtent l="0" t="0" r="4445" b="5080"/>
            <wp:docPr id="3" name="图片 3" descr="昆生环通〔2022〕23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昆生环通〔2022〕23号-3"/>
                    <pic:cNvPicPr>
                      <a:picLocks noChangeAspect="1"/>
                    </pic:cNvPicPr>
                  </pic:nvPicPr>
                  <pic:blipFill>
                    <a:blip r:embed="rId26"/>
                    <a:stretch>
                      <a:fillRect/>
                    </a:stretch>
                  </pic:blipFill>
                  <pic:spPr>
                    <a:xfrm>
                      <a:off x="0" y="0"/>
                      <a:ext cx="5882005" cy="8319770"/>
                    </a:xfrm>
                    <a:prstGeom prst="rect">
                      <a:avLst/>
                    </a:prstGeom>
                  </pic:spPr>
                </pic:pic>
              </a:graphicData>
            </a:graphic>
          </wp:inline>
        </w:drawing>
      </w:r>
    </w:p>
    <w:p>
      <w:pPr>
        <w:adjustRightInd w:val="0"/>
        <w:snapToGrid w:val="0"/>
        <w:spacing w:line="240" w:lineRule="auto"/>
        <w:ind w:firstLine="0" w:firstLineChars="0"/>
        <w:jc w:val="center"/>
        <w:rPr>
          <w:rFonts w:ascii="宋体" w:cs="宋体"/>
          <w:szCs w:val="24"/>
        </w:rPr>
      </w:pPr>
      <w:r>
        <w:rPr>
          <w:rFonts w:hint="eastAsia" w:ascii="宋体" w:cs="宋体"/>
          <w:szCs w:val="24"/>
        </w:rPr>
        <w:drawing>
          <wp:inline distT="0" distB="0" distL="114300" distR="114300">
            <wp:extent cx="5882005" cy="8319770"/>
            <wp:effectExtent l="0" t="0" r="4445" b="5080"/>
            <wp:docPr id="4" name="图片 4" descr="昆生环通〔2022〕23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昆生环通〔2022〕23号-4"/>
                    <pic:cNvPicPr>
                      <a:picLocks noChangeAspect="1"/>
                    </pic:cNvPicPr>
                  </pic:nvPicPr>
                  <pic:blipFill>
                    <a:blip r:embed="rId27"/>
                    <a:stretch>
                      <a:fillRect/>
                    </a:stretch>
                  </pic:blipFill>
                  <pic:spPr>
                    <a:xfrm>
                      <a:off x="0" y="0"/>
                      <a:ext cx="5882005" cy="8319770"/>
                    </a:xfrm>
                    <a:prstGeom prst="rect">
                      <a:avLst/>
                    </a:prstGeom>
                  </pic:spPr>
                </pic:pic>
              </a:graphicData>
            </a:graphic>
          </wp:inline>
        </w:drawing>
      </w:r>
    </w:p>
    <w:p>
      <w:pPr>
        <w:adjustRightInd w:val="0"/>
        <w:snapToGrid w:val="0"/>
        <w:spacing w:line="240" w:lineRule="auto"/>
        <w:ind w:firstLine="0" w:firstLineChars="0"/>
        <w:jc w:val="center"/>
        <w:rPr>
          <w:rFonts w:ascii="宋体" w:cs="宋体"/>
          <w:szCs w:val="24"/>
        </w:rPr>
      </w:pPr>
    </w:p>
    <w:p>
      <w:pPr>
        <w:spacing w:line="240" w:lineRule="auto"/>
        <w:ind w:firstLine="0" w:firstLineChars="0"/>
        <w:jc w:val="center"/>
        <w:rPr>
          <w:rFonts w:ascii="宋体" w:cs="宋体"/>
          <w:szCs w:val="24"/>
        </w:rPr>
        <w:sectPr>
          <w:pgSz w:w="11900" w:h="16830"/>
          <w:pgMar w:top="1430" w:right="1467" w:bottom="1485" w:left="1145" w:header="850" w:footer="992" w:gutter="0"/>
          <w:pgNumType w:fmt="decimal"/>
          <w:cols w:space="720" w:num="1"/>
          <w:titlePg/>
          <w:docGrid w:linePitch="326" w:charSpace="0"/>
        </w:sectPr>
      </w:pPr>
    </w:p>
    <w:p>
      <w:pPr>
        <w:spacing w:line="240" w:lineRule="auto"/>
        <w:ind w:firstLine="0" w:firstLineChars="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《昆明市生态环境局建设项目环境影响评价文件分级审批目录（</w:t>
      </w:r>
      <w:r>
        <w:rPr>
          <w:rFonts w:eastAsia="方正小标宋_GBK"/>
          <w:sz w:val="40"/>
          <w:szCs w:val="40"/>
        </w:rPr>
        <w:t>2022</w:t>
      </w:r>
      <w:r>
        <w:rPr>
          <w:rFonts w:hint="eastAsia" w:ascii="方正小标宋_GBK" w:hAnsi="方正小标宋_GBK" w:eastAsia="方正小标宋_GBK" w:cs="方正小标宋_GBK"/>
          <w:sz w:val="40"/>
          <w:szCs w:val="40"/>
        </w:rPr>
        <w:t>年本）》</w:t>
      </w:r>
    </w:p>
    <w:tbl>
      <w:tblPr>
        <w:tblStyle w:val="46"/>
        <w:tblW w:w="15120" w:type="dxa"/>
        <w:jc w:val="center"/>
        <w:tblLayout w:type="autofit"/>
        <w:tblCellMar>
          <w:top w:w="57" w:type="dxa"/>
          <w:left w:w="57" w:type="dxa"/>
          <w:bottom w:w="57" w:type="dxa"/>
          <w:right w:w="57" w:type="dxa"/>
        </w:tblCellMar>
      </w:tblPr>
      <w:tblGrid>
        <w:gridCol w:w="525"/>
        <w:gridCol w:w="2804"/>
        <w:gridCol w:w="3652"/>
        <w:gridCol w:w="1522"/>
        <w:gridCol w:w="3749"/>
        <w:gridCol w:w="1293"/>
        <w:gridCol w:w="1575"/>
      </w:tblGrid>
      <w:tr>
        <w:tblPrEx>
          <w:tblCellMar>
            <w:top w:w="57" w:type="dxa"/>
            <w:left w:w="57" w:type="dxa"/>
            <w:bottom w:w="57" w:type="dxa"/>
            <w:right w:w="57" w:type="dxa"/>
          </w:tblCellMar>
        </w:tblPrEx>
        <w:trPr>
          <w:trHeight w:val="497" w:hRule="atLeast"/>
          <w:jc w:val="center"/>
        </w:trPr>
        <w:tc>
          <w:tcPr>
            <w:tcW w:w="3329" w:type="dxa"/>
            <w:gridSpan w:val="2"/>
            <w:tcBorders>
              <w:top w:val="single" w:color="000000" w:sz="4" w:space="0"/>
              <w:left w:val="single" w:color="000000" w:sz="4" w:space="0"/>
              <w:bottom w:val="single" w:color="000000" w:sz="4" w:space="0"/>
              <w:right w:val="single" w:color="000000" w:sz="4" w:space="0"/>
              <w:tl2br w:val="single" w:color="auto" w:sz="4" w:space="0"/>
            </w:tcBorders>
            <w:shd w:val="clear" w:color="auto" w:fill="auto"/>
            <w:vAlign w:val="center"/>
          </w:tcPr>
          <w:p>
            <w:pPr>
              <w:widowControl/>
              <w:snapToGrid w:val="0"/>
              <w:spacing w:line="240" w:lineRule="auto"/>
              <w:ind w:firstLine="2100" w:firstLineChars="1000"/>
              <w:textAlignment w:val="center"/>
              <w:rPr>
                <w:rFonts w:eastAsia="宋体"/>
                <w:sz w:val="21"/>
              </w:rPr>
            </w:pPr>
            <w:r>
              <w:rPr>
                <w:rFonts w:eastAsia="黑体"/>
                <w:sz w:val="21"/>
                <w:lang w:bidi="ar"/>
              </w:rPr>
              <w:t>环评类别</w:t>
            </w:r>
          </w:p>
          <w:p>
            <w:pPr>
              <w:widowControl/>
              <w:spacing w:line="240" w:lineRule="auto"/>
              <w:ind w:firstLine="0" w:firstLineChars="0"/>
              <w:textAlignment w:val="center"/>
              <w:rPr>
                <w:rFonts w:eastAsia="宋体"/>
                <w:sz w:val="21"/>
              </w:rPr>
            </w:pPr>
            <w:r>
              <w:rPr>
                <w:rFonts w:eastAsia="黑体"/>
                <w:sz w:val="21"/>
                <w:lang w:bidi="ar"/>
              </w:rPr>
              <w:t>项目类别</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1"/>
              </w:rPr>
            </w:pPr>
            <w:r>
              <w:rPr>
                <w:rFonts w:eastAsia="黑体"/>
                <w:sz w:val="21"/>
                <w:lang w:bidi="ar"/>
              </w:rPr>
              <w:t>报</w:t>
            </w:r>
            <w:r>
              <w:rPr>
                <w:rFonts w:eastAsia="宋体"/>
                <w:sz w:val="21"/>
                <w:lang w:bidi="ar"/>
              </w:rPr>
              <w:t xml:space="preserve"> </w:t>
            </w:r>
            <w:r>
              <w:rPr>
                <w:rFonts w:eastAsia="黑体"/>
                <w:sz w:val="21"/>
                <w:lang w:bidi="ar"/>
              </w:rPr>
              <w:t>告</w:t>
            </w:r>
            <w:r>
              <w:rPr>
                <w:rFonts w:eastAsia="宋体"/>
                <w:sz w:val="21"/>
                <w:lang w:bidi="ar"/>
              </w:rPr>
              <w:t xml:space="preserve"> </w:t>
            </w:r>
            <w:r>
              <w:rPr>
                <w:rFonts w:eastAsia="黑体"/>
                <w:sz w:val="21"/>
                <w:lang w:bidi="ar"/>
              </w:rPr>
              <w:t>书</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1"/>
              </w:rPr>
            </w:pPr>
            <w:r>
              <w:rPr>
                <w:rFonts w:eastAsia="黑体"/>
                <w:sz w:val="21"/>
                <w:lang w:bidi="ar"/>
              </w:rPr>
              <w:t>报告书分类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1"/>
              </w:rPr>
            </w:pPr>
            <w:r>
              <w:rPr>
                <w:rFonts w:eastAsia="黑体"/>
                <w:sz w:val="21"/>
                <w:lang w:bidi="ar"/>
              </w:rPr>
              <w:t>报</w:t>
            </w:r>
            <w:r>
              <w:rPr>
                <w:rFonts w:eastAsia="宋体"/>
                <w:sz w:val="21"/>
                <w:lang w:bidi="ar"/>
              </w:rPr>
              <w:t xml:space="preserve"> </w:t>
            </w:r>
            <w:r>
              <w:rPr>
                <w:rFonts w:eastAsia="黑体"/>
                <w:sz w:val="21"/>
                <w:lang w:bidi="ar"/>
              </w:rPr>
              <w:t>告</w:t>
            </w:r>
            <w:r>
              <w:rPr>
                <w:rFonts w:eastAsia="宋体"/>
                <w:sz w:val="21"/>
                <w:lang w:bidi="ar"/>
              </w:rPr>
              <w:t xml:space="preserve"> </w:t>
            </w:r>
            <w:r>
              <w:rPr>
                <w:rFonts w:eastAsia="黑体"/>
                <w:sz w:val="21"/>
                <w:lang w:bidi="ar"/>
              </w:rPr>
              <w:t>表</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1"/>
              </w:rPr>
            </w:pPr>
            <w:r>
              <w:rPr>
                <w:rFonts w:eastAsia="黑体"/>
                <w:sz w:val="21"/>
                <w:lang w:bidi="ar"/>
              </w:rPr>
              <w:t>报告表分类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1"/>
              </w:rPr>
            </w:pPr>
            <w:r>
              <w:rPr>
                <w:rFonts w:eastAsia="黑体"/>
                <w:sz w:val="21"/>
                <w:lang w:bidi="ar"/>
              </w:rPr>
              <w:t>备注</w:t>
            </w: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一、农业</w:t>
            </w:r>
            <w:r>
              <w:rPr>
                <w:rFonts w:eastAsia="宋体"/>
                <w:sz w:val="20"/>
                <w:szCs w:val="20"/>
                <w:lang w:bidi="ar"/>
              </w:rPr>
              <w:t xml:space="preserve"> 01</w:t>
            </w:r>
            <w:r>
              <w:rPr>
                <w:rFonts w:eastAsia="黑体"/>
                <w:sz w:val="20"/>
                <w:szCs w:val="20"/>
                <w:lang w:bidi="ar"/>
              </w:rPr>
              <w:t>、林业</w:t>
            </w:r>
            <w:r>
              <w:rPr>
                <w:rFonts w:eastAsia="宋体"/>
                <w:sz w:val="20"/>
                <w:szCs w:val="20"/>
                <w:lang w:bidi="ar"/>
              </w:rPr>
              <w:t xml:space="preserve"> 02</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56" w:leftChars="-20" w:right="-140" w:rightChars="-50" w:firstLine="0" w:firstLineChars="0"/>
              <w:jc w:val="center"/>
              <w:textAlignment w:val="center"/>
              <w:rPr>
                <w:rFonts w:eastAsia="宋体"/>
                <w:sz w:val="20"/>
                <w:szCs w:val="20"/>
              </w:rPr>
            </w:pPr>
            <w:r>
              <w:rPr>
                <w:rFonts w:eastAsia="仿宋"/>
                <w:sz w:val="20"/>
                <w:szCs w:val="20"/>
                <w:lang w:bidi="ar"/>
              </w:rPr>
              <w:t>农产品基地项目（含药材基地）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经济林基地项目</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原料林基地</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二、畜牧业</w:t>
            </w:r>
            <w:r>
              <w:rPr>
                <w:rFonts w:eastAsia="宋体"/>
                <w:sz w:val="20"/>
                <w:szCs w:val="20"/>
                <w:lang w:bidi="ar"/>
              </w:rPr>
              <w:t xml:space="preserve"> 03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9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牲畜饲养</w:t>
            </w:r>
            <w:r>
              <w:rPr>
                <w:rFonts w:eastAsia="宋体"/>
                <w:sz w:val="20"/>
                <w:szCs w:val="20"/>
                <w:lang w:bidi="ar"/>
              </w:rPr>
              <w:t xml:space="preserve"> 031</w:t>
            </w:r>
            <w:r>
              <w:rPr>
                <w:rFonts w:eastAsia="仿宋"/>
                <w:sz w:val="20"/>
                <w:szCs w:val="20"/>
                <w:lang w:bidi="ar"/>
              </w:rPr>
              <w:t>；家禽饲养</w:t>
            </w:r>
            <w:r>
              <w:rPr>
                <w:rFonts w:eastAsia="宋体"/>
                <w:sz w:val="20"/>
                <w:szCs w:val="20"/>
                <w:lang w:bidi="ar"/>
              </w:rPr>
              <w:t xml:space="preserve"> 032</w:t>
            </w:r>
            <w:r>
              <w:rPr>
                <w:rFonts w:eastAsia="仿宋"/>
                <w:sz w:val="20"/>
                <w:szCs w:val="20"/>
                <w:lang w:bidi="ar"/>
              </w:rPr>
              <w:t>；其他畜牧业</w:t>
            </w:r>
            <w:r>
              <w:rPr>
                <w:rFonts w:eastAsia="宋体"/>
                <w:sz w:val="20"/>
                <w:szCs w:val="20"/>
                <w:lang w:bidi="ar"/>
              </w:rPr>
              <w:t xml:space="preserve"> 039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年出栏生猪</w:t>
            </w:r>
            <w:r>
              <w:rPr>
                <w:rFonts w:eastAsia="宋体"/>
                <w:sz w:val="20"/>
                <w:szCs w:val="20"/>
                <w:lang w:bidi="ar"/>
              </w:rPr>
              <w:t>5000</w:t>
            </w:r>
            <w:r>
              <w:rPr>
                <w:rFonts w:eastAsia="仿宋"/>
                <w:sz w:val="20"/>
                <w:szCs w:val="20"/>
                <w:lang w:bidi="ar"/>
              </w:rPr>
              <w:t>头（其他畜禽种类折合猪的养殖量）及以上的规模化畜禽养殖；存栏生猪</w:t>
            </w:r>
            <w:r>
              <w:rPr>
                <w:rFonts w:eastAsia="宋体"/>
                <w:sz w:val="20"/>
                <w:szCs w:val="20"/>
                <w:lang w:bidi="ar"/>
              </w:rPr>
              <w:t>2500</w:t>
            </w:r>
            <w:r>
              <w:rPr>
                <w:rFonts w:eastAsia="仿宋"/>
                <w:sz w:val="20"/>
                <w:szCs w:val="20"/>
                <w:lang w:bidi="ar"/>
              </w:rPr>
              <w:t>头（其他畜禽种类折合猪的养殖规模）及以上无出栏量的规模化畜禽养殖；涉及环境敏感区的规模化畜禽养殖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三、渔业</w:t>
            </w:r>
            <w:r>
              <w:rPr>
                <w:rFonts w:eastAsia="宋体"/>
                <w:sz w:val="20"/>
                <w:szCs w:val="20"/>
                <w:lang w:bidi="ar"/>
              </w:rPr>
              <w:t xml:space="preserve"> 04</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海水养殖</w:t>
            </w:r>
            <w:r>
              <w:rPr>
                <w:rFonts w:eastAsia="宋体"/>
                <w:sz w:val="20"/>
                <w:szCs w:val="20"/>
                <w:lang w:bidi="ar"/>
              </w:rPr>
              <w:t xml:space="preserve"> 0411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用海面积</w:t>
            </w:r>
            <w:r>
              <w:rPr>
                <w:rFonts w:eastAsia="宋体"/>
                <w:sz w:val="20"/>
                <w:szCs w:val="20"/>
                <w:lang w:bidi="ar"/>
              </w:rPr>
              <w:t>1000</w:t>
            </w:r>
            <w:r>
              <w:rPr>
                <w:rFonts w:eastAsia="仿宋"/>
                <w:sz w:val="20"/>
                <w:szCs w:val="20"/>
                <w:lang w:bidi="ar"/>
              </w:rPr>
              <w:t>亩及以上的海水养殖（不含底播、藻类养殖）；围海养殖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用海面积</w:t>
            </w:r>
            <w:r>
              <w:rPr>
                <w:rFonts w:eastAsia="宋体"/>
                <w:sz w:val="20"/>
                <w:szCs w:val="20"/>
                <w:lang w:bidi="ar"/>
              </w:rPr>
              <w:t>1000</w:t>
            </w:r>
            <w:r>
              <w:rPr>
                <w:rFonts w:eastAsia="仿宋"/>
                <w:sz w:val="20"/>
                <w:szCs w:val="20"/>
                <w:lang w:bidi="ar"/>
              </w:rPr>
              <w:t>亩以下</w:t>
            </w:r>
            <w:r>
              <w:rPr>
                <w:rFonts w:eastAsia="宋体"/>
                <w:sz w:val="20"/>
                <w:szCs w:val="20"/>
                <w:lang w:bidi="ar"/>
              </w:rPr>
              <w:t>300</w:t>
            </w:r>
            <w:r>
              <w:rPr>
                <w:rFonts w:eastAsia="仿宋"/>
                <w:sz w:val="20"/>
                <w:szCs w:val="20"/>
                <w:lang w:bidi="ar"/>
              </w:rPr>
              <w:t>亩及以上的网箱养殖、海洋牧场（不含海洋人工鱼礁）、苔茷养殖等；用海面积</w:t>
            </w:r>
            <w:r>
              <w:rPr>
                <w:rFonts w:eastAsia="宋体"/>
                <w:sz w:val="20"/>
                <w:szCs w:val="20"/>
                <w:lang w:bidi="ar"/>
              </w:rPr>
              <w:t>1000</w:t>
            </w:r>
            <w:r>
              <w:rPr>
                <w:rFonts w:eastAsia="仿宋"/>
                <w:sz w:val="20"/>
                <w:szCs w:val="20"/>
                <w:lang w:bidi="ar"/>
              </w:rPr>
              <w:t>亩以下</w:t>
            </w:r>
            <w:r>
              <w:rPr>
                <w:rFonts w:eastAsia="宋体"/>
                <w:sz w:val="20"/>
                <w:szCs w:val="20"/>
                <w:lang w:bidi="ar"/>
              </w:rPr>
              <w:t xml:space="preserve">100 </w:t>
            </w:r>
            <w:r>
              <w:rPr>
                <w:rFonts w:eastAsia="仿宋"/>
                <w:sz w:val="20"/>
                <w:szCs w:val="20"/>
                <w:lang w:bidi="ar"/>
              </w:rPr>
              <w:t>亩及以上的水产养殖基地、工厂化养殖、高位池（提水）养殖；用海面积</w:t>
            </w:r>
            <w:r>
              <w:rPr>
                <w:rFonts w:eastAsia="宋体"/>
                <w:sz w:val="20"/>
                <w:szCs w:val="20"/>
                <w:lang w:bidi="ar"/>
              </w:rPr>
              <w:t>1500</w:t>
            </w:r>
            <w:r>
              <w:rPr>
                <w:rFonts w:eastAsia="仿宋"/>
                <w:sz w:val="20"/>
                <w:szCs w:val="20"/>
                <w:lang w:bidi="ar"/>
              </w:rPr>
              <w:t>亩及以上的底播养殖、藻类养殖；涉及环境敏感区的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内陆养殖</w:t>
            </w:r>
            <w:r>
              <w:rPr>
                <w:rFonts w:eastAsia="宋体"/>
                <w:sz w:val="20"/>
                <w:szCs w:val="20"/>
                <w:lang w:bidi="ar"/>
              </w:rPr>
              <w:t xml:space="preserve"> 0412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网箱、围网投饵养殖；涉及环境敏感区的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四、煤炭开采和洗选业</w:t>
            </w:r>
            <w:r>
              <w:rPr>
                <w:rFonts w:eastAsia="宋体"/>
                <w:sz w:val="20"/>
                <w:szCs w:val="20"/>
                <w:lang w:bidi="ar"/>
              </w:rPr>
              <w:t xml:space="preserve"> 06</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烟煤和无烟煤开采洗选</w:t>
            </w:r>
            <w:r>
              <w:rPr>
                <w:rFonts w:eastAsia="宋体"/>
                <w:sz w:val="20"/>
                <w:szCs w:val="20"/>
                <w:lang w:bidi="ar"/>
              </w:rPr>
              <w:t xml:space="preserve"> 061</w:t>
            </w:r>
            <w:r>
              <w:rPr>
                <w:rFonts w:eastAsia="仿宋"/>
                <w:sz w:val="20"/>
                <w:szCs w:val="20"/>
                <w:lang w:bidi="ar"/>
              </w:rPr>
              <w:t>；褐煤开采洗选</w:t>
            </w:r>
            <w:r>
              <w:rPr>
                <w:rFonts w:eastAsia="宋体"/>
                <w:sz w:val="20"/>
                <w:szCs w:val="20"/>
                <w:lang w:bidi="ar"/>
              </w:rPr>
              <w:t xml:space="preserve"> 062</w:t>
            </w:r>
            <w:r>
              <w:rPr>
                <w:rFonts w:eastAsia="仿宋"/>
                <w:sz w:val="20"/>
                <w:szCs w:val="20"/>
                <w:lang w:bidi="ar"/>
              </w:rPr>
              <w:t>；其他煤炭采选</w:t>
            </w:r>
            <w:r>
              <w:rPr>
                <w:rFonts w:eastAsia="宋体"/>
                <w:sz w:val="20"/>
                <w:szCs w:val="20"/>
                <w:lang w:bidi="ar"/>
              </w:rPr>
              <w:t xml:space="preserve"> 069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煤炭开采</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煤炭洗选、配煤；煤炭储存、集运；风井场地、瓦斯抽放站；矿区修复治理工程（含煤矿火烧区治理工程）</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textAlignment w:val="center"/>
              <w:rPr>
                <w:rFonts w:eastAsia="宋体"/>
                <w:sz w:val="16"/>
                <w:szCs w:val="16"/>
              </w:rPr>
            </w:pPr>
            <w:r>
              <w:rPr>
                <w:rFonts w:hint="eastAsia" w:eastAsia="仿宋"/>
                <w:sz w:val="20"/>
                <w:szCs w:val="20"/>
                <w:lang w:bidi="ar"/>
              </w:rPr>
              <w:t>此类项目不包括国务院有关部门核准的煤炭开发项目。</w:t>
            </w:r>
          </w:p>
        </w:tc>
      </w:tr>
      <w:tr>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五、石油和天然气开采业</w:t>
            </w:r>
            <w:r>
              <w:rPr>
                <w:rFonts w:eastAsia="宋体"/>
                <w:sz w:val="20"/>
                <w:szCs w:val="20"/>
                <w:lang w:bidi="ar"/>
              </w:rPr>
              <w:t xml:space="preserve"> 07</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陆地石油开采</w:t>
            </w:r>
            <w:r>
              <w:rPr>
                <w:rFonts w:eastAsia="宋体"/>
                <w:sz w:val="20"/>
                <w:szCs w:val="20"/>
                <w:lang w:bidi="ar"/>
              </w:rPr>
              <w:t xml:space="preserve"> 0711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石油开采新区块开发；页岩油开采；涉及环境敏感区的（含内部集输管线建设）</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陆地天然气开采</w:t>
            </w:r>
            <w:r>
              <w:rPr>
                <w:rFonts w:eastAsia="宋体"/>
                <w:sz w:val="20"/>
                <w:szCs w:val="20"/>
                <w:lang w:bidi="ar"/>
              </w:rPr>
              <w:t>0721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新区块开发；年生产能力</w:t>
            </w:r>
            <w:r>
              <w:rPr>
                <w:rFonts w:eastAsia="宋体"/>
                <w:sz w:val="20"/>
                <w:szCs w:val="20"/>
                <w:lang w:bidi="ar"/>
              </w:rPr>
              <w:t>1</w:t>
            </w:r>
            <w:r>
              <w:rPr>
                <w:rFonts w:eastAsia="仿宋"/>
                <w:sz w:val="20"/>
                <w:szCs w:val="20"/>
                <w:lang w:bidi="ar"/>
              </w:rPr>
              <w:t>亿立方米及以上的煤层气开采；涉及环境敏感区的（含内部集输管线建设）</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六、黑色金属矿采选业</w:t>
            </w:r>
            <w:r>
              <w:rPr>
                <w:rFonts w:eastAsia="宋体"/>
                <w:sz w:val="20"/>
                <w:szCs w:val="20"/>
                <w:lang w:bidi="ar"/>
              </w:rPr>
              <w:t xml:space="preserve"> 08</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铁矿采选</w:t>
            </w:r>
            <w:r>
              <w:rPr>
                <w:rFonts w:eastAsia="宋体"/>
                <w:sz w:val="20"/>
                <w:szCs w:val="20"/>
                <w:lang w:bidi="ar"/>
              </w:rPr>
              <w:t xml:space="preserve"> 081</w:t>
            </w:r>
            <w:r>
              <w:rPr>
                <w:rFonts w:eastAsia="仿宋"/>
                <w:sz w:val="20"/>
                <w:szCs w:val="20"/>
                <w:lang w:bidi="ar"/>
              </w:rPr>
              <w:t>；锰矿、铬矿采选</w:t>
            </w:r>
            <w:r>
              <w:rPr>
                <w:rFonts w:eastAsia="宋体"/>
                <w:sz w:val="20"/>
                <w:szCs w:val="20"/>
                <w:lang w:bidi="ar"/>
              </w:rPr>
              <w:t xml:space="preserve"> 082</w:t>
            </w:r>
            <w:r>
              <w:rPr>
                <w:rFonts w:eastAsia="仿宋"/>
                <w:sz w:val="20"/>
                <w:szCs w:val="20"/>
                <w:lang w:bidi="ar"/>
              </w:rPr>
              <w:t>；其他黑色金属矿采选</w:t>
            </w:r>
            <w:r>
              <w:rPr>
                <w:rFonts w:eastAsia="宋体"/>
                <w:sz w:val="20"/>
                <w:szCs w:val="20"/>
                <w:lang w:bidi="ar"/>
              </w:rPr>
              <w:t xml:space="preserve"> 089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textAlignment w:val="center"/>
              <w:rPr>
                <w:rFonts w:eastAsia="宋体"/>
                <w:sz w:val="20"/>
                <w:szCs w:val="20"/>
              </w:rPr>
            </w:pPr>
            <w:r>
              <w:rPr>
                <w:rFonts w:eastAsia="仿宋"/>
                <w:sz w:val="20"/>
                <w:szCs w:val="20"/>
                <w:lang w:bidi="ar"/>
              </w:rPr>
              <w:t>全部（含新建或扩建的独立尾矿库；不含单独的矿石破碎、集运；不含矿区修复治理工程）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单独的矿石破碎、集运；矿区修复治理工程</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七、有色金属矿采选业</w:t>
            </w:r>
            <w:r>
              <w:rPr>
                <w:rFonts w:eastAsia="宋体"/>
                <w:sz w:val="20"/>
                <w:szCs w:val="20"/>
                <w:lang w:bidi="ar"/>
              </w:rPr>
              <w:t xml:space="preserve"> 09</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常用有色金属矿采选</w:t>
            </w:r>
            <w:r>
              <w:rPr>
                <w:rFonts w:eastAsia="宋体"/>
                <w:sz w:val="20"/>
                <w:szCs w:val="20"/>
                <w:lang w:bidi="ar"/>
              </w:rPr>
              <w:t xml:space="preserve">091 </w:t>
            </w:r>
            <w:r>
              <w:rPr>
                <w:rFonts w:eastAsia="仿宋"/>
                <w:sz w:val="20"/>
                <w:szCs w:val="20"/>
                <w:lang w:bidi="ar"/>
              </w:rPr>
              <w:t>；贵金属矿采选</w:t>
            </w:r>
            <w:r>
              <w:rPr>
                <w:rFonts w:eastAsia="宋体"/>
                <w:sz w:val="20"/>
                <w:szCs w:val="20"/>
                <w:lang w:bidi="ar"/>
              </w:rPr>
              <w:t>092</w:t>
            </w:r>
            <w:r>
              <w:rPr>
                <w:rFonts w:eastAsia="仿宋"/>
                <w:sz w:val="20"/>
                <w:szCs w:val="20"/>
                <w:lang w:bidi="ar"/>
              </w:rPr>
              <w:t>；稀有稀土金属矿采选</w:t>
            </w:r>
            <w:r>
              <w:rPr>
                <w:rFonts w:eastAsia="宋体"/>
                <w:sz w:val="20"/>
                <w:szCs w:val="20"/>
                <w:lang w:bidi="ar"/>
              </w:rPr>
              <w:t xml:space="preserve"> 093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全部（含新建或扩建的独立尾矿库；不含单独的矿石破碎、集运；不含矿区修复治理工程）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单独的矿石破碎、集运；矿区修复治理工程</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八、非金属矿采选业</w:t>
            </w:r>
            <w:r>
              <w:rPr>
                <w:rFonts w:eastAsia="宋体"/>
                <w:sz w:val="20"/>
                <w:szCs w:val="20"/>
                <w:lang w:bidi="ar"/>
              </w:rPr>
              <w:t xml:space="preserve"> 10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土砂石开采</w:t>
            </w:r>
            <w:r>
              <w:rPr>
                <w:rFonts w:eastAsia="宋体"/>
                <w:sz w:val="20"/>
                <w:szCs w:val="20"/>
                <w:lang w:bidi="ar"/>
              </w:rPr>
              <w:t xml:space="preserve"> 101</w:t>
            </w:r>
            <w:r>
              <w:rPr>
                <w:rFonts w:eastAsia="仿宋"/>
                <w:sz w:val="20"/>
                <w:szCs w:val="20"/>
                <w:lang w:bidi="ar"/>
              </w:rPr>
              <w:t>（不含河道采砂项目）</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涉及环境敏感区的（不含单独的矿石破碎、集运；不含矿区修复治理工程）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化学矿开采</w:t>
            </w:r>
            <w:r>
              <w:rPr>
                <w:rFonts w:eastAsia="宋体"/>
                <w:sz w:val="20"/>
                <w:szCs w:val="20"/>
                <w:lang w:bidi="ar"/>
              </w:rPr>
              <w:t xml:space="preserve"> 102</w:t>
            </w:r>
            <w:r>
              <w:rPr>
                <w:rFonts w:eastAsia="仿宋"/>
                <w:sz w:val="20"/>
                <w:szCs w:val="20"/>
                <w:lang w:bidi="ar"/>
              </w:rPr>
              <w:t>；石棉及其他非金属矿采选</w:t>
            </w:r>
            <w:r>
              <w:rPr>
                <w:rFonts w:eastAsia="宋体"/>
                <w:sz w:val="20"/>
                <w:szCs w:val="20"/>
                <w:lang w:bidi="ar"/>
              </w:rPr>
              <w:t xml:space="preserve"> 109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全部（不含单独的矿石破碎、集运；不含矿区修复治理工程）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单独的矿石破碎、集运；矿区修复治理工程</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采盐</w:t>
            </w:r>
            <w:r>
              <w:rPr>
                <w:rFonts w:eastAsia="宋体"/>
                <w:sz w:val="20"/>
                <w:szCs w:val="20"/>
                <w:lang w:bidi="ar"/>
              </w:rPr>
              <w:t xml:space="preserve"> 103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井盐</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湖盐、海盐</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九、其他采矿业</w:t>
            </w:r>
            <w:r>
              <w:rPr>
                <w:rFonts w:eastAsia="宋体"/>
                <w:sz w:val="20"/>
                <w:szCs w:val="20"/>
                <w:lang w:bidi="ar"/>
              </w:rPr>
              <w:t xml:space="preserve"> 12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其他采矿业</w:t>
            </w:r>
            <w:r>
              <w:rPr>
                <w:rFonts w:eastAsia="宋体"/>
                <w:sz w:val="20"/>
                <w:szCs w:val="20"/>
                <w:lang w:bidi="ar"/>
              </w:rPr>
              <w:t xml:space="preserve"> 120</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1225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十、农副食品加工业</w:t>
            </w:r>
            <w:r>
              <w:rPr>
                <w:rFonts w:eastAsia="宋体"/>
                <w:sz w:val="20"/>
                <w:szCs w:val="20"/>
                <w:lang w:bidi="ar"/>
              </w:rPr>
              <w:t xml:space="preserve"> 13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谷物磨制</w:t>
            </w:r>
            <w:r>
              <w:rPr>
                <w:rFonts w:eastAsia="宋体"/>
                <w:sz w:val="20"/>
                <w:szCs w:val="20"/>
                <w:lang w:bidi="ar"/>
              </w:rPr>
              <w:t xml:space="preserve"> 131*</w:t>
            </w:r>
            <w:r>
              <w:rPr>
                <w:rFonts w:eastAsia="仿宋"/>
                <w:sz w:val="20"/>
                <w:szCs w:val="20"/>
                <w:lang w:bidi="ar"/>
              </w:rPr>
              <w:t>；饲料加工</w:t>
            </w:r>
            <w:r>
              <w:rPr>
                <w:rFonts w:eastAsia="宋体"/>
                <w:sz w:val="20"/>
                <w:szCs w:val="20"/>
                <w:lang w:bidi="ar"/>
              </w:rPr>
              <w:t xml:space="preserve"> 132*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含发酵工艺的；年加工</w:t>
            </w:r>
            <w:r>
              <w:rPr>
                <w:rFonts w:eastAsia="宋体"/>
                <w:sz w:val="20"/>
                <w:szCs w:val="20"/>
                <w:lang w:bidi="ar"/>
              </w:rPr>
              <w:t>1</w:t>
            </w:r>
            <w:r>
              <w:rPr>
                <w:rFonts w:eastAsia="仿宋"/>
                <w:sz w:val="20"/>
                <w:szCs w:val="20"/>
                <w:lang w:bidi="ar"/>
              </w:rPr>
              <w:t>万吨及以上的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植物油加工</w:t>
            </w:r>
            <w:r>
              <w:rPr>
                <w:rFonts w:eastAsia="宋体"/>
                <w:sz w:val="20"/>
                <w:szCs w:val="20"/>
                <w:lang w:bidi="ar"/>
              </w:rPr>
              <w:t xml:space="preserve"> 133*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除单纯分装、调和外的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制糖业</w:t>
            </w:r>
            <w:r>
              <w:rPr>
                <w:rFonts w:eastAsia="宋体"/>
                <w:sz w:val="20"/>
                <w:szCs w:val="20"/>
                <w:lang w:bidi="ar"/>
              </w:rPr>
              <w:t xml:space="preserve"> 134*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日加工糖料能力</w:t>
            </w:r>
            <w:r>
              <w:rPr>
                <w:rFonts w:eastAsia="宋体"/>
                <w:sz w:val="20"/>
                <w:szCs w:val="20"/>
                <w:lang w:bidi="ar"/>
              </w:rPr>
              <w:t>1000</w:t>
            </w:r>
            <w:r>
              <w:rPr>
                <w:rFonts w:eastAsia="仿宋"/>
                <w:sz w:val="20"/>
                <w:szCs w:val="20"/>
                <w:lang w:bidi="ar"/>
              </w:rPr>
              <w:t>吨及以上的原糖生产</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其他（单纯分装的除外）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屠宰及肉类加工</w:t>
            </w:r>
            <w:r>
              <w:rPr>
                <w:rFonts w:eastAsia="宋体"/>
                <w:sz w:val="20"/>
                <w:szCs w:val="20"/>
                <w:lang w:bidi="ar"/>
              </w:rPr>
              <w:t xml:space="preserve"> 135*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屠宰生猪</w:t>
            </w:r>
            <w:r>
              <w:rPr>
                <w:rFonts w:eastAsia="宋体"/>
                <w:sz w:val="20"/>
                <w:szCs w:val="20"/>
                <w:lang w:bidi="ar"/>
              </w:rPr>
              <w:t xml:space="preserve"> 10 </w:t>
            </w:r>
            <w:r>
              <w:rPr>
                <w:rFonts w:eastAsia="仿宋"/>
                <w:sz w:val="20"/>
                <w:szCs w:val="20"/>
                <w:lang w:bidi="ar"/>
              </w:rPr>
              <w:t>万头、肉牛</w:t>
            </w:r>
            <w:r>
              <w:rPr>
                <w:rFonts w:eastAsia="宋体"/>
                <w:sz w:val="20"/>
                <w:szCs w:val="20"/>
                <w:lang w:bidi="ar"/>
              </w:rPr>
              <w:t xml:space="preserve"> 1 </w:t>
            </w:r>
            <w:r>
              <w:rPr>
                <w:rFonts w:eastAsia="仿宋"/>
                <w:sz w:val="20"/>
                <w:szCs w:val="20"/>
                <w:lang w:bidi="ar"/>
              </w:rPr>
              <w:t>万头、肉羊</w:t>
            </w:r>
            <w:r>
              <w:rPr>
                <w:rFonts w:eastAsia="宋体"/>
                <w:sz w:val="20"/>
                <w:szCs w:val="20"/>
                <w:lang w:bidi="ar"/>
              </w:rPr>
              <w:t xml:space="preserve"> 15</w:t>
            </w:r>
            <w:r>
              <w:rPr>
                <w:rFonts w:eastAsia="仿宋"/>
                <w:sz w:val="20"/>
                <w:szCs w:val="20"/>
                <w:lang w:bidi="ar"/>
              </w:rPr>
              <w:t>万只、禽类</w:t>
            </w:r>
            <w:r>
              <w:rPr>
                <w:rFonts w:eastAsia="宋体"/>
                <w:sz w:val="20"/>
                <w:szCs w:val="20"/>
                <w:lang w:bidi="ar"/>
              </w:rPr>
              <w:t xml:space="preserve"> 1000 </w:t>
            </w:r>
            <w:r>
              <w:rPr>
                <w:rFonts w:eastAsia="仿宋"/>
                <w:sz w:val="20"/>
                <w:szCs w:val="20"/>
                <w:lang w:bidi="ar"/>
              </w:rPr>
              <w:t>万只及以上的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其他屠宰；年加工</w:t>
            </w:r>
            <w:r>
              <w:rPr>
                <w:rFonts w:eastAsia="宋体"/>
                <w:sz w:val="20"/>
                <w:szCs w:val="20"/>
                <w:lang w:bidi="ar"/>
              </w:rPr>
              <w:t>2</w:t>
            </w:r>
            <w:r>
              <w:rPr>
                <w:rFonts w:eastAsia="仿宋"/>
                <w:sz w:val="20"/>
                <w:szCs w:val="20"/>
                <w:lang w:bidi="ar"/>
              </w:rPr>
              <w:t>万吨及以上的肉类加工</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水产品加工</w:t>
            </w:r>
            <w:r>
              <w:rPr>
                <w:rFonts w:eastAsia="宋体"/>
                <w:sz w:val="20"/>
                <w:szCs w:val="20"/>
                <w:lang w:bidi="ar"/>
              </w:rPr>
              <w:t xml:space="preserve"> 136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鱼油提取及制品制造；年加工</w:t>
            </w:r>
            <w:r>
              <w:rPr>
                <w:rFonts w:eastAsia="宋体"/>
                <w:sz w:val="20"/>
                <w:szCs w:val="20"/>
                <w:lang w:bidi="ar"/>
              </w:rPr>
              <w:t>10</w:t>
            </w:r>
            <w:r>
              <w:rPr>
                <w:rFonts w:eastAsia="仿宋"/>
                <w:sz w:val="20"/>
                <w:szCs w:val="20"/>
                <w:lang w:bidi="ar"/>
              </w:rPr>
              <w:t>万吨及以上的；涉及环境敏感区的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20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其他农副食品加工</w:t>
            </w:r>
            <w:r>
              <w:rPr>
                <w:rFonts w:eastAsia="宋体"/>
                <w:sz w:val="20"/>
                <w:szCs w:val="20"/>
                <w:lang w:bidi="ar"/>
              </w:rPr>
              <w:t xml:space="preserve"> 139*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含发酵工艺的淀粉、淀粉糖制造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不含发酵工艺的淀粉、淀粉糖制造；淀粉制品制造；豆制品制造以上均不含单纯分装的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十一、食品制造业</w:t>
            </w:r>
            <w:r>
              <w:rPr>
                <w:rFonts w:eastAsia="宋体"/>
                <w:sz w:val="20"/>
                <w:szCs w:val="20"/>
                <w:lang w:bidi="ar"/>
              </w:rPr>
              <w:t xml:space="preserve"> 14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21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糖果、巧克力及蜜饯制造</w:t>
            </w:r>
            <w:r>
              <w:rPr>
                <w:rFonts w:eastAsia="宋体"/>
                <w:sz w:val="20"/>
                <w:szCs w:val="20"/>
                <w:lang w:bidi="ar"/>
              </w:rPr>
              <w:t xml:space="preserve"> 142*</w:t>
            </w:r>
            <w:r>
              <w:rPr>
                <w:rFonts w:eastAsia="仿宋"/>
                <w:sz w:val="20"/>
                <w:szCs w:val="20"/>
                <w:lang w:bidi="ar"/>
              </w:rPr>
              <w:t>；方便食品制造</w:t>
            </w:r>
            <w:r>
              <w:rPr>
                <w:rFonts w:eastAsia="宋体"/>
                <w:sz w:val="20"/>
                <w:szCs w:val="20"/>
                <w:lang w:bidi="ar"/>
              </w:rPr>
              <w:t xml:space="preserve"> 143*</w:t>
            </w:r>
            <w:r>
              <w:rPr>
                <w:rFonts w:eastAsia="仿宋"/>
                <w:sz w:val="20"/>
                <w:szCs w:val="20"/>
                <w:lang w:bidi="ar"/>
              </w:rPr>
              <w:t>；罐头食品制造</w:t>
            </w:r>
            <w:r>
              <w:rPr>
                <w:rFonts w:eastAsia="宋体"/>
                <w:sz w:val="20"/>
                <w:szCs w:val="20"/>
                <w:lang w:bidi="ar"/>
              </w:rPr>
              <w:t>145*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除单纯分装外的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22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乳制品制造</w:t>
            </w:r>
            <w:r>
              <w:rPr>
                <w:rFonts w:eastAsia="宋体"/>
                <w:sz w:val="20"/>
                <w:szCs w:val="20"/>
                <w:lang w:bidi="ar"/>
              </w:rPr>
              <w:t xml:space="preserve"> 144*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除单纯混合、分装外的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23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调味品、发酵制品制造</w:t>
            </w:r>
            <w:r>
              <w:rPr>
                <w:rFonts w:eastAsia="宋体"/>
                <w:sz w:val="20"/>
                <w:szCs w:val="20"/>
                <w:lang w:bidi="ar"/>
              </w:rPr>
              <w:t xml:space="preserve"> 146*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有发酵工艺的味精、柠檬酸、赖氨酸、酵母制造；年产</w:t>
            </w:r>
            <w:r>
              <w:rPr>
                <w:rFonts w:eastAsia="宋体"/>
                <w:sz w:val="20"/>
                <w:szCs w:val="20"/>
                <w:lang w:bidi="ar"/>
              </w:rPr>
              <w:t>2</w:t>
            </w:r>
            <w:r>
              <w:rPr>
                <w:rFonts w:eastAsia="仿宋"/>
                <w:sz w:val="20"/>
                <w:szCs w:val="20"/>
                <w:lang w:bidi="ar"/>
              </w:rPr>
              <w:t>万吨及以上且有发酵工艺的酱油、食醋制造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其他（单纯混合、分装的除外）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24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其他食品制造</w:t>
            </w:r>
            <w:r>
              <w:rPr>
                <w:rFonts w:eastAsia="宋体"/>
                <w:sz w:val="20"/>
                <w:szCs w:val="20"/>
                <w:lang w:bidi="ar"/>
              </w:rPr>
              <w:t xml:space="preserve"> 149*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有发酵工艺的食品添加剂制造；有发酵工艺的饲料添加剂制造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仿宋"/>
                <w:sz w:val="20"/>
                <w:szCs w:val="20"/>
                <w:lang w:bidi="ar"/>
              </w:rPr>
            </w:pPr>
            <w:r>
              <w:rPr>
                <w:rFonts w:eastAsia="仿宋"/>
                <w:sz w:val="20"/>
                <w:szCs w:val="20"/>
                <w:lang w:bidi="ar"/>
              </w:rPr>
              <w:t>盐加工；营养食品制造、保健食品制造、冷冻饮品及食用冰制造、无发酵工艺的食品及饲料添加剂制造、其他未列明食品制造</w:t>
            </w:r>
          </w:p>
          <w:p>
            <w:pPr>
              <w:widowControl/>
              <w:spacing w:line="240" w:lineRule="auto"/>
              <w:ind w:firstLine="0" w:firstLineChars="0"/>
              <w:jc w:val="center"/>
              <w:textAlignment w:val="center"/>
              <w:rPr>
                <w:rFonts w:eastAsia="宋体"/>
                <w:sz w:val="20"/>
                <w:szCs w:val="20"/>
              </w:rPr>
            </w:pPr>
            <w:r>
              <w:rPr>
                <w:rFonts w:eastAsia="仿宋"/>
                <w:sz w:val="20"/>
                <w:szCs w:val="20"/>
                <w:lang w:bidi="ar"/>
              </w:rPr>
              <w:t>以上均不含单纯混合、分装的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十二、酒、饮料制造业</w:t>
            </w:r>
            <w:r>
              <w:rPr>
                <w:rFonts w:eastAsia="宋体"/>
                <w:sz w:val="20"/>
                <w:szCs w:val="20"/>
                <w:lang w:bidi="ar"/>
              </w:rPr>
              <w:t xml:space="preserve"> 15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6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25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酒的制造</w:t>
            </w:r>
            <w:r>
              <w:rPr>
                <w:rFonts w:eastAsia="宋体"/>
                <w:sz w:val="20"/>
                <w:szCs w:val="20"/>
                <w:lang w:bidi="ar"/>
              </w:rPr>
              <w:t xml:space="preserve"> 151*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有发酵工艺的（年生产能力</w:t>
            </w:r>
            <w:r>
              <w:rPr>
                <w:rFonts w:eastAsia="宋体"/>
                <w:sz w:val="20"/>
                <w:szCs w:val="20"/>
                <w:lang w:bidi="ar"/>
              </w:rPr>
              <w:t>1000</w:t>
            </w:r>
            <w:r>
              <w:rPr>
                <w:rFonts w:eastAsia="仿宋"/>
                <w:sz w:val="20"/>
                <w:szCs w:val="20"/>
                <w:lang w:bidi="ar"/>
              </w:rPr>
              <w:t>千升以下的除外）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其他（单纯勾兑的除外）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26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饮料制造</w:t>
            </w:r>
            <w:r>
              <w:rPr>
                <w:rFonts w:eastAsia="宋体"/>
                <w:sz w:val="20"/>
                <w:szCs w:val="20"/>
                <w:lang w:bidi="ar"/>
              </w:rPr>
              <w:t xml:space="preserve"> 152*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有发酵工艺、原汁生产的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十三、烟草制品业</w:t>
            </w:r>
            <w:r>
              <w:rPr>
                <w:rFonts w:eastAsia="宋体"/>
                <w:sz w:val="20"/>
                <w:szCs w:val="20"/>
                <w:lang w:bidi="ar"/>
              </w:rPr>
              <w:t xml:space="preserve"> 16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27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卷烟制造</w:t>
            </w:r>
            <w:r>
              <w:rPr>
                <w:rFonts w:eastAsia="宋体"/>
                <w:sz w:val="20"/>
                <w:szCs w:val="20"/>
                <w:lang w:bidi="ar"/>
              </w:rPr>
              <w:t xml:space="preserve"> 162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十四、纺织业</w:t>
            </w:r>
            <w:r>
              <w:rPr>
                <w:rFonts w:eastAsia="宋体"/>
                <w:sz w:val="20"/>
                <w:szCs w:val="20"/>
                <w:lang w:bidi="ar"/>
              </w:rPr>
              <w:t xml:space="preserve"> 17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28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棉纺织及印染精加工</w:t>
            </w:r>
            <w:r>
              <w:rPr>
                <w:rFonts w:eastAsia="宋体"/>
                <w:sz w:val="20"/>
                <w:szCs w:val="20"/>
                <w:lang w:bidi="ar"/>
              </w:rPr>
              <w:t>171*</w:t>
            </w:r>
            <w:r>
              <w:rPr>
                <w:rFonts w:eastAsia="仿宋"/>
                <w:sz w:val="20"/>
                <w:szCs w:val="20"/>
                <w:lang w:bidi="ar"/>
              </w:rPr>
              <w:t>；毛纺织及染整精加工</w:t>
            </w:r>
            <w:r>
              <w:rPr>
                <w:rFonts w:eastAsia="宋体"/>
                <w:sz w:val="20"/>
                <w:szCs w:val="20"/>
                <w:lang w:bidi="ar"/>
              </w:rPr>
              <w:t xml:space="preserve"> 172*</w:t>
            </w:r>
            <w:r>
              <w:rPr>
                <w:rFonts w:eastAsia="仿宋"/>
                <w:sz w:val="20"/>
                <w:szCs w:val="20"/>
                <w:lang w:bidi="ar"/>
              </w:rPr>
              <w:t>；麻纺织及染整精加工</w:t>
            </w:r>
            <w:r>
              <w:rPr>
                <w:rFonts w:eastAsia="宋体"/>
                <w:sz w:val="20"/>
                <w:szCs w:val="20"/>
                <w:lang w:bidi="ar"/>
              </w:rPr>
              <w:t xml:space="preserve"> 173*</w:t>
            </w:r>
            <w:r>
              <w:rPr>
                <w:rFonts w:eastAsia="仿宋"/>
                <w:sz w:val="20"/>
                <w:szCs w:val="20"/>
                <w:lang w:bidi="ar"/>
              </w:rPr>
              <w:t>；丝绢纺织及印染精加工</w:t>
            </w:r>
            <w:r>
              <w:rPr>
                <w:rFonts w:eastAsia="宋体"/>
                <w:sz w:val="20"/>
                <w:szCs w:val="20"/>
                <w:lang w:bidi="ar"/>
              </w:rPr>
              <w:t xml:space="preserve"> 174*</w:t>
            </w:r>
            <w:r>
              <w:rPr>
                <w:rFonts w:eastAsia="仿宋"/>
                <w:sz w:val="20"/>
                <w:szCs w:val="20"/>
                <w:lang w:bidi="ar"/>
              </w:rPr>
              <w:t>；化纤织造及印染精加工</w:t>
            </w:r>
            <w:r>
              <w:rPr>
                <w:rFonts w:eastAsia="宋体"/>
                <w:sz w:val="20"/>
                <w:szCs w:val="20"/>
                <w:lang w:bidi="ar"/>
              </w:rPr>
              <w:t xml:space="preserve"> 175*</w:t>
            </w:r>
            <w:r>
              <w:rPr>
                <w:rFonts w:eastAsia="仿宋"/>
                <w:sz w:val="20"/>
                <w:szCs w:val="20"/>
                <w:lang w:bidi="ar"/>
              </w:rPr>
              <w:t>；针织或钩针编织物及其制品制造</w:t>
            </w:r>
            <w:r>
              <w:rPr>
                <w:rFonts w:eastAsia="宋体"/>
                <w:sz w:val="20"/>
                <w:szCs w:val="20"/>
                <w:lang w:bidi="ar"/>
              </w:rPr>
              <w:t xml:space="preserve"> 176*</w:t>
            </w:r>
            <w:r>
              <w:rPr>
                <w:rFonts w:eastAsia="仿宋"/>
                <w:sz w:val="20"/>
                <w:szCs w:val="20"/>
                <w:lang w:bidi="ar"/>
              </w:rPr>
              <w:t>；家用纺织制成品制造</w:t>
            </w:r>
            <w:r>
              <w:rPr>
                <w:rFonts w:eastAsia="宋体"/>
                <w:sz w:val="20"/>
                <w:szCs w:val="20"/>
                <w:lang w:bidi="ar"/>
              </w:rPr>
              <w:t>177*</w:t>
            </w:r>
            <w:r>
              <w:rPr>
                <w:rFonts w:eastAsia="仿宋"/>
                <w:sz w:val="20"/>
                <w:szCs w:val="20"/>
                <w:lang w:bidi="ar"/>
              </w:rPr>
              <w:t>；产业用纺织制成品制造</w:t>
            </w:r>
            <w:r>
              <w:rPr>
                <w:rFonts w:eastAsia="宋体"/>
                <w:sz w:val="20"/>
                <w:szCs w:val="20"/>
                <w:lang w:bidi="ar"/>
              </w:rPr>
              <w:t xml:space="preserve"> 178*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有洗毛、脱胶、缫丝工艺的；染整工艺有前处理、染色、印花（喷墨印花和数码印花的除外）工序的；有使用有机溶剂的涂层工艺的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有喷墨印花或数码印花工艺的；后整理工序涉及有机溶剂的；有喷水织造工艺的；有水刺无纺布织造工艺的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十五、纺织服装、服饰业</w:t>
            </w:r>
            <w:r>
              <w:rPr>
                <w:rFonts w:eastAsia="宋体"/>
                <w:sz w:val="20"/>
                <w:szCs w:val="20"/>
                <w:lang w:bidi="ar"/>
              </w:rPr>
              <w:t xml:space="preserve"> 18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29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机织服装制造</w:t>
            </w:r>
            <w:r>
              <w:rPr>
                <w:rFonts w:eastAsia="宋体"/>
                <w:sz w:val="20"/>
                <w:szCs w:val="20"/>
                <w:lang w:bidi="ar"/>
              </w:rPr>
              <w:t xml:space="preserve"> 181*</w:t>
            </w:r>
            <w:r>
              <w:rPr>
                <w:rFonts w:eastAsia="仿宋"/>
                <w:sz w:val="20"/>
                <w:szCs w:val="20"/>
                <w:lang w:bidi="ar"/>
              </w:rPr>
              <w:t>；针织或钩针编织服装制造</w:t>
            </w:r>
            <w:r>
              <w:rPr>
                <w:rFonts w:eastAsia="宋体"/>
                <w:sz w:val="20"/>
                <w:szCs w:val="20"/>
                <w:lang w:bidi="ar"/>
              </w:rPr>
              <w:t xml:space="preserve"> 182*</w:t>
            </w:r>
            <w:r>
              <w:rPr>
                <w:rFonts w:eastAsia="仿宋"/>
                <w:sz w:val="20"/>
                <w:szCs w:val="20"/>
                <w:lang w:bidi="ar"/>
              </w:rPr>
              <w:t>；服饰制造</w:t>
            </w:r>
            <w:r>
              <w:rPr>
                <w:rFonts w:eastAsia="宋体"/>
                <w:sz w:val="20"/>
                <w:szCs w:val="20"/>
                <w:lang w:bidi="ar"/>
              </w:rPr>
              <w:t>183*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有染色、印花（喷墨印花和数码印花的除外）工序的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有喷墨印花或数码印花工艺的；有洗水、砂洗工艺的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十六、皮革、毛皮、羽毛及其制品和制鞋业</w:t>
            </w:r>
            <w:r>
              <w:rPr>
                <w:rFonts w:eastAsia="宋体"/>
                <w:sz w:val="20"/>
                <w:szCs w:val="20"/>
                <w:lang w:bidi="ar"/>
              </w:rPr>
              <w:t xml:space="preserve"> 19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30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皮革鞣制加工</w:t>
            </w:r>
            <w:r>
              <w:rPr>
                <w:rFonts w:eastAsia="宋体"/>
                <w:sz w:val="20"/>
                <w:szCs w:val="20"/>
                <w:lang w:bidi="ar"/>
              </w:rPr>
              <w:t xml:space="preserve"> 191</w:t>
            </w:r>
            <w:r>
              <w:rPr>
                <w:rFonts w:eastAsia="仿宋"/>
                <w:sz w:val="20"/>
                <w:szCs w:val="20"/>
                <w:lang w:bidi="ar"/>
              </w:rPr>
              <w:t>；皮革制品制造</w:t>
            </w:r>
            <w:r>
              <w:rPr>
                <w:rFonts w:eastAsia="宋体"/>
                <w:sz w:val="20"/>
                <w:szCs w:val="20"/>
                <w:lang w:bidi="ar"/>
              </w:rPr>
              <w:t xml:space="preserve"> 192</w:t>
            </w:r>
            <w:r>
              <w:rPr>
                <w:rFonts w:eastAsia="仿宋"/>
                <w:sz w:val="20"/>
                <w:szCs w:val="20"/>
                <w:lang w:bidi="ar"/>
              </w:rPr>
              <w:t>；毛皮鞣制及制品加工</w:t>
            </w:r>
            <w:r>
              <w:rPr>
                <w:rFonts w:eastAsia="宋体"/>
                <w:sz w:val="20"/>
                <w:szCs w:val="20"/>
                <w:lang w:bidi="ar"/>
              </w:rPr>
              <w:t>193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有鞣制、染色工艺的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其他（无鞣制、染色工艺的毛皮加工除外；无鞣制、染色工艺的皮革制品制造除外）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31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羽毛（绒）加工及制品制造</w:t>
            </w:r>
            <w:r>
              <w:rPr>
                <w:rFonts w:eastAsia="宋体"/>
                <w:sz w:val="20"/>
                <w:szCs w:val="20"/>
                <w:lang w:bidi="ar"/>
              </w:rPr>
              <w:t xml:space="preserve"> 194*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全部（无水洗工艺的羽毛（绒）加工除外；羽毛（绒）制品制造除外）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32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制鞋业</w:t>
            </w:r>
            <w:r>
              <w:rPr>
                <w:rFonts w:eastAsia="宋体"/>
                <w:sz w:val="20"/>
                <w:szCs w:val="20"/>
                <w:lang w:bidi="ar"/>
              </w:rPr>
              <w:t xml:space="preserve"> 195*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有橡胶硫化工艺、塑料注塑工艺的；年用溶剂型胶粘剂</w:t>
            </w:r>
            <w:r>
              <w:rPr>
                <w:rFonts w:eastAsia="宋体"/>
                <w:sz w:val="20"/>
                <w:szCs w:val="20"/>
                <w:lang w:bidi="ar"/>
              </w:rPr>
              <w:t>10</w:t>
            </w:r>
            <w:r>
              <w:rPr>
                <w:rFonts w:eastAsia="仿宋"/>
                <w:sz w:val="20"/>
                <w:szCs w:val="20"/>
                <w:lang w:bidi="ar"/>
              </w:rPr>
              <w:t>吨及以上的，或年用溶剂型处理剂</w:t>
            </w:r>
            <w:r>
              <w:rPr>
                <w:rFonts w:eastAsia="宋体"/>
                <w:sz w:val="20"/>
                <w:szCs w:val="20"/>
                <w:lang w:bidi="ar"/>
              </w:rPr>
              <w:t>3</w:t>
            </w:r>
            <w:r>
              <w:rPr>
                <w:rFonts w:eastAsia="仿宋"/>
                <w:sz w:val="20"/>
                <w:szCs w:val="20"/>
                <w:lang w:bidi="ar"/>
              </w:rPr>
              <w:t>吨及以上的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十七、木材加工和木、竹、藤、棕、草制品业</w:t>
            </w:r>
            <w:r>
              <w:rPr>
                <w:rFonts w:eastAsia="宋体"/>
                <w:sz w:val="20"/>
                <w:szCs w:val="20"/>
                <w:lang w:bidi="ar"/>
              </w:rPr>
              <w:t xml:space="preserve"> 20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33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木材加工</w:t>
            </w:r>
            <w:r>
              <w:rPr>
                <w:rFonts w:eastAsia="宋体"/>
                <w:sz w:val="20"/>
                <w:szCs w:val="20"/>
                <w:lang w:bidi="ar"/>
              </w:rPr>
              <w:t xml:space="preserve"> 201</w:t>
            </w:r>
            <w:r>
              <w:rPr>
                <w:rFonts w:eastAsia="仿宋"/>
                <w:sz w:val="20"/>
                <w:szCs w:val="20"/>
                <w:lang w:bidi="ar"/>
              </w:rPr>
              <w:t>；木质制品制造</w:t>
            </w:r>
            <w:r>
              <w:rPr>
                <w:rFonts w:eastAsia="宋体"/>
                <w:sz w:val="20"/>
                <w:szCs w:val="20"/>
                <w:lang w:bidi="ar"/>
              </w:rPr>
              <w:t xml:space="preserve"> 203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吨以下的，或年用非溶剂型低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 xml:space="preserve">10 </w:t>
            </w:r>
            <w:r>
              <w:rPr>
                <w:rFonts w:eastAsia="仿宋"/>
                <w:sz w:val="20"/>
                <w:szCs w:val="20"/>
                <w:lang w:bidi="ar"/>
              </w:rPr>
              <w:t>吨及以上的；含木片烘干、水煮、染色等工艺的</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34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人造板制造</w:t>
            </w:r>
            <w:r>
              <w:rPr>
                <w:rFonts w:eastAsia="宋体"/>
                <w:sz w:val="20"/>
                <w:szCs w:val="20"/>
                <w:lang w:bidi="ar"/>
              </w:rPr>
              <w:t xml:space="preserve"> 202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年产</w:t>
            </w:r>
            <w:r>
              <w:rPr>
                <w:rFonts w:eastAsia="宋体"/>
                <w:sz w:val="20"/>
                <w:szCs w:val="20"/>
                <w:lang w:bidi="ar"/>
              </w:rPr>
              <w:t>20</w:t>
            </w:r>
            <w:r>
              <w:rPr>
                <w:rFonts w:eastAsia="仿宋"/>
                <w:sz w:val="20"/>
                <w:szCs w:val="20"/>
                <w:lang w:bidi="ar"/>
              </w:rPr>
              <w:t>万立方米及以上的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35</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竹、藤、棕、草等制品制造</w:t>
            </w:r>
            <w:r>
              <w:rPr>
                <w:rFonts w:eastAsia="宋体"/>
                <w:sz w:val="20"/>
                <w:szCs w:val="20"/>
                <w:lang w:bidi="ar"/>
              </w:rPr>
              <w:t xml:space="preserve"> 204*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采用胶合工艺的；年用溶剂型涂料（含稀释剂）</w:t>
            </w:r>
            <w:r>
              <w:rPr>
                <w:rFonts w:eastAsia="宋体"/>
                <w:sz w:val="20"/>
                <w:szCs w:val="20"/>
                <w:lang w:bidi="ar"/>
              </w:rPr>
              <w:t>10</w:t>
            </w:r>
            <w:r>
              <w:rPr>
                <w:rFonts w:eastAsia="仿宋"/>
                <w:sz w:val="20"/>
                <w:szCs w:val="20"/>
                <w:lang w:bidi="ar"/>
              </w:rPr>
              <w:t>吨以下的，或年用非溶剂型低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吨及以上的</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十八、家具制造业</w:t>
            </w:r>
            <w:r>
              <w:rPr>
                <w:rFonts w:eastAsia="宋体"/>
                <w:sz w:val="20"/>
                <w:szCs w:val="20"/>
                <w:lang w:bidi="ar"/>
              </w:rPr>
              <w:t xml:space="preserve"> 21</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36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木质家具制造</w:t>
            </w:r>
            <w:r>
              <w:rPr>
                <w:rFonts w:eastAsia="宋体"/>
                <w:sz w:val="20"/>
                <w:szCs w:val="20"/>
                <w:lang w:bidi="ar"/>
              </w:rPr>
              <w:t xml:space="preserve"> 211*</w:t>
            </w:r>
            <w:r>
              <w:rPr>
                <w:rFonts w:eastAsia="仿宋"/>
                <w:sz w:val="20"/>
                <w:szCs w:val="20"/>
                <w:lang w:bidi="ar"/>
              </w:rPr>
              <w:t>；</w:t>
            </w:r>
            <w:r>
              <w:rPr>
                <w:rFonts w:eastAsia="宋体"/>
                <w:sz w:val="20"/>
                <w:szCs w:val="20"/>
                <w:lang w:bidi="ar"/>
              </w:rPr>
              <w:t xml:space="preserve"> </w:t>
            </w:r>
            <w:r>
              <w:rPr>
                <w:rFonts w:eastAsia="仿宋"/>
                <w:sz w:val="20"/>
                <w:szCs w:val="20"/>
                <w:lang w:bidi="ar"/>
              </w:rPr>
              <w:t>竹</w:t>
            </w:r>
            <w:r>
              <w:rPr>
                <w:rFonts w:eastAsia="宋体"/>
                <w:sz w:val="20"/>
                <w:szCs w:val="20"/>
                <w:lang w:bidi="ar"/>
              </w:rPr>
              <w:t xml:space="preserve"> </w:t>
            </w:r>
            <w:r>
              <w:rPr>
                <w:rFonts w:eastAsia="仿宋"/>
                <w:sz w:val="20"/>
                <w:szCs w:val="20"/>
                <w:lang w:bidi="ar"/>
              </w:rPr>
              <w:t>、</w:t>
            </w:r>
            <w:r>
              <w:rPr>
                <w:rFonts w:eastAsia="宋体"/>
                <w:sz w:val="20"/>
                <w:szCs w:val="20"/>
                <w:lang w:bidi="ar"/>
              </w:rPr>
              <w:t xml:space="preserve"> </w:t>
            </w:r>
            <w:r>
              <w:rPr>
                <w:rFonts w:eastAsia="仿宋"/>
                <w:sz w:val="20"/>
                <w:szCs w:val="20"/>
                <w:lang w:bidi="ar"/>
              </w:rPr>
              <w:t>藤</w:t>
            </w:r>
            <w:r>
              <w:rPr>
                <w:rFonts w:eastAsia="宋体"/>
                <w:sz w:val="20"/>
                <w:szCs w:val="20"/>
                <w:lang w:bidi="ar"/>
              </w:rPr>
              <w:t xml:space="preserve"> </w:t>
            </w:r>
            <w:r>
              <w:rPr>
                <w:rFonts w:eastAsia="仿宋"/>
                <w:sz w:val="20"/>
                <w:szCs w:val="20"/>
                <w:lang w:bidi="ar"/>
              </w:rPr>
              <w:t>家</w:t>
            </w:r>
            <w:r>
              <w:rPr>
                <w:rFonts w:eastAsia="宋体"/>
                <w:sz w:val="20"/>
                <w:szCs w:val="20"/>
                <w:lang w:bidi="ar"/>
              </w:rPr>
              <w:t xml:space="preserve"> </w:t>
            </w:r>
            <w:r>
              <w:rPr>
                <w:rFonts w:eastAsia="仿宋"/>
                <w:sz w:val="20"/>
                <w:szCs w:val="20"/>
                <w:lang w:bidi="ar"/>
              </w:rPr>
              <w:t>具</w:t>
            </w:r>
            <w:r>
              <w:rPr>
                <w:rFonts w:eastAsia="宋体"/>
                <w:sz w:val="20"/>
                <w:szCs w:val="20"/>
                <w:lang w:bidi="ar"/>
              </w:rPr>
              <w:t xml:space="preserve"> </w:t>
            </w:r>
            <w:r>
              <w:rPr>
                <w:rFonts w:eastAsia="仿宋"/>
                <w:sz w:val="20"/>
                <w:szCs w:val="20"/>
                <w:lang w:bidi="ar"/>
              </w:rPr>
              <w:t>制</w:t>
            </w:r>
            <w:r>
              <w:rPr>
                <w:rFonts w:eastAsia="宋体"/>
                <w:sz w:val="20"/>
                <w:szCs w:val="20"/>
                <w:lang w:bidi="ar"/>
              </w:rPr>
              <w:t xml:space="preserve"> </w:t>
            </w:r>
            <w:r>
              <w:rPr>
                <w:rFonts w:eastAsia="仿宋"/>
                <w:sz w:val="20"/>
                <w:szCs w:val="20"/>
                <w:lang w:bidi="ar"/>
              </w:rPr>
              <w:t>造</w:t>
            </w:r>
            <w:r>
              <w:rPr>
                <w:rFonts w:eastAsia="宋体"/>
                <w:sz w:val="20"/>
                <w:szCs w:val="20"/>
                <w:lang w:bidi="ar"/>
              </w:rPr>
              <w:t>212*</w:t>
            </w:r>
            <w:r>
              <w:rPr>
                <w:rFonts w:eastAsia="仿宋"/>
                <w:sz w:val="20"/>
                <w:szCs w:val="20"/>
                <w:lang w:bidi="ar"/>
              </w:rPr>
              <w:t>；金属家具制造</w:t>
            </w:r>
            <w:r>
              <w:rPr>
                <w:rFonts w:eastAsia="宋体"/>
                <w:sz w:val="20"/>
                <w:szCs w:val="20"/>
                <w:lang w:bidi="ar"/>
              </w:rPr>
              <w:t>213*</w:t>
            </w:r>
            <w:r>
              <w:rPr>
                <w:rFonts w:eastAsia="仿宋"/>
                <w:sz w:val="20"/>
                <w:szCs w:val="20"/>
                <w:lang w:bidi="ar"/>
              </w:rPr>
              <w:t>；塑料家具制造</w:t>
            </w:r>
            <w:r>
              <w:rPr>
                <w:rFonts w:eastAsia="宋体"/>
                <w:sz w:val="20"/>
                <w:szCs w:val="20"/>
                <w:lang w:bidi="ar"/>
              </w:rPr>
              <w:t>214*</w:t>
            </w:r>
            <w:r>
              <w:rPr>
                <w:rFonts w:eastAsia="仿宋"/>
                <w:sz w:val="20"/>
                <w:szCs w:val="20"/>
                <w:lang w:bidi="ar"/>
              </w:rPr>
              <w:t>；其他家具制造</w:t>
            </w:r>
            <w:r>
              <w:rPr>
                <w:rFonts w:eastAsia="宋体"/>
                <w:sz w:val="20"/>
                <w:szCs w:val="20"/>
                <w:lang w:bidi="ar"/>
              </w:rPr>
              <w:t>219*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其他（仅分割、组装的除外；年用非溶剂型低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十九、造纸和纸制品业</w:t>
            </w:r>
            <w:r>
              <w:rPr>
                <w:rFonts w:eastAsia="宋体"/>
                <w:sz w:val="20"/>
                <w:szCs w:val="20"/>
                <w:lang w:bidi="ar"/>
              </w:rPr>
              <w:t xml:space="preserve"> 22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37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纸浆制造</w:t>
            </w:r>
            <w:r>
              <w:rPr>
                <w:rFonts w:eastAsia="宋体"/>
                <w:sz w:val="20"/>
                <w:szCs w:val="20"/>
                <w:lang w:bidi="ar"/>
              </w:rPr>
              <w:t xml:space="preserve"> 221*</w:t>
            </w:r>
            <w:r>
              <w:rPr>
                <w:rFonts w:eastAsia="仿宋"/>
                <w:sz w:val="20"/>
                <w:szCs w:val="20"/>
                <w:lang w:bidi="ar"/>
              </w:rPr>
              <w:t>；造纸</w:t>
            </w:r>
            <w:r>
              <w:rPr>
                <w:rFonts w:eastAsia="宋体"/>
                <w:sz w:val="20"/>
                <w:szCs w:val="20"/>
                <w:lang w:bidi="ar"/>
              </w:rPr>
              <w:t>222*</w:t>
            </w:r>
            <w:r>
              <w:rPr>
                <w:rFonts w:eastAsia="仿宋"/>
                <w:sz w:val="20"/>
                <w:szCs w:val="20"/>
                <w:lang w:bidi="ar"/>
              </w:rPr>
              <w:t>（含废纸造纸）</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全部（手工纸、加工纸制造除外）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手工纸制造；有涂布、浸渍、印刷、粘胶工艺的加工纸制造</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38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纸制品制造</w:t>
            </w:r>
            <w:r>
              <w:rPr>
                <w:rFonts w:eastAsia="宋体"/>
                <w:sz w:val="20"/>
                <w:szCs w:val="20"/>
                <w:lang w:bidi="ar"/>
              </w:rPr>
              <w:t xml:space="preserve"> 223*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有涂布、浸渍、印刷、粘胶工艺的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225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二十、印刷和记录媒介复制业</w:t>
            </w:r>
            <w:r>
              <w:rPr>
                <w:rFonts w:eastAsia="宋体"/>
                <w:sz w:val="20"/>
                <w:szCs w:val="20"/>
                <w:lang w:bidi="ar"/>
              </w:rPr>
              <w:t xml:space="preserve"> 23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39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印刷</w:t>
            </w:r>
            <w:r>
              <w:rPr>
                <w:rFonts w:eastAsia="宋体"/>
                <w:sz w:val="20"/>
                <w:szCs w:val="20"/>
                <w:lang w:bidi="ar"/>
              </w:rPr>
              <w:t xml:space="preserve"> 231*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年用溶剂油墨</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其他（激光印刷除外；年用低</w:t>
            </w:r>
            <w:r>
              <w:rPr>
                <w:rFonts w:eastAsia="宋体"/>
                <w:sz w:val="20"/>
                <w:szCs w:val="20"/>
                <w:lang w:bidi="ar"/>
              </w:rPr>
              <w:t>VOCs</w:t>
            </w:r>
            <w:r>
              <w:rPr>
                <w:rFonts w:eastAsia="仿宋"/>
                <w:sz w:val="20"/>
                <w:szCs w:val="20"/>
                <w:lang w:bidi="ar"/>
              </w:rPr>
              <w:t>含量油墨</w:t>
            </w:r>
            <w:r>
              <w:rPr>
                <w:rFonts w:eastAsia="宋体"/>
                <w:sz w:val="20"/>
                <w:szCs w:val="20"/>
                <w:lang w:bidi="ar"/>
              </w:rPr>
              <w:t>10</w:t>
            </w:r>
            <w:r>
              <w:rPr>
                <w:rFonts w:eastAsia="仿宋"/>
                <w:sz w:val="20"/>
                <w:szCs w:val="20"/>
                <w:lang w:bidi="ar"/>
              </w:rPr>
              <w:t>吨以下的印刷除外）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二十一、文教、工美、体育和娱乐用品制造业</w:t>
            </w:r>
            <w:r>
              <w:rPr>
                <w:rFonts w:eastAsia="宋体"/>
                <w:sz w:val="20"/>
                <w:szCs w:val="20"/>
                <w:lang w:bidi="ar"/>
              </w:rPr>
              <w:t xml:space="preserve"> 24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40</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文教办公用品制造</w:t>
            </w:r>
            <w:r>
              <w:rPr>
                <w:rFonts w:eastAsia="宋体"/>
                <w:sz w:val="20"/>
                <w:szCs w:val="20"/>
                <w:lang w:bidi="ar"/>
              </w:rPr>
              <w:t xml:space="preserve">241* </w:t>
            </w:r>
            <w:r>
              <w:rPr>
                <w:rFonts w:eastAsia="仿宋"/>
                <w:sz w:val="20"/>
                <w:szCs w:val="20"/>
                <w:lang w:bidi="ar"/>
              </w:rPr>
              <w:t>；乐器制造</w:t>
            </w:r>
            <w:r>
              <w:rPr>
                <w:rFonts w:eastAsia="宋体"/>
                <w:sz w:val="20"/>
                <w:szCs w:val="20"/>
                <w:lang w:bidi="ar"/>
              </w:rPr>
              <w:t>242*</w:t>
            </w:r>
            <w:r>
              <w:rPr>
                <w:rFonts w:eastAsia="仿宋"/>
                <w:sz w:val="20"/>
                <w:szCs w:val="20"/>
                <w:lang w:bidi="ar"/>
              </w:rPr>
              <w:t>；体育用品制造</w:t>
            </w:r>
            <w:r>
              <w:rPr>
                <w:rFonts w:eastAsia="宋体"/>
                <w:sz w:val="20"/>
                <w:szCs w:val="20"/>
                <w:lang w:bidi="ar"/>
              </w:rPr>
              <w:t xml:space="preserve">244* </w:t>
            </w:r>
            <w:r>
              <w:rPr>
                <w:rFonts w:eastAsia="仿宋"/>
                <w:sz w:val="20"/>
                <w:szCs w:val="20"/>
                <w:lang w:bidi="ar"/>
              </w:rPr>
              <w:t>；玩具制造</w:t>
            </w:r>
            <w:r>
              <w:rPr>
                <w:rFonts w:eastAsia="宋体"/>
                <w:sz w:val="20"/>
                <w:szCs w:val="20"/>
                <w:lang w:bidi="ar"/>
              </w:rPr>
              <w:t>245*</w:t>
            </w:r>
            <w:r>
              <w:rPr>
                <w:rFonts w:eastAsia="仿宋"/>
                <w:sz w:val="20"/>
                <w:szCs w:val="20"/>
                <w:lang w:bidi="ar"/>
              </w:rPr>
              <w:t>；游艺器材及娱乐用品制造</w:t>
            </w:r>
            <w:r>
              <w:rPr>
                <w:rFonts w:eastAsia="宋体"/>
                <w:sz w:val="20"/>
                <w:szCs w:val="20"/>
                <w:lang w:bidi="ar"/>
              </w:rPr>
              <w:t xml:space="preserve"> 246*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有橡胶硫化工艺、塑料注塑工艺的；年用溶剂型涂料（含稀释剂）</w:t>
            </w:r>
            <w:r>
              <w:rPr>
                <w:rFonts w:eastAsia="宋体"/>
                <w:sz w:val="20"/>
                <w:szCs w:val="20"/>
                <w:lang w:bidi="ar"/>
              </w:rPr>
              <w:t>10</w:t>
            </w:r>
            <w:r>
              <w:rPr>
                <w:rFonts w:eastAsia="仿宋"/>
                <w:sz w:val="20"/>
                <w:szCs w:val="20"/>
                <w:lang w:bidi="ar"/>
              </w:rPr>
              <w:t>吨以下的，或年用非溶剂型低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吨及以上的；年用溶剂型胶粘剂</w:t>
            </w:r>
            <w:r>
              <w:rPr>
                <w:rFonts w:eastAsia="宋体"/>
                <w:sz w:val="20"/>
                <w:szCs w:val="20"/>
                <w:lang w:bidi="ar"/>
              </w:rPr>
              <w:t xml:space="preserve">10 </w:t>
            </w:r>
            <w:r>
              <w:rPr>
                <w:rFonts w:eastAsia="仿宋"/>
                <w:sz w:val="20"/>
                <w:szCs w:val="20"/>
                <w:lang w:bidi="ar"/>
              </w:rPr>
              <w:t>吨及以上的，或年用溶剂型处理剂</w:t>
            </w:r>
            <w:r>
              <w:rPr>
                <w:rFonts w:eastAsia="宋体"/>
                <w:sz w:val="20"/>
                <w:szCs w:val="20"/>
                <w:lang w:bidi="ar"/>
              </w:rPr>
              <w:t>3</w:t>
            </w:r>
            <w:r>
              <w:rPr>
                <w:rFonts w:eastAsia="仿宋"/>
                <w:sz w:val="20"/>
                <w:szCs w:val="20"/>
                <w:lang w:bidi="ar"/>
              </w:rPr>
              <w:t>吨及以上的</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41</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工艺美术及礼仪用品制造</w:t>
            </w:r>
            <w:r>
              <w:rPr>
                <w:rFonts w:eastAsia="宋体"/>
                <w:sz w:val="20"/>
                <w:szCs w:val="20"/>
                <w:lang w:bidi="ar"/>
              </w:rPr>
              <w:t xml:space="preserve"> 243*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吨以下的，或年用非溶剂型低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吨及以上的</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二十二、石油、煤炭及其他燃料加工业</w:t>
            </w:r>
            <w:r>
              <w:rPr>
                <w:rFonts w:eastAsia="宋体"/>
                <w:sz w:val="20"/>
                <w:szCs w:val="20"/>
                <w:lang w:bidi="ar"/>
              </w:rPr>
              <w:t xml:space="preserve"> 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9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42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精炼石油产品制造</w:t>
            </w:r>
            <w:r>
              <w:rPr>
                <w:rFonts w:eastAsia="宋体"/>
                <w:sz w:val="20"/>
                <w:szCs w:val="20"/>
                <w:lang w:bidi="ar"/>
              </w:rPr>
              <w:t>251</w:t>
            </w:r>
            <w:r>
              <w:rPr>
                <w:rFonts w:eastAsia="仿宋"/>
                <w:sz w:val="20"/>
                <w:szCs w:val="20"/>
                <w:lang w:bidi="ar"/>
              </w:rPr>
              <w:t>；煤炭加工</w:t>
            </w:r>
            <w:r>
              <w:rPr>
                <w:rFonts w:eastAsia="宋体"/>
                <w:sz w:val="20"/>
                <w:szCs w:val="20"/>
                <w:lang w:bidi="ar"/>
              </w:rPr>
              <w:t xml:space="preserve"> 252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全部（单纯物理分离、物理提纯、混合、分装的除外；煤制品制造除外；其他煤炭加工除外）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单纯物理分离、物理提纯、混合、分装的（不产生废水或挥发性有机物的除外）；煤制品制造；其他煤炭加工</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textAlignment w:val="center"/>
              <w:rPr>
                <w:rFonts w:eastAsia="宋体"/>
                <w:sz w:val="16"/>
                <w:szCs w:val="16"/>
              </w:rPr>
            </w:pPr>
            <w:r>
              <w:rPr>
                <w:rFonts w:eastAsia="仿宋"/>
                <w:sz w:val="20"/>
                <w:szCs w:val="20"/>
                <w:lang w:bidi="ar"/>
              </w:rPr>
              <w:t>此类项目不包括新建炼油及扩建一次炼油项目（不包括列入国务院批准的国家能源发展规划、石化产业规划布局方案的扩建项目）。年产超过20亿立方米的煤制天然气项目；年产超过100万吨的煤制油项目；年产超过100万吨的煤制甲醇项目；年产超过50万吨的煤经甲醇制烯烃项目。</w:t>
            </w: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43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生物质燃料加工</w:t>
            </w:r>
            <w:r>
              <w:rPr>
                <w:rFonts w:eastAsia="宋体"/>
                <w:sz w:val="20"/>
                <w:szCs w:val="20"/>
                <w:lang w:bidi="ar"/>
              </w:rPr>
              <w:t xml:space="preserve"> 254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生物质液体燃料生产</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生物质致密成型燃料加工</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二十三、化学原料和化学制品制造业</w:t>
            </w:r>
            <w:r>
              <w:rPr>
                <w:rFonts w:eastAsia="宋体"/>
                <w:sz w:val="20"/>
                <w:szCs w:val="20"/>
                <w:lang w:bidi="ar"/>
              </w:rPr>
              <w:t xml:space="preserve"> 26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1465"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44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基础化学原料制造</w:t>
            </w:r>
            <w:r>
              <w:rPr>
                <w:rFonts w:eastAsia="宋体"/>
                <w:sz w:val="20"/>
                <w:szCs w:val="20"/>
                <w:lang w:bidi="ar"/>
              </w:rPr>
              <w:t>261</w:t>
            </w:r>
            <w:r>
              <w:rPr>
                <w:rFonts w:eastAsia="仿宋"/>
                <w:sz w:val="20"/>
                <w:szCs w:val="20"/>
                <w:lang w:bidi="ar"/>
              </w:rPr>
              <w:t>；农药制造</w:t>
            </w:r>
            <w:r>
              <w:rPr>
                <w:rFonts w:eastAsia="宋体"/>
                <w:sz w:val="20"/>
                <w:szCs w:val="20"/>
                <w:lang w:bidi="ar"/>
              </w:rPr>
              <w:t xml:space="preserve"> 263</w:t>
            </w:r>
            <w:r>
              <w:rPr>
                <w:rFonts w:eastAsia="仿宋"/>
                <w:sz w:val="20"/>
                <w:szCs w:val="20"/>
                <w:lang w:bidi="ar"/>
              </w:rPr>
              <w:t>；涂料、油墨、颜料及类似产品制造</w:t>
            </w:r>
            <w:r>
              <w:rPr>
                <w:rFonts w:eastAsia="宋体"/>
                <w:sz w:val="20"/>
                <w:szCs w:val="20"/>
                <w:lang w:bidi="ar"/>
              </w:rPr>
              <w:t xml:space="preserve"> 264</w:t>
            </w:r>
            <w:r>
              <w:rPr>
                <w:rFonts w:eastAsia="仿宋"/>
                <w:sz w:val="20"/>
                <w:szCs w:val="20"/>
                <w:lang w:bidi="ar"/>
              </w:rPr>
              <w:t>；合成材料制造</w:t>
            </w:r>
            <w:r>
              <w:rPr>
                <w:rFonts w:eastAsia="宋体"/>
                <w:sz w:val="20"/>
                <w:szCs w:val="20"/>
                <w:lang w:bidi="ar"/>
              </w:rPr>
              <w:t xml:space="preserve"> 265</w:t>
            </w:r>
            <w:r>
              <w:rPr>
                <w:rFonts w:eastAsia="仿宋"/>
                <w:sz w:val="20"/>
                <w:szCs w:val="20"/>
                <w:lang w:bidi="ar"/>
              </w:rPr>
              <w:t>；专用化学产品制造</w:t>
            </w:r>
            <w:r>
              <w:rPr>
                <w:rFonts w:eastAsia="宋体"/>
                <w:sz w:val="20"/>
                <w:szCs w:val="20"/>
                <w:lang w:bidi="ar"/>
              </w:rPr>
              <w:t>266</w:t>
            </w:r>
            <w:r>
              <w:rPr>
                <w:rFonts w:eastAsia="仿宋"/>
                <w:sz w:val="20"/>
                <w:szCs w:val="20"/>
                <w:lang w:bidi="ar"/>
              </w:rPr>
              <w:t>；炸药、火工及焰火产品制造</w:t>
            </w:r>
            <w:r>
              <w:rPr>
                <w:rFonts w:eastAsia="宋体"/>
                <w:sz w:val="20"/>
                <w:szCs w:val="20"/>
                <w:lang w:bidi="ar"/>
              </w:rPr>
              <w:t xml:space="preserve"> 267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全部（含研发中试；不含单纯物理分离、物理提纯、混合、分装的）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单纯物理分离、物理提纯、混合、分装的（不产生废水或挥发性有机物的除外）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45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肥料制造</w:t>
            </w:r>
            <w:r>
              <w:rPr>
                <w:rFonts w:eastAsia="宋体"/>
                <w:sz w:val="20"/>
                <w:szCs w:val="20"/>
                <w:lang w:bidi="ar"/>
              </w:rPr>
              <w:t xml:space="preserve"> 262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化学方法生产氮肥、磷肥、复混肥的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71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46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日用化学产品制造</w:t>
            </w:r>
            <w:r>
              <w:rPr>
                <w:rFonts w:eastAsia="宋体"/>
                <w:sz w:val="20"/>
                <w:szCs w:val="20"/>
                <w:lang w:bidi="ar"/>
              </w:rPr>
              <w:t>268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仿宋"/>
                <w:sz w:val="20"/>
                <w:szCs w:val="20"/>
                <w:lang w:bidi="ar"/>
              </w:rPr>
            </w:pPr>
            <w:r>
              <w:rPr>
                <w:rFonts w:eastAsia="仿宋"/>
                <w:sz w:val="20"/>
                <w:szCs w:val="20"/>
                <w:lang w:bidi="ar"/>
              </w:rPr>
              <w:t>以油脂为原料的肥皂或皂粒制造（采用连续皂化工艺、油脂水解工艺的除外）；香料制造</w:t>
            </w:r>
          </w:p>
          <w:p>
            <w:pPr>
              <w:widowControl/>
              <w:spacing w:line="240" w:lineRule="auto"/>
              <w:ind w:firstLine="0" w:firstLineChars="0"/>
              <w:jc w:val="center"/>
              <w:textAlignment w:val="center"/>
              <w:rPr>
                <w:rFonts w:eastAsia="宋体"/>
                <w:sz w:val="20"/>
                <w:szCs w:val="20"/>
              </w:rPr>
            </w:pPr>
            <w:r>
              <w:rPr>
                <w:rFonts w:eastAsia="仿宋"/>
                <w:sz w:val="20"/>
                <w:szCs w:val="20"/>
                <w:lang w:bidi="ar"/>
              </w:rPr>
              <w:t>以上均不含单纯混合或分装的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采用连续皂化工艺、油脂水解工艺的肥皂或皂粒制造；采用高塔喷粉工艺的合成洗衣粉制造；采用热反应工艺的香精制造；烫发剂、染发剂制造</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二十四、医药制造业</w:t>
            </w:r>
            <w:r>
              <w:rPr>
                <w:rFonts w:eastAsia="宋体"/>
                <w:sz w:val="20"/>
                <w:szCs w:val="20"/>
                <w:lang w:bidi="ar"/>
              </w:rPr>
              <w:t xml:space="preserve"> 27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1489"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47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化学药品原料药制造</w:t>
            </w:r>
            <w:r>
              <w:rPr>
                <w:rFonts w:eastAsia="宋体"/>
                <w:sz w:val="20"/>
                <w:szCs w:val="20"/>
                <w:lang w:bidi="ar"/>
              </w:rPr>
              <w:t>271</w:t>
            </w:r>
            <w:r>
              <w:rPr>
                <w:rFonts w:eastAsia="仿宋"/>
                <w:sz w:val="20"/>
                <w:szCs w:val="20"/>
                <w:lang w:bidi="ar"/>
              </w:rPr>
              <w:t>；化学药品制剂制造</w:t>
            </w:r>
            <w:r>
              <w:rPr>
                <w:rFonts w:eastAsia="宋体"/>
                <w:sz w:val="20"/>
                <w:szCs w:val="20"/>
                <w:lang w:bidi="ar"/>
              </w:rPr>
              <w:t xml:space="preserve"> 272</w:t>
            </w:r>
            <w:r>
              <w:rPr>
                <w:rFonts w:eastAsia="仿宋"/>
                <w:sz w:val="20"/>
                <w:szCs w:val="20"/>
                <w:lang w:bidi="ar"/>
              </w:rPr>
              <w:t>；兽用药品制造</w:t>
            </w:r>
            <w:r>
              <w:rPr>
                <w:rFonts w:eastAsia="宋体"/>
                <w:sz w:val="20"/>
                <w:szCs w:val="20"/>
                <w:lang w:bidi="ar"/>
              </w:rPr>
              <w:t xml:space="preserve"> 275</w:t>
            </w:r>
            <w:r>
              <w:rPr>
                <w:rFonts w:eastAsia="仿宋"/>
                <w:sz w:val="20"/>
                <w:szCs w:val="20"/>
                <w:lang w:bidi="ar"/>
              </w:rPr>
              <w:t>；生物药品制品制造</w:t>
            </w:r>
            <w:r>
              <w:rPr>
                <w:rFonts w:eastAsia="宋体"/>
                <w:sz w:val="20"/>
                <w:szCs w:val="20"/>
                <w:lang w:bidi="ar"/>
              </w:rPr>
              <w:t xml:space="preserve"> 276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全部（含研发中试；不含单纯药品复配、分装；不含化学药品制剂制造的）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单纯药品复配且产生废水或挥发性有机物的；仅化学药品制剂制造</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48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中药饮片加工</w:t>
            </w:r>
            <w:r>
              <w:rPr>
                <w:rFonts w:eastAsia="宋体"/>
                <w:sz w:val="20"/>
                <w:szCs w:val="20"/>
                <w:lang w:bidi="ar"/>
              </w:rPr>
              <w:t xml:space="preserve"> 273*</w:t>
            </w:r>
            <w:r>
              <w:rPr>
                <w:rFonts w:eastAsia="仿宋"/>
                <w:sz w:val="20"/>
                <w:szCs w:val="20"/>
                <w:lang w:bidi="ar"/>
              </w:rPr>
              <w:t>；</w:t>
            </w:r>
            <w:r>
              <w:rPr>
                <w:rFonts w:eastAsia="宋体"/>
                <w:sz w:val="20"/>
                <w:szCs w:val="20"/>
                <w:lang w:bidi="ar"/>
              </w:rPr>
              <w:t xml:space="preserve"> </w:t>
            </w:r>
            <w:r>
              <w:rPr>
                <w:rFonts w:eastAsia="仿宋"/>
                <w:sz w:val="20"/>
                <w:szCs w:val="20"/>
                <w:lang w:bidi="ar"/>
              </w:rPr>
              <w:t>中成药生产</w:t>
            </w:r>
            <w:r>
              <w:rPr>
                <w:rFonts w:eastAsia="宋体"/>
                <w:sz w:val="20"/>
                <w:szCs w:val="20"/>
                <w:lang w:bidi="ar"/>
              </w:rPr>
              <w:t xml:space="preserve"> 274*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有提炼工艺的（仅醇提、水提的除外）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其他（单纯切片、制干、打包的除外）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49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卫生材料及医药用品制造</w:t>
            </w:r>
            <w:r>
              <w:rPr>
                <w:rFonts w:eastAsia="宋体"/>
                <w:sz w:val="20"/>
                <w:szCs w:val="20"/>
                <w:lang w:bidi="ar"/>
              </w:rPr>
              <w:t xml:space="preserve"> 277</w:t>
            </w:r>
            <w:r>
              <w:rPr>
                <w:rFonts w:eastAsia="仿宋"/>
                <w:sz w:val="20"/>
                <w:szCs w:val="20"/>
                <w:lang w:bidi="ar"/>
              </w:rPr>
              <w:t>；药用辅料及包装材料制造</w:t>
            </w:r>
            <w:r>
              <w:rPr>
                <w:rFonts w:eastAsia="宋体"/>
                <w:sz w:val="20"/>
                <w:szCs w:val="20"/>
                <w:lang w:bidi="ar"/>
              </w:rPr>
              <w:t xml:space="preserve"> 278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卫生材料及医药用品制造（仅组装、分装的除外）；含有机合成反应的药用辅料制造；含有机合成反应的包装材料制造</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二十五、化学纤维制造业</w:t>
            </w:r>
            <w:r>
              <w:rPr>
                <w:rFonts w:eastAsia="宋体"/>
                <w:sz w:val="20"/>
                <w:szCs w:val="20"/>
                <w:lang w:bidi="ar"/>
              </w:rPr>
              <w:t xml:space="preserve"> 28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50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纤维素纤维原料及纤维制造</w:t>
            </w:r>
            <w:r>
              <w:rPr>
                <w:rFonts w:eastAsia="宋体"/>
                <w:sz w:val="20"/>
                <w:szCs w:val="20"/>
                <w:lang w:bidi="ar"/>
              </w:rPr>
              <w:t xml:space="preserve"> 281</w:t>
            </w:r>
            <w:r>
              <w:rPr>
                <w:rFonts w:eastAsia="仿宋"/>
                <w:sz w:val="20"/>
                <w:szCs w:val="20"/>
                <w:lang w:bidi="ar"/>
              </w:rPr>
              <w:t>；合成纤维制造</w:t>
            </w:r>
            <w:r>
              <w:rPr>
                <w:rFonts w:eastAsia="宋体"/>
                <w:sz w:val="20"/>
                <w:szCs w:val="20"/>
                <w:lang w:bidi="ar"/>
              </w:rPr>
              <w:t xml:space="preserve"> 282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全部（单纯纺丝、单纯丙纶纤维制造的除外）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单纯纺丝制造；单纯丙纶纤维制造</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39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51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生物基材料制造</w:t>
            </w:r>
            <w:r>
              <w:rPr>
                <w:rFonts w:eastAsia="宋体"/>
                <w:sz w:val="20"/>
                <w:szCs w:val="20"/>
                <w:lang w:bidi="ar"/>
              </w:rPr>
              <w:t xml:space="preserve"> 283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生物基化学纤维制造（单纯纺丝的除外）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单纯纺丝制造</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二十六、橡胶和塑料制品业</w:t>
            </w:r>
            <w:r>
              <w:rPr>
                <w:rFonts w:eastAsia="宋体"/>
                <w:sz w:val="20"/>
                <w:szCs w:val="20"/>
                <w:lang w:bidi="ar"/>
              </w:rPr>
              <w:t xml:space="preserve"> 29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52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橡胶制品业</w:t>
            </w:r>
            <w:r>
              <w:rPr>
                <w:rFonts w:eastAsia="宋体"/>
                <w:sz w:val="20"/>
                <w:szCs w:val="20"/>
                <w:lang w:bidi="ar"/>
              </w:rPr>
              <w:t xml:space="preserve"> 291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轮胎制造；再生橡胶制造（常压连续脱硫工艺除外）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53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塑料制品业</w:t>
            </w:r>
            <w:r>
              <w:rPr>
                <w:rFonts w:eastAsia="宋体"/>
                <w:sz w:val="20"/>
                <w:szCs w:val="20"/>
                <w:lang w:bidi="ar"/>
              </w:rPr>
              <w:t xml:space="preserve"> 292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以再生塑料为原料生产的；年用溶剂型胶粘剂</w:t>
            </w:r>
            <w:r>
              <w:rPr>
                <w:rFonts w:eastAsia="宋体"/>
                <w:sz w:val="20"/>
                <w:szCs w:val="20"/>
                <w:lang w:bidi="ar"/>
              </w:rPr>
              <w:t>10</w:t>
            </w:r>
            <w:r>
              <w:rPr>
                <w:rFonts w:eastAsia="仿宋"/>
                <w:sz w:val="20"/>
                <w:szCs w:val="20"/>
                <w:lang w:bidi="ar"/>
              </w:rPr>
              <w:t>吨及以上的；</w:t>
            </w:r>
            <w:r>
              <w:rPr>
                <w:rFonts w:eastAsia="宋体"/>
                <w:sz w:val="20"/>
                <w:szCs w:val="20"/>
                <w:lang w:bidi="ar"/>
              </w:rPr>
              <w:t xml:space="preserve"> </w:t>
            </w: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二十七、非金属矿物制品业</w:t>
            </w:r>
            <w:r>
              <w:rPr>
                <w:rFonts w:eastAsia="宋体"/>
                <w:sz w:val="20"/>
                <w:szCs w:val="20"/>
                <w:lang w:bidi="ar"/>
              </w:rPr>
              <w:t xml:space="preserve"> 30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51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54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水泥、石灰和石膏制造</w:t>
            </w:r>
            <w:r>
              <w:rPr>
                <w:rFonts w:eastAsia="宋体"/>
                <w:sz w:val="20"/>
                <w:szCs w:val="20"/>
                <w:lang w:bidi="ar"/>
              </w:rPr>
              <w:t xml:space="preserve"> 301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水泥制造（水泥粉磨站除外）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水泥粉磨站；石灰和石膏制造</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55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石膏、水泥制品及类似制品制造</w:t>
            </w:r>
            <w:r>
              <w:rPr>
                <w:rFonts w:eastAsia="宋体"/>
                <w:sz w:val="20"/>
                <w:szCs w:val="20"/>
                <w:lang w:bidi="ar"/>
              </w:rPr>
              <w:t xml:space="preserve"> 302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商品混凝土；砼结构构件制造；水泥制品制造</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56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砖瓦、石材等建筑材料制造</w:t>
            </w:r>
            <w:r>
              <w:rPr>
                <w:rFonts w:eastAsia="宋体"/>
                <w:sz w:val="20"/>
                <w:szCs w:val="20"/>
                <w:lang w:bidi="ar"/>
              </w:rPr>
              <w:t xml:space="preserve"> 303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仿宋"/>
                <w:sz w:val="20"/>
                <w:szCs w:val="20"/>
                <w:lang w:bidi="ar"/>
              </w:rPr>
            </w:pPr>
            <w:r>
              <w:rPr>
                <w:rFonts w:eastAsia="仿宋"/>
                <w:sz w:val="20"/>
                <w:szCs w:val="20"/>
                <w:lang w:bidi="ar"/>
              </w:rPr>
              <w:t>粘土砖瓦及建筑砌块制造；建筑用石加工；防水建筑材料制造；隔热、隔音材料制造；其他建筑材料制造（含干粉砂浆搅拌站）</w:t>
            </w:r>
          </w:p>
          <w:p>
            <w:pPr>
              <w:widowControl/>
              <w:spacing w:line="240" w:lineRule="auto"/>
              <w:ind w:firstLine="0" w:firstLineChars="0"/>
              <w:jc w:val="center"/>
              <w:textAlignment w:val="center"/>
              <w:rPr>
                <w:rFonts w:eastAsia="宋体"/>
                <w:sz w:val="20"/>
                <w:szCs w:val="20"/>
              </w:rPr>
            </w:pPr>
            <w:r>
              <w:rPr>
                <w:rFonts w:eastAsia="仿宋"/>
                <w:sz w:val="20"/>
                <w:szCs w:val="20"/>
                <w:lang w:bidi="ar"/>
              </w:rPr>
              <w:t>以上均不含利用石材板材切割、打磨、成型的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57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玻璃制造</w:t>
            </w:r>
            <w:r>
              <w:rPr>
                <w:rFonts w:eastAsia="宋体"/>
                <w:sz w:val="20"/>
                <w:szCs w:val="20"/>
                <w:lang w:bidi="ar"/>
              </w:rPr>
              <w:t xml:space="preserve"> 304</w:t>
            </w:r>
            <w:r>
              <w:rPr>
                <w:rFonts w:eastAsia="仿宋"/>
                <w:sz w:val="20"/>
                <w:szCs w:val="20"/>
                <w:lang w:bidi="ar"/>
              </w:rPr>
              <w:t>；玻璃制品制造</w:t>
            </w:r>
            <w:r>
              <w:rPr>
                <w:rFonts w:eastAsia="宋体"/>
                <w:sz w:val="20"/>
                <w:szCs w:val="20"/>
                <w:lang w:bidi="ar"/>
              </w:rPr>
              <w:t xml:space="preserve"> 305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平板玻璃制造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特种玻璃制造；其他玻璃制造；</w:t>
            </w:r>
            <w:r>
              <w:rPr>
                <w:rFonts w:eastAsia="宋体"/>
                <w:sz w:val="20"/>
                <w:szCs w:val="20"/>
                <w:lang w:bidi="ar"/>
              </w:rPr>
              <w:t xml:space="preserve"> </w:t>
            </w:r>
            <w:r>
              <w:rPr>
                <w:rFonts w:eastAsia="仿宋"/>
                <w:sz w:val="20"/>
                <w:szCs w:val="20"/>
                <w:lang w:bidi="ar"/>
              </w:rPr>
              <w:t>玻璃制品制造（电加热的除外；</w:t>
            </w:r>
            <w:r>
              <w:rPr>
                <w:rFonts w:eastAsia="宋体"/>
                <w:sz w:val="20"/>
                <w:szCs w:val="20"/>
                <w:lang w:bidi="ar"/>
              </w:rPr>
              <w:t xml:space="preserve"> </w:t>
            </w:r>
            <w:r>
              <w:rPr>
                <w:rFonts w:eastAsia="仿宋"/>
                <w:sz w:val="20"/>
                <w:szCs w:val="20"/>
                <w:lang w:bidi="ar"/>
              </w:rPr>
              <w:t>仅切割、打磨、成型的除外）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58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玻璃纤维和玻璃纤维增强塑料制品制造</w:t>
            </w:r>
            <w:r>
              <w:rPr>
                <w:rFonts w:eastAsia="宋体"/>
                <w:sz w:val="20"/>
                <w:szCs w:val="20"/>
                <w:lang w:bidi="ar"/>
              </w:rPr>
              <w:t xml:space="preserve"> 306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59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陶瓷制品制造</w:t>
            </w:r>
            <w:r>
              <w:rPr>
                <w:rFonts w:eastAsia="宋体"/>
                <w:sz w:val="20"/>
                <w:szCs w:val="20"/>
                <w:lang w:bidi="ar"/>
              </w:rPr>
              <w:t xml:space="preserve"> 307*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使用高污染燃料的</w:t>
            </w:r>
            <w:r>
              <w:rPr>
                <w:rFonts w:eastAsia="宋体"/>
                <w:sz w:val="20"/>
                <w:szCs w:val="20"/>
                <w:lang w:bidi="ar"/>
              </w:rPr>
              <w:br w:type="textWrapping"/>
            </w:r>
            <w:r>
              <w:rPr>
                <w:rFonts w:eastAsia="仿宋"/>
                <w:sz w:val="20"/>
                <w:szCs w:val="20"/>
                <w:lang w:bidi="ar"/>
              </w:rPr>
              <w:t>（高污染燃料指国环规大气〔</w:t>
            </w:r>
            <w:r>
              <w:rPr>
                <w:rFonts w:eastAsia="宋体"/>
                <w:sz w:val="20"/>
                <w:szCs w:val="20"/>
                <w:lang w:bidi="ar"/>
              </w:rPr>
              <w:t>2017</w:t>
            </w:r>
            <w:r>
              <w:rPr>
                <w:rFonts w:eastAsia="仿宋"/>
                <w:sz w:val="20"/>
                <w:szCs w:val="20"/>
                <w:lang w:bidi="ar"/>
              </w:rPr>
              <w:t>〕</w:t>
            </w:r>
            <w:r>
              <w:rPr>
                <w:rFonts w:eastAsia="宋体"/>
                <w:sz w:val="20"/>
                <w:szCs w:val="20"/>
                <w:lang w:bidi="ar"/>
              </w:rPr>
              <w:t>2</w:t>
            </w:r>
            <w:r>
              <w:rPr>
                <w:rFonts w:eastAsia="仿宋"/>
                <w:sz w:val="20"/>
                <w:szCs w:val="20"/>
                <w:lang w:bidi="ar"/>
              </w:rPr>
              <w:t>号</w:t>
            </w:r>
            <w:r>
              <w:rPr>
                <w:rFonts w:eastAsia="宋体"/>
                <w:sz w:val="20"/>
                <w:szCs w:val="20"/>
                <w:lang w:bidi="ar"/>
              </w:rPr>
              <w:br w:type="textWrapping"/>
            </w:r>
            <w:r>
              <w:rPr>
                <w:rFonts w:eastAsia="仿宋"/>
                <w:sz w:val="20"/>
                <w:szCs w:val="20"/>
                <w:lang w:bidi="ar"/>
              </w:rPr>
              <w:t>《高污染燃料目录》中规定的燃料）</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不使用高污染燃料的建筑陶瓷制品制造；不使用高污染燃料的年产</w:t>
            </w:r>
            <w:r>
              <w:rPr>
                <w:rFonts w:eastAsia="宋体"/>
                <w:sz w:val="20"/>
                <w:szCs w:val="20"/>
                <w:lang w:bidi="ar"/>
              </w:rPr>
              <w:t>150</w:t>
            </w:r>
            <w:r>
              <w:rPr>
                <w:rFonts w:eastAsia="仿宋"/>
                <w:sz w:val="20"/>
                <w:szCs w:val="20"/>
                <w:lang w:bidi="ar"/>
              </w:rPr>
              <w:t>万件及以上的卫生陶瓷制品制造；不使用高污染燃料的年产</w:t>
            </w:r>
            <w:r>
              <w:rPr>
                <w:rFonts w:eastAsia="宋体"/>
                <w:sz w:val="20"/>
                <w:szCs w:val="20"/>
                <w:lang w:bidi="ar"/>
              </w:rPr>
              <w:t>250</w:t>
            </w:r>
            <w:r>
              <w:rPr>
                <w:rFonts w:eastAsia="仿宋"/>
                <w:sz w:val="20"/>
                <w:szCs w:val="20"/>
                <w:lang w:bidi="ar"/>
              </w:rPr>
              <w:t>万件及以上的日用陶瓷制品制造</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60</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耐火材料制品制造</w:t>
            </w:r>
            <w:r>
              <w:rPr>
                <w:rFonts w:eastAsia="宋体"/>
                <w:sz w:val="20"/>
                <w:szCs w:val="20"/>
                <w:lang w:bidi="ar"/>
              </w:rPr>
              <w:t>308</w:t>
            </w:r>
            <w:r>
              <w:rPr>
                <w:rFonts w:eastAsia="仿宋"/>
                <w:sz w:val="20"/>
                <w:szCs w:val="20"/>
                <w:lang w:bidi="ar"/>
              </w:rPr>
              <w:t>；石墨及其他非金属矿物制品制造</w:t>
            </w:r>
            <w:r>
              <w:rPr>
                <w:rFonts w:eastAsia="宋体"/>
                <w:sz w:val="20"/>
                <w:szCs w:val="20"/>
                <w:lang w:bidi="ar"/>
              </w:rPr>
              <w:t xml:space="preserve"> 309</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石棉制品；含焙烧的石墨、碳素制品</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二十八、黑色金属冶炼和压延加工业</w:t>
            </w:r>
            <w:r>
              <w:rPr>
                <w:rFonts w:eastAsia="宋体"/>
                <w:sz w:val="20"/>
                <w:szCs w:val="20"/>
                <w:lang w:bidi="ar"/>
              </w:rPr>
              <w:t xml:space="preserve"> 31</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61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炼铁</w:t>
            </w:r>
            <w:r>
              <w:rPr>
                <w:rFonts w:eastAsia="宋体"/>
                <w:sz w:val="20"/>
                <w:szCs w:val="20"/>
                <w:lang w:bidi="ar"/>
              </w:rPr>
              <w:t xml:space="preserve"> 311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62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炼钢</w:t>
            </w:r>
            <w:r>
              <w:rPr>
                <w:rFonts w:eastAsia="宋体"/>
                <w:sz w:val="20"/>
                <w:szCs w:val="20"/>
                <w:lang w:bidi="ar"/>
              </w:rPr>
              <w:t xml:space="preserve"> 312</w:t>
            </w:r>
            <w:r>
              <w:rPr>
                <w:rFonts w:eastAsia="仿宋"/>
                <w:sz w:val="20"/>
                <w:szCs w:val="20"/>
                <w:lang w:bidi="ar"/>
              </w:rPr>
              <w:t>；铁合金冶炼</w:t>
            </w:r>
            <w:r>
              <w:rPr>
                <w:rFonts w:eastAsia="宋体"/>
                <w:sz w:val="20"/>
                <w:szCs w:val="20"/>
                <w:lang w:bidi="ar"/>
              </w:rPr>
              <w:t xml:space="preserve"> 314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63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钢压延加工</w:t>
            </w:r>
            <w:r>
              <w:rPr>
                <w:rFonts w:eastAsia="宋体"/>
                <w:sz w:val="20"/>
                <w:szCs w:val="20"/>
                <w:lang w:bidi="ar"/>
              </w:rPr>
              <w:t xml:space="preserve"> 313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年产</w:t>
            </w:r>
            <w:r>
              <w:rPr>
                <w:rFonts w:eastAsia="宋体"/>
                <w:sz w:val="20"/>
                <w:szCs w:val="20"/>
                <w:lang w:bidi="ar"/>
              </w:rPr>
              <w:t>50</w:t>
            </w:r>
            <w:r>
              <w:rPr>
                <w:rFonts w:eastAsia="仿宋"/>
                <w:sz w:val="20"/>
                <w:szCs w:val="20"/>
                <w:lang w:bidi="ar"/>
              </w:rPr>
              <w:t>万吨及以上的冷轧</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二十九、有色金属冶炼和压延加工业</w:t>
            </w:r>
            <w:r>
              <w:rPr>
                <w:rFonts w:eastAsia="宋体"/>
                <w:sz w:val="20"/>
                <w:szCs w:val="20"/>
                <w:lang w:bidi="ar"/>
              </w:rPr>
              <w:t xml:space="preserve"> 32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64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常用有色金属冶炼</w:t>
            </w:r>
            <w:r>
              <w:rPr>
                <w:rFonts w:eastAsia="宋体"/>
                <w:sz w:val="20"/>
                <w:szCs w:val="20"/>
                <w:lang w:bidi="ar"/>
              </w:rPr>
              <w:t>321</w:t>
            </w:r>
            <w:r>
              <w:rPr>
                <w:rFonts w:eastAsia="仿宋"/>
                <w:sz w:val="20"/>
                <w:szCs w:val="20"/>
                <w:lang w:bidi="ar"/>
              </w:rPr>
              <w:t>；贵金属冶炼</w:t>
            </w:r>
            <w:r>
              <w:rPr>
                <w:rFonts w:eastAsia="宋体"/>
                <w:sz w:val="20"/>
                <w:szCs w:val="20"/>
                <w:lang w:bidi="ar"/>
              </w:rPr>
              <w:t>322</w:t>
            </w:r>
            <w:r>
              <w:rPr>
                <w:rFonts w:eastAsia="仿宋"/>
                <w:sz w:val="20"/>
                <w:szCs w:val="20"/>
                <w:lang w:bidi="ar"/>
              </w:rPr>
              <w:t>；稀有稀土金属冶炼</w:t>
            </w:r>
            <w:r>
              <w:rPr>
                <w:rFonts w:eastAsia="宋体"/>
                <w:sz w:val="20"/>
                <w:szCs w:val="20"/>
                <w:lang w:bidi="ar"/>
              </w:rPr>
              <w:t xml:space="preserve"> 323</w:t>
            </w:r>
            <w:r>
              <w:rPr>
                <w:rFonts w:eastAsia="仿宋"/>
                <w:sz w:val="20"/>
                <w:szCs w:val="20"/>
                <w:lang w:bidi="ar"/>
              </w:rPr>
              <w:t>；有色金属合金制造</w:t>
            </w:r>
            <w:r>
              <w:rPr>
                <w:rFonts w:eastAsia="宋体"/>
                <w:sz w:val="20"/>
                <w:szCs w:val="20"/>
                <w:lang w:bidi="ar"/>
              </w:rPr>
              <w:t xml:space="preserve"> 324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全部（利用单质金属混配重熔生产合金的除外）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其他（利用单质金属混配重熔生产合金）</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65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有色金属压延加工</w:t>
            </w:r>
            <w:r>
              <w:rPr>
                <w:rFonts w:eastAsia="宋体"/>
                <w:sz w:val="20"/>
                <w:szCs w:val="20"/>
                <w:lang w:bidi="ar"/>
              </w:rPr>
              <w:t xml:space="preserve"> 325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三十、金属制品业</w:t>
            </w:r>
            <w:r>
              <w:rPr>
                <w:rFonts w:eastAsia="宋体"/>
                <w:sz w:val="20"/>
                <w:szCs w:val="20"/>
                <w:lang w:bidi="ar"/>
              </w:rPr>
              <w:t xml:space="preserve"> 33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1176"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66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结构性金属制品制造</w:t>
            </w:r>
            <w:r>
              <w:rPr>
                <w:rFonts w:eastAsia="宋体"/>
                <w:sz w:val="20"/>
                <w:szCs w:val="20"/>
                <w:lang w:bidi="ar"/>
              </w:rPr>
              <w:t xml:space="preserve">331 </w:t>
            </w:r>
            <w:r>
              <w:rPr>
                <w:rFonts w:eastAsia="仿宋"/>
                <w:sz w:val="20"/>
                <w:szCs w:val="20"/>
                <w:lang w:bidi="ar"/>
              </w:rPr>
              <w:t>；金属工具制造</w:t>
            </w:r>
            <w:r>
              <w:rPr>
                <w:rFonts w:eastAsia="宋体"/>
                <w:sz w:val="20"/>
                <w:szCs w:val="20"/>
                <w:lang w:bidi="ar"/>
              </w:rPr>
              <w:t>332</w:t>
            </w:r>
            <w:r>
              <w:rPr>
                <w:rFonts w:eastAsia="仿宋"/>
                <w:sz w:val="20"/>
                <w:szCs w:val="20"/>
                <w:lang w:bidi="ar"/>
              </w:rPr>
              <w:t>；集装箱及金属包装容器制造</w:t>
            </w:r>
            <w:r>
              <w:rPr>
                <w:rFonts w:eastAsia="宋体"/>
                <w:sz w:val="20"/>
                <w:szCs w:val="20"/>
                <w:lang w:bidi="ar"/>
              </w:rPr>
              <w:t xml:space="preserve"> 333</w:t>
            </w:r>
            <w:r>
              <w:rPr>
                <w:rFonts w:eastAsia="仿宋"/>
                <w:sz w:val="20"/>
                <w:szCs w:val="20"/>
                <w:lang w:bidi="ar"/>
              </w:rPr>
              <w:t>；金属丝绳及其制品制造</w:t>
            </w:r>
            <w:r>
              <w:rPr>
                <w:rFonts w:eastAsia="宋体"/>
                <w:sz w:val="20"/>
                <w:szCs w:val="20"/>
                <w:lang w:bidi="ar"/>
              </w:rPr>
              <w:t>334</w:t>
            </w:r>
            <w:r>
              <w:rPr>
                <w:rFonts w:eastAsia="仿宋"/>
                <w:sz w:val="20"/>
                <w:szCs w:val="20"/>
                <w:lang w:bidi="ar"/>
              </w:rPr>
              <w:t>；建筑、安全用金属制品制造</w:t>
            </w:r>
            <w:r>
              <w:rPr>
                <w:rFonts w:eastAsia="宋体"/>
                <w:sz w:val="20"/>
                <w:szCs w:val="20"/>
                <w:lang w:bidi="ar"/>
              </w:rPr>
              <w:t xml:space="preserve"> 335</w:t>
            </w:r>
            <w:r>
              <w:rPr>
                <w:rFonts w:eastAsia="仿宋"/>
                <w:sz w:val="20"/>
                <w:szCs w:val="20"/>
                <w:lang w:bidi="ar"/>
              </w:rPr>
              <w:t>；搪瓷制品制造</w:t>
            </w:r>
            <w:r>
              <w:rPr>
                <w:rFonts w:eastAsia="宋体"/>
                <w:sz w:val="20"/>
                <w:szCs w:val="20"/>
                <w:lang w:bidi="ar"/>
              </w:rPr>
              <w:t xml:space="preserve"> 337</w:t>
            </w:r>
            <w:r>
              <w:rPr>
                <w:rFonts w:eastAsia="仿宋"/>
                <w:sz w:val="20"/>
                <w:szCs w:val="20"/>
                <w:lang w:bidi="ar"/>
              </w:rPr>
              <w:t>；金属制日用品制造</w:t>
            </w:r>
            <w:r>
              <w:rPr>
                <w:rFonts w:eastAsia="宋体"/>
                <w:sz w:val="20"/>
                <w:szCs w:val="20"/>
                <w:lang w:bidi="ar"/>
              </w:rPr>
              <w:t xml:space="preserve"> 338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其他（仅分割、焊接、组装的除外；年用非溶剂型低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1176"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73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67</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金属表面处理及热处理加工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133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有钝化工艺的热镀锌；使用有机涂层的（喷粉、喷塑、浸塑和电泳除外；年用溶剂型涂料（含稀释剂）</w:t>
            </w:r>
            <w:r>
              <w:rPr>
                <w:rFonts w:eastAsia="宋体"/>
                <w:sz w:val="20"/>
                <w:szCs w:val="20"/>
                <w:lang w:bidi="ar"/>
              </w:rPr>
              <w:t xml:space="preserve"> 10</w:t>
            </w:r>
            <w:r>
              <w:rPr>
                <w:rFonts w:eastAsia="仿宋"/>
                <w:sz w:val="20"/>
                <w:szCs w:val="20"/>
                <w:lang w:bidi="ar"/>
              </w:rPr>
              <w:t>吨以下和用非溶剂型低</w:t>
            </w:r>
            <w:r>
              <w:rPr>
                <w:rFonts w:eastAsia="宋体"/>
                <w:sz w:val="20"/>
                <w:szCs w:val="20"/>
                <w:lang w:bidi="ar"/>
              </w:rPr>
              <w:t>VOCs</w:t>
            </w:r>
            <w:r>
              <w:rPr>
                <w:rFonts w:eastAsia="仿宋"/>
                <w:sz w:val="20"/>
                <w:szCs w:val="20"/>
                <w:lang w:bidi="ar"/>
              </w:rPr>
              <w:t>含量涂料的除外）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141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68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铸造及其他金属制品制造</w:t>
            </w:r>
            <w:r>
              <w:rPr>
                <w:rFonts w:eastAsia="宋体"/>
                <w:sz w:val="20"/>
                <w:szCs w:val="20"/>
                <w:lang w:bidi="ar"/>
              </w:rPr>
              <w:t xml:space="preserve"> 339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黑色金属铸造年产</w:t>
            </w:r>
            <w:r>
              <w:rPr>
                <w:rFonts w:eastAsia="宋体"/>
                <w:sz w:val="20"/>
                <w:szCs w:val="20"/>
                <w:lang w:bidi="ar"/>
              </w:rPr>
              <w:t>10</w:t>
            </w:r>
            <w:r>
              <w:rPr>
                <w:rFonts w:eastAsia="仿宋"/>
                <w:sz w:val="20"/>
                <w:szCs w:val="20"/>
                <w:lang w:bidi="ar"/>
              </w:rPr>
              <w:t>万吨及以上的；有色金属铸造年产</w:t>
            </w:r>
            <w:r>
              <w:rPr>
                <w:rFonts w:eastAsia="宋体"/>
                <w:sz w:val="20"/>
                <w:szCs w:val="20"/>
                <w:lang w:bidi="ar"/>
              </w:rPr>
              <w:t>10</w:t>
            </w:r>
            <w:r>
              <w:rPr>
                <w:rFonts w:eastAsia="仿宋"/>
                <w:sz w:val="20"/>
                <w:szCs w:val="20"/>
                <w:lang w:bidi="ar"/>
              </w:rPr>
              <w:t>万吨及以上的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其他（仅分割、焊接、组装的除外）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三十一、通用设备制造业</w:t>
            </w:r>
            <w:r>
              <w:rPr>
                <w:rFonts w:eastAsia="宋体"/>
                <w:sz w:val="20"/>
                <w:szCs w:val="20"/>
                <w:lang w:bidi="ar"/>
              </w:rPr>
              <w:t xml:space="preserve"> 34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122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69</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锅炉及原动设备制造</w:t>
            </w:r>
            <w:r>
              <w:rPr>
                <w:rFonts w:eastAsia="宋体"/>
                <w:sz w:val="20"/>
                <w:szCs w:val="20"/>
                <w:lang w:bidi="ar"/>
              </w:rPr>
              <w:t>341</w:t>
            </w:r>
            <w:r>
              <w:rPr>
                <w:rFonts w:eastAsia="仿宋"/>
                <w:sz w:val="20"/>
                <w:szCs w:val="20"/>
                <w:lang w:bidi="ar"/>
              </w:rPr>
              <w:t>；金属加工机械制造</w:t>
            </w:r>
            <w:r>
              <w:rPr>
                <w:rFonts w:eastAsia="宋体"/>
                <w:sz w:val="20"/>
                <w:szCs w:val="20"/>
                <w:lang w:bidi="ar"/>
              </w:rPr>
              <w:t xml:space="preserve"> 342</w:t>
            </w:r>
            <w:r>
              <w:rPr>
                <w:rFonts w:eastAsia="仿宋"/>
                <w:sz w:val="20"/>
                <w:szCs w:val="20"/>
                <w:lang w:bidi="ar"/>
              </w:rPr>
              <w:t>；物料搬运设备制造</w:t>
            </w:r>
            <w:r>
              <w:rPr>
                <w:rFonts w:eastAsia="宋体"/>
                <w:sz w:val="20"/>
                <w:szCs w:val="20"/>
                <w:lang w:bidi="ar"/>
              </w:rPr>
              <w:t xml:space="preserve"> 343</w:t>
            </w:r>
            <w:r>
              <w:rPr>
                <w:rFonts w:eastAsia="仿宋"/>
                <w:sz w:val="20"/>
                <w:szCs w:val="20"/>
                <w:lang w:bidi="ar"/>
              </w:rPr>
              <w:t>；泵、阀门、压缩机及类似机械制造</w:t>
            </w:r>
            <w:r>
              <w:rPr>
                <w:rFonts w:eastAsia="宋体"/>
                <w:sz w:val="20"/>
                <w:szCs w:val="20"/>
                <w:lang w:bidi="ar"/>
              </w:rPr>
              <w:t xml:space="preserve"> 344</w:t>
            </w:r>
            <w:r>
              <w:rPr>
                <w:rFonts w:eastAsia="仿宋"/>
                <w:sz w:val="20"/>
                <w:szCs w:val="20"/>
                <w:lang w:bidi="ar"/>
              </w:rPr>
              <w:t>；轴承、齿轮和传动部件制造</w:t>
            </w:r>
            <w:r>
              <w:rPr>
                <w:rFonts w:eastAsia="宋体"/>
                <w:sz w:val="20"/>
                <w:szCs w:val="20"/>
                <w:lang w:bidi="ar"/>
              </w:rPr>
              <w:t>345</w:t>
            </w:r>
            <w:r>
              <w:rPr>
                <w:rFonts w:eastAsia="仿宋"/>
                <w:sz w:val="20"/>
                <w:szCs w:val="20"/>
                <w:lang w:bidi="ar"/>
              </w:rPr>
              <w:t>；烘炉、风机、包装等设备制造</w:t>
            </w:r>
            <w:r>
              <w:rPr>
                <w:rFonts w:eastAsia="宋体"/>
                <w:sz w:val="20"/>
                <w:szCs w:val="20"/>
                <w:lang w:bidi="ar"/>
              </w:rPr>
              <w:t xml:space="preserve"> 346</w:t>
            </w:r>
            <w:r>
              <w:rPr>
                <w:rFonts w:eastAsia="仿宋"/>
                <w:sz w:val="20"/>
                <w:szCs w:val="20"/>
                <w:lang w:bidi="ar"/>
              </w:rPr>
              <w:t>；文化、办公用机械制造</w:t>
            </w:r>
            <w:r>
              <w:rPr>
                <w:rFonts w:eastAsia="宋体"/>
                <w:sz w:val="20"/>
                <w:szCs w:val="20"/>
                <w:lang w:bidi="ar"/>
              </w:rPr>
              <w:t xml:space="preserve"> 347</w:t>
            </w:r>
            <w:r>
              <w:rPr>
                <w:rFonts w:eastAsia="仿宋"/>
                <w:sz w:val="20"/>
                <w:szCs w:val="20"/>
                <w:lang w:bidi="ar"/>
              </w:rPr>
              <w:t>；通用零部件制造</w:t>
            </w:r>
            <w:r>
              <w:rPr>
                <w:rFonts w:eastAsia="宋体"/>
                <w:sz w:val="20"/>
                <w:szCs w:val="20"/>
                <w:lang w:bidi="ar"/>
              </w:rPr>
              <w:t xml:space="preserve"> 348</w:t>
            </w:r>
            <w:r>
              <w:rPr>
                <w:rFonts w:eastAsia="仿宋"/>
                <w:sz w:val="20"/>
                <w:szCs w:val="20"/>
                <w:lang w:bidi="ar"/>
              </w:rPr>
              <w:t>；其他通用设备制造业</w:t>
            </w:r>
            <w:r>
              <w:rPr>
                <w:rFonts w:eastAsia="宋体"/>
                <w:sz w:val="20"/>
                <w:szCs w:val="20"/>
                <w:lang w:bidi="ar"/>
              </w:rPr>
              <w:t xml:space="preserve"> 349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其他（仅分割、焊接、组装的除外；年用非溶剂型低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1205"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三十二、专用设备制造业</w:t>
            </w:r>
            <w:r>
              <w:rPr>
                <w:rFonts w:eastAsia="宋体"/>
                <w:sz w:val="20"/>
                <w:szCs w:val="20"/>
                <w:lang w:bidi="ar"/>
              </w:rPr>
              <w:t xml:space="preserve"> 35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186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70</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采矿、冶金、建筑专用设备制造</w:t>
            </w:r>
            <w:r>
              <w:rPr>
                <w:rFonts w:eastAsia="宋体"/>
                <w:sz w:val="20"/>
                <w:szCs w:val="20"/>
                <w:lang w:bidi="ar"/>
              </w:rPr>
              <w:t xml:space="preserve"> 351</w:t>
            </w:r>
            <w:r>
              <w:rPr>
                <w:rFonts w:eastAsia="仿宋"/>
                <w:sz w:val="20"/>
                <w:szCs w:val="20"/>
                <w:lang w:bidi="ar"/>
              </w:rPr>
              <w:t>；化工、木材、非金属加工专用设备制</w:t>
            </w:r>
            <w:r>
              <w:rPr>
                <w:rFonts w:eastAsia="宋体"/>
                <w:sz w:val="20"/>
                <w:szCs w:val="20"/>
                <w:lang w:bidi="ar"/>
              </w:rPr>
              <w:t xml:space="preserve"> </w:t>
            </w:r>
            <w:r>
              <w:rPr>
                <w:rFonts w:eastAsia="仿宋"/>
                <w:sz w:val="20"/>
                <w:szCs w:val="20"/>
                <w:lang w:bidi="ar"/>
              </w:rPr>
              <w:t>造</w:t>
            </w:r>
            <w:r>
              <w:rPr>
                <w:rFonts w:eastAsia="宋体"/>
                <w:sz w:val="20"/>
                <w:szCs w:val="20"/>
                <w:lang w:bidi="ar"/>
              </w:rPr>
              <w:t>352</w:t>
            </w:r>
            <w:r>
              <w:rPr>
                <w:rFonts w:eastAsia="仿宋"/>
                <w:sz w:val="20"/>
                <w:szCs w:val="20"/>
                <w:lang w:bidi="ar"/>
              </w:rPr>
              <w:t>；食品、饮料、烟草及饲料生产专用设备制造</w:t>
            </w:r>
            <w:r>
              <w:rPr>
                <w:rFonts w:eastAsia="宋体"/>
                <w:sz w:val="20"/>
                <w:szCs w:val="20"/>
                <w:lang w:bidi="ar"/>
              </w:rPr>
              <w:t xml:space="preserve"> 353</w:t>
            </w:r>
            <w:r>
              <w:rPr>
                <w:rFonts w:eastAsia="仿宋"/>
                <w:sz w:val="20"/>
                <w:szCs w:val="20"/>
                <w:lang w:bidi="ar"/>
              </w:rPr>
              <w:t>；印刷、制药、日化及日用品生产专用设备制造</w:t>
            </w:r>
            <w:r>
              <w:rPr>
                <w:rFonts w:eastAsia="宋体"/>
                <w:sz w:val="20"/>
                <w:szCs w:val="20"/>
                <w:lang w:bidi="ar"/>
              </w:rPr>
              <w:t>354</w:t>
            </w:r>
            <w:r>
              <w:rPr>
                <w:rFonts w:eastAsia="仿宋"/>
                <w:sz w:val="20"/>
                <w:szCs w:val="20"/>
                <w:lang w:bidi="ar"/>
              </w:rPr>
              <w:t>；纺织、服装和皮革加工专用设备制造</w:t>
            </w:r>
            <w:r>
              <w:rPr>
                <w:rFonts w:eastAsia="宋体"/>
                <w:sz w:val="20"/>
                <w:szCs w:val="20"/>
                <w:lang w:bidi="ar"/>
              </w:rPr>
              <w:t>355</w:t>
            </w:r>
            <w:r>
              <w:rPr>
                <w:rFonts w:eastAsia="仿宋"/>
                <w:sz w:val="20"/>
                <w:szCs w:val="20"/>
                <w:lang w:bidi="ar"/>
              </w:rPr>
              <w:t>；电子和电工机械专用设备制造</w:t>
            </w:r>
            <w:r>
              <w:rPr>
                <w:rFonts w:eastAsia="宋体"/>
                <w:sz w:val="20"/>
                <w:szCs w:val="20"/>
                <w:lang w:bidi="ar"/>
              </w:rPr>
              <w:t xml:space="preserve"> 356</w:t>
            </w:r>
            <w:r>
              <w:rPr>
                <w:rFonts w:eastAsia="仿宋"/>
                <w:sz w:val="20"/>
                <w:szCs w:val="20"/>
                <w:lang w:bidi="ar"/>
              </w:rPr>
              <w:t>；农、林、牧、渔专用机械制造</w:t>
            </w:r>
            <w:r>
              <w:rPr>
                <w:rFonts w:eastAsia="宋体"/>
                <w:sz w:val="20"/>
                <w:szCs w:val="20"/>
                <w:lang w:bidi="ar"/>
              </w:rPr>
              <w:t xml:space="preserve"> 357</w:t>
            </w:r>
            <w:r>
              <w:rPr>
                <w:rFonts w:eastAsia="仿宋"/>
                <w:sz w:val="20"/>
                <w:szCs w:val="20"/>
                <w:lang w:bidi="ar"/>
              </w:rPr>
              <w:t>；医疗仪器设备及器械制造</w:t>
            </w:r>
            <w:r>
              <w:rPr>
                <w:rFonts w:eastAsia="宋体"/>
                <w:sz w:val="20"/>
                <w:szCs w:val="20"/>
                <w:lang w:bidi="ar"/>
              </w:rPr>
              <w:t>358</w:t>
            </w:r>
            <w:r>
              <w:rPr>
                <w:rFonts w:eastAsia="仿宋"/>
                <w:sz w:val="20"/>
                <w:szCs w:val="20"/>
                <w:lang w:bidi="ar"/>
              </w:rPr>
              <w:t>；环保、邮政、社会公共服务及其他专用设备制造</w:t>
            </w:r>
            <w:r>
              <w:rPr>
                <w:rFonts w:eastAsia="宋体"/>
                <w:sz w:val="20"/>
                <w:szCs w:val="20"/>
                <w:lang w:bidi="ar"/>
              </w:rPr>
              <w:t xml:space="preserve"> 359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其他（仅分割、焊接、组装的除外；年用非溶剂型低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186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三十三、汽车制造业</w:t>
            </w:r>
            <w:r>
              <w:rPr>
                <w:rFonts w:eastAsia="宋体"/>
                <w:sz w:val="20"/>
                <w:szCs w:val="20"/>
                <w:lang w:bidi="ar"/>
              </w:rPr>
              <w:t xml:space="preserve"> 36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936"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71</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汽车整车制造</w:t>
            </w:r>
            <w:r>
              <w:rPr>
                <w:rFonts w:eastAsia="宋体"/>
                <w:sz w:val="20"/>
                <w:szCs w:val="20"/>
                <w:lang w:bidi="ar"/>
              </w:rPr>
              <w:t xml:space="preserve"> 361</w:t>
            </w:r>
            <w:r>
              <w:rPr>
                <w:rFonts w:eastAsia="仿宋"/>
                <w:sz w:val="20"/>
                <w:szCs w:val="20"/>
                <w:lang w:bidi="ar"/>
              </w:rPr>
              <w:t>；汽车用发动机制造</w:t>
            </w:r>
            <w:r>
              <w:rPr>
                <w:rFonts w:eastAsia="宋体"/>
                <w:sz w:val="20"/>
                <w:szCs w:val="20"/>
                <w:lang w:bidi="ar"/>
              </w:rPr>
              <w:t xml:space="preserve">362 </w:t>
            </w:r>
            <w:r>
              <w:rPr>
                <w:rFonts w:eastAsia="仿宋"/>
                <w:sz w:val="20"/>
                <w:szCs w:val="20"/>
                <w:lang w:bidi="ar"/>
              </w:rPr>
              <w:t>；改装汽车制造</w:t>
            </w:r>
            <w:r>
              <w:rPr>
                <w:rFonts w:eastAsia="宋体"/>
                <w:sz w:val="20"/>
                <w:szCs w:val="20"/>
                <w:lang w:bidi="ar"/>
              </w:rPr>
              <w:t xml:space="preserve">363 </w:t>
            </w:r>
            <w:r>
              <w:rPr>
                <w:rFonts w:eastAsia="仿宋"/>
                <w:sz w:val="20"/>
                <w:szCs w:val="20"/>
                <w:lang w:bidi="ar"/>
              </w:rPr>
              <w:t>；低速汽车制造</w:t>
            </w:r>
            <w:r>
              <w:rPr>
                <w:rFonts w:eastAsia="宋体"/>
                <w:sz w:val="20"/>
                <w:szCs w:val="20"/>
                <w:lang w:bidi="ar"/>
              </w:rPr>
              <w:t>364</w:t>
            </w:r>
            <w:r>
              <w:rPr>
                <w:rFonts w:eastAsia="仿宋"/>
                <w:sz w:val="20"/>
                <w:szCs w:val="20"/>
                <w:lang w:bidi="ar"/>
              </w:rPr>
              <w:t>；电车制造</w:t>
            </w:r>
            <w:r>
              <w:rPr>
                <w:rFonts w:eastAsia="宋体"/>
                <w:sz w:val="20"/>
                <w:szCs w:val="20"/>
                <w:lang w:bidi="ar"/>
              </w:rPr>
              <w:t xml:space="preserve"> 365</w:t>
            </w:r>
            <w:r>
              <w:rPr>
                <w:rFonts w:eastAsia="仿宋"/>
                <w:sz w:val="20"/>
                <w:szCs w:val="20"/>
                <w:lang w:bidi="ar"/>
              </w:rPr>
              <w:t>；汽车车身、挂车制造</w:t>
            </w:r>
            <w:r>
              <w:rPr>
                <w:rFonts w:eastAsia="宋体"/>
                <w:sz w:val="20"/>
                <w:szCs w:val="20"/>
                <w:lang w:bidi="ar"/>
              </w:rPr>
              <w:t>366</w:t>
            </w:r>
            <w:r>
              <w:rPr>
                <w:rFonts w:eastAsia="仿宋"/>
                <w:sz w:val="20"/>
                <w:szCs w:val="20"/>
                <w:lang w:bidi="ar"/>
              </w:rPr>
              <w:t>；汽车零部件及配件制造</w:t>
            </w:r>
            <w:r>
              <w:rPr>
                <w:rFonts w:eastAsia="宋体"/>
                <w:sz w:val="20"/>
                <w:szCs w:val="20"/>
                <w:lang w:bidi="ar"/>
              </w:rPr>
              <w:t xml:space="preserve"> 367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汽车整车制造（仅组装的除外）；有电镀工艺的；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936"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汽车用发动机制造（仅组装的除外）；年用溶剂型涂料（含稀释剂）</w:t>
            </w:r>
            <w:r>
              <w:rPr>
                <w:rFonts w:eastAsia="宋体"/>
                <w:sz w:val="20"/>
                <w:szCs w:val="20"/>
                <w:lang w:bidi="ar"/>
              </w:rPr>
              <w:t xml:space="preserve">10 </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三十四、铁路、船舶、航空航天和其他运输设备制造业</w:t>
            </w:r>
            <w:r>
              <w:rPr>
                <w:rFonts w:eastAsia="宋体"/>
                <w:sz w:val="20"/>
                <w:szCs w:val="20"/>
                <w:lang w:bidi="ar"/>
              </w:rPr>
              <w:t xml:space="preserve"> 37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72</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铁路运输设备制造</w:t>
            </w:r>
            <w:r>
              <w:rPr>
                <w:rFonts w:eastAsia="宋体"/>
                <w:sz w:val="20"/>
                <w:szCs w:val="20"/>
                <w:lang w:bidi="ar"/>
              </w:rPr>
              <w:t>371</w:t>
            </w:r>
            <w:r>
              <w:rPr>
                <w:rFonts w:eastAsia="仿宋"/>
                <w:sz w:val="20"/>
                <w:szCs w:val="20"/>
                <w:lang w:bidi="ar"/>
              </w:rPr>
              <w:t>；城市轨道交通设备制造</w:t>
            </w:r>
            <w:r>
              <w:rPr>
                <w:rFonts w:eastAsia="宋体"/>
                <w:sz w:val="20"/>
                <w:szCs w:val="20"/>
                <w:lang w:bidi="ar"/>
              </w:rPr>
              <w:t xml:space="preserve"> 372</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机车、车辆、高铁车组、城市轨道交通设备制造；发动机生产；有电镀工艺的；年用溶剂型涂料（含稀释剂）</w:t>
            </w:r>
            <w:r>
              <w:rPr>
                <w:rFonts w:eastAsia="宋体"/>
                <w:sz w:val="20"/>
                <w:szCs w:val="20"/>
                <w:lang w:bidi="ar"/>
              </w:rPr>
              <w:t>10</w:t>
            </w:r>
            <w:r>
              <w:rPr>
                <w:rFonts w:eastAsia="仿宋"/>
                <w:sz w:val="20"/>
                <w:szCs w:val="20"/>
                <w:lang w:bidi="ar"/>
              </w:rPr>
              <w:t>吨及以上的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宋体"/>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73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船舶及相关装置制造</w:t>
            </w:r>
            <w:r>
              <w:rPr>
                <w:rFonts w:eastAsia="宋体"/>
                <w:sz w:val="20"/>
                <w:szCs w:val="20"/>
                <w:lang w:bidi="ar"/>
              </w:rPr>
              <w:t>373</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造船、拆船、修船厂；有电镀工艺的；</w:t>
            </w:r>
            <w:r>
              <w:rPr>
                <w:rFonts w:eastAsia="宋体"/>
                <w:sz w:val="20"/>
                <w:szCs w:val="20"/>
                <w:lang w:bidi="ar"/>
              </w:rPr>
              <w:t xml:space="preserve"> </w:t>
            </w: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其他（仅组装的除外；木船建造和维修除外；年用非溶剂型低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74</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航空、航天器及设备制造</w:t>
            </w:r>
            <w:r>
              <w:rPr>
                <w:rFonts w:eastAsia="宋体"/>
                <w:sz w:val="20"/>
                <w:szCs w:val="20"/>
                <w:lang w:bidi="ar"/>
              </w:rPr>
              <w:t xml:space="preserve"> 374</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有电镀工艺的；年用溶剂型涂料（含稀释剂）</w:t>
            </w:r>
            <w:r>
              <w:rPr>
                <w:rFonts w:eastAsia="宋体"/>
                <w:sz w:val="20"/>
                <w:szCs w:val="20"/>
                <w:lang w:bidi="ar"/>
              </w:rPr>
              <w:t>10</w:t>
            </w:r>
            <w:r>
              <w:rPr>
                <w:rFonts w:eastAsia="仿宋"/>
                <w:sz w:val="20"/>
                <w:szCs w:val="20"/>
                <w:lang w:bidi="ar"/>
              </w:rPr>
              <w:t>吨及以上的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108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75</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摩托车制造</w:t>
            </w:r>
            <w:r>
              <w:rPr>
                <w:rFonts w:eastAsia="宋体"/>
                <w:sz w:val="20"/>
                <w:szCs w:val="20"/>
                <w:lang w:bidi="ar"/>
              </w:rPr>
              <w:t xml:space="preserve"> 375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138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摩托车整车制造（仅组装的除外）；发动机制造（仅组装的除外）；年用溶剂型涂料（含稀释剂）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638"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76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自行车和残疾人座车制造</w:t>
            </w:r>
            <w:r>
              <w:rPr>
                <w:rFonts w:eastAsia="宋体"/>
                <w:sz w:val="20"/>
                <w:szCs w:val="20"/>
                <w:lang w:bidi="ar"/>
              </w:rPr>
              <w:t xml:space="preserve"> 376</w:t>
            </w:r>
            <w:r>
              <w:rPr>
                <w:rFonts w:eastAsia="仿宋"/>
                <w:sz w:val="20"/>
                <w:szCs w:val="20"/>
                <w:lang w:bidi="ar"/>
              </w:rPr>
              <w:t>；助动车制造</w:t>
            </w:r>
            <w:r>
              <w:rPr>
                <w:rFonts w:eastAsia="宋体"/>
                <w:sz w:val="20"/>
                <w:szCs w:val="20"/>
                <w:lang w:bidi="ar"/>
              </w:rPr>
              <w:t xml:space="preserve"> 377</w:t>
            </w:r>
            <w:r>
              <w:rPr>
                <w:rFonts w:eastAsia="仿宋"/>
                <w:sz w:val="20"/>
                <w:szCs w:val="20"/>
                <w:lang w:bidi="ar"/>
              </w:rPr>
              <w:t>；非公路休闲车及</w:t>
            </w:r>
            <w:r>
              <w:rPr>
                <w:rFonts w:eastAsia="宋体"/>
                <w:sz w:val="20"/>
                <w:szCs w:val="20"/>
                <w:lang w:bidi="ar"/>
              </w:rPr>
              <w:t xml:space="preserve"> </w:t>
            </w:r>
            <w:r>
              <w:rPr>
                <w:rFonts w:eastAsia="仿宋"/>
                <w:sz w:val="20"/>
                <w:szCs w:val="20"/>
                <w:lang w:bidi="ar"/>
              </w:rPr>
              <w:t>零配件制造</w:t>
            </w:r>
            <w:r>
              <w:rPr>
                <w:rFonts w:eastAsia="宋体"/>
                <w:sz w:val="20"/>
                <w:szCs w:val="20"/>
                <w:lang w:bidi="ar"/>
              </w:rPr>
              <w:t xml:space="preserve"> 378</w:t>
            </w:r>
            <w:r>
              <w:rPr>
                <w:rFonts w:eastAsia="仿宋"/>
                <w:sz w:val="20"/>
                <w:szCs w:val="20"/>
                <w:lang w:bidi="ar"/>
              </w:rPr>
              <w:t>；潜水救捞及其他未列明运输设备制造</w:t>
            </w:r>
            <w:r>
              <w:rPr>
                <w:rFonts w:eastAsia="宋体"/>
                <w:sz w:val="20"/>
                <w:szCs w:val="20"/>
                <w:lang w:bidi="ar"/>
              </w:rPr>
              <w:t xml:space="preserve"> 379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其他（仅分割、焊接、组装的除外；年用非溶剂型低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847"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三十五、电气机械和器材制造业</w:t>
            </w:r>
            <w:r>
              <w:rPr>
                <w:rFonts w:eastAsia="宋体"/>
                <w:sz w:val="20"/>
                <w:szCs w:val="20"/>
                <w:lang w:bidi="ar"/>
              </w:rPr>
              <w:t xml:space="preserve"> 38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1134"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77</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电机制造</w:t>
            </w:r>
            <w:r>
              <w:rPr>
                <w:rFonts w:eastAsia="宋体"/>
                <w:sz w:val="20"/>
                <w:szCs w:val="20"/>
                <w:lang w:bidi="ar"/>
              </w:rPr>
              <w:t xml:space="preserve"> 381</w:t>
            </w:r>
            <w:r>
              <w:rPr>
                <w:rFonts w:eastAsia="仿宋"/>
                <w:sz w:val="20"/>
                <w:szCs w:val="20"/>
                <w:lang w:bidi="ar"/>
              </w:rPr>
              <w:t>；输配电及控制设备制造</w:t>
            </w:r>
            <w:r>
              <w:rPr>
                <w:rFonts w:eastAsia="宋体"/>
                <w:sz w:val="20"/>
                <w:szCs w:val="20"/>
                <w:lang w:bidi="ar"/>
              </w:rPr>
              <w:t>382</w:t>
            </w:r>
            <w:r>
              <w:rPr>
                <w:rFonts w:eastAsia="仿宋"/>
                <w:sz w:val="20"/>
                <w:szCs w:val="20"/>
                <w:lang w:bidi="ar"/>
              </w:rPr>
              <w:t>；电线、电缆、光缆及电工器材制造</w:t>
            </w:r>
            <w:r>
              <w:rPr>
                <w:rFonts w:eastAsia="宋体"/>
                <w:sz w:val="20"/>
                <w:szCs w:val="20"/>
                <w:lang w:bidi="ar"/>
              </w:rPr>
              <w:t>383</w:t>
            </w:r>
            <w:r>
              <w:rPr>
                <w:rFonts w:eastAsia="仿宋"/>
                <w:sz w:val="20"/>
                <w:szCs w:val="20"/>
                <w:lang w:bidi="ar"/>
              </w:rPr>
              <w:t>；电池制造</w:t>
            </w:r>
            <w:r>
              <w:rPr>
                <w:rFonts w:eastAsia="宋体"/>
                <w:sz w:val="20"/>
                <w:szCs w:val="20"/>
                <w:lang w:bidi="ar"/>
              </w:rPr>
              <w:t xml:space="preserve"> 384</w:t>
            </w:r>
            <w:r>
              <w:rPr>
                <w:rFonts w:eastAsia="仿宋"/>
                <w:sz w:val="20"/>
                <w:szCs w:val="20"/>
                <w:lang w:bidi="ar"/>
              </w:rPr>
              <w:t>；</w:t>
            </w:r>
            <w:r>
              <w:rPr>
                <w:rFonts w:eastAsia="宋体"/>
                <w:sz w:val="20"/>
                <w:szCs w:val="20"/>
                <w:lang w:bidi="ar"/>
              </w:rPr>
              <w:t xml:space="preserve"> </w:t>
            </w:r>
            <w:r>
              <w:rPr>
                <w:rFonts w:eastAsia="仿宋"/>
                <w:sz w:val="20"/>
                <w:szCs w:val="20"/>
                <w:lang w:bidi="ar"/>
              </w:rPr>
              <w:t>家用电力器具制造</w:t>
            </w:r>
            <w:r>
              <w:rPr>
                <w:rFonts w:eastAsia="宋体"/>
                <w:sz w:val="20"/>
                <w:szCs w:val="20"/>
                <w:lang w:bidi="ar"/>
              </w:rPr>
              <w:t>385</w:t>
            </w:r>
            <w:r>
              <w:rPr>
                <w:rFonts w:eastAsia="仿宋"/>
                <w:sz w:val="20"/>
                <w:szCs w:val="20"/>
                <w:lang w:bidi="ar"/>
              </w:rPr>
              <w:t>；非电力家用器具制造</w:t>
            </w:r>
            <w:r>
              <w:rPr>
                <w:rFonts w:eastAsia="宋体"/>
                <w:sz w:val="20"/>
                <w:szCs w:val="20"/>
                <w:lang w:bidi="ar"/>
              </w:rPr>
              <w:t xml:space="preserve"> 386</w:t>
            </w:r>
            <w:r>
              <w:rPr>
                <w:rFonts w:eastAsia="仿宋"/>
                <w:sz w:val="20"/>
                <w:szCs w:val="20"/>
                <w:lang w:bidi="ar"/>
              </w:rPr>
              <w:t>；照明器具制造</w:t>
            </w:r>
            <w:r>
              <w:rPr>
                <w:rFonts w:eastAsia="宋体"/>
                <w:sz w:val="20"/>
                <w:szCs w:val="20"/>
                <w:lang w:bidi="ar"/>
              </w:rPr>
              <w:t xml:space="preserve"> 387</w:t>
            </w:r>
            <w:r>
              <w:rPr>
                <w:rFonts w:eastAsia="仿宋"/>
                <w:sz w:val="20"/>
                <w:szCs w:val="20"/>
                <w:lang w:bidi="ar"/>
              </w:rPr>
              <w:t>；其他电气机械及器材制造</w:t>
            </w:r>
            <w:r>
              <w:rPr>
                <w:rFonts w:eastAsia="宋体"/>
                <w:sz w:val="20"/>
                <w:szCs w:val="20"/>
                <w:lang w:bidi="ar"/>
              </w:rPr>
              <w:t xml:space="preserve"> 389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铅蓄电池制造；有电镀工艺的；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其他（仅分割、焊接、组装的除外；年用非溶剂型低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rPr>
          <w:trHeight w:val="1134"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太阳能电池片生产；年用溶剂型涂料（含稀释剂）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三十六、计算机、通信和其他电子设备制造业</w:t>
            </w:r>
            <w:r>
              <w:rPr>
                <w:rFonts w:eastAsia="宋体"/>
                <w:sz w:val="20"/>
                <w:szCs w:val="20"/>
                <w:lang w:bidi="ar"/>
              </w:rPr>
              <w:t xml:space="preserve"> 39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936"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78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计算机制造</w:t>
            </w:r>
            <w:r>
              <w:rPr>
                <w:rFonts w:eastAsia="宋体"/>
                <w:sz w:val="20"/>
                <w:szCs w:val="20"/>
                <w:lang w:bidi="ar"/>
              </w:rPr>
              <w:t xml:space="preserve"> 391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显示器件制造；集成电路制造；</w:t>
            </w:r>
            <w:r>
              <w:rPr>
                <w:rFonts w:eastAsia="宋体"/>
                <w:sz w:val="20"/>
                <w:szCs w:val="20"/>
                <w:lang w:bidi="ar"/>
              </w:rPr>
              <w:t xml:space="preserve"> </w:t>
            </w:r>
            <w:r>
              <w:rPr>
                <w:rFonts w:eastAsia="仿宋"/>
                <w:sz w:val="20"/>
                <w:szCs w:val="20"/>
                <w:lang w:bidi="ar"/>
              </w:rPr>
              <w:t>使用有机溶剂的；有酸洗的</w:t>
            </w:r>
            <w:r>
              <w:rPr>
                <w:rFonts w:eastAsia="宋体"/>
                <w:sz w:val="20"/>
                <w:szCs w:val="20"/>
                <w:lang w:bidi="ar"/>
              </w:rPr>
              <w:br w:type="textWrapping"/>
            </w:r>
            <w:r>
              <w:rPr>
                <w:rFonts w:eastAsia="仿宋"/>
                <w:sz w:val="20"/>
                <w:szCs w:val="20"/>
                <w:lang w:bidi="ar"/>
              </w:rPr>
              <w:t>以上均不含仅分割、焊接、组装的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936"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79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智能消费设备制造</w:t>
            </w:r>
            <w:r>
              <w:rPr>
                <w:rFonts w:eastAsia="宋体"/>
                <w:sz w:val="20"/>
                <w:szCs w:val="20"/>
                <w:lang w:bidi="ar"/>
              </w:rPr>
              <w:t xml:space="preserve"> 396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全部（仅分割、焊接、组装的除外）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936"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80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电子器件制造</w:t>
            </w:r>
            <w:r>
              <w:rPr>
                <w:rFonts w:eastAsia="宋体"/>
                <w:sz w:val="20"/>
                <w:szCs w:val="20"/>
                <w:lang w:bidi="ar"/>
              </w:rPr>
              <w:t xml:space="preserve"> 397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显示器件制造；集成电路制造；</w:t>
            </w:r>
            <w:r>
              <w:rPr>
                <w:rFonts w:eastAsia="宋体"/>
                <w:sz w:val="20"/>
                <w:szCs w:val="20"/>
                <w:lang w:bidi="ar"/>
              </w:rPr>
              <w:t xml:space="preserve"> </w:t>
            </w:r>
            <w:r>
              <w:rPr>
                <w:rFonts w:eastAsia="仿宋"/>
                <w:sz w:val="20"/>
                <w:szCs w:val="20"/>
                <w:lang w:bidi="ar"/>
              </w:rPr>
              <w:t>使用有机溶剂的；有酸洗的</w:t>
            </w:r>
            <w:r>
              <w:rPr>
                <w:rFonts w:eastAsia="宋体"/>
                <w:sz w:val="20"/>
                <w:szCs w:val="20"/>
                <w:lang w:bidi="ar"/>
              </w:rPr>
              <w:br w:type="textWrapping"/>
            </w:r>
            <w:r>
              <w:rPr>
                <w:rFonts w:eastAsia="仿宋"/>
                <w:sz w:val="20"/>
                <w:szCs w:val="20"/>
                <w:lang w:bidi="ar"/>
              </w:rPr>
              <w:t>以上均不含仅分割、焊接、组装的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181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81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电子元件及电子专用材料制造</w:t>
            </w:r>
            <w:r>
              <w:rPr>
                <w:rFonts w:eastAsia="宋体"/>
                <w:sz w:val="20"/>
                <w:szCs w:val="20"/>
                <w:lang w:bidi="ar"/>
              </w:rPr>
              <w:t xml:space="preserve"> 398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半导体材料制造；电子化工材料制造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印刷电路板制造；电子专用材料制造（电子化工材料制造除外）；使用有机溶剂的；有酸洗的</w:t>
            </w:r>
            <w:r>
              <w:rPr>
                <w:rFonts w:eastAsia="宋体"/>
                <w:sz w:val="20"/>
                <w:szCs w:val="20"/>
                <w:lang w:bidi="ar"/>
              </w:rPr>
              <w:br w:type="textWrapping"/>
            </w:r>
            <w:r>
              <w:rPr>
                <w:rFonts w:eastAsia="仿宋"/>
                <w:sz w:val="20"/>
                <w:szCs w:val="20"/>
                <w:lang w:bidi="ar"/>
              </w:rPr>
              <w:t>以上均不含仅分割、焊接、组装的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181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82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通信设备制造</w:t>
            </w:r>
            <w:r>
              <w:rPr>
                <w:rFonts w:eastAsia="宋体"/>
                <w:sz w:val="20"/>
                <w:szCs w:val="20"/>
                <w:lang w:bidi="ar"/>
              </w:rPr>
              <w:t xml:space="preserve"> 392</w:t>
            </w:r>
            <w:r>
              <w:rPr>
                <w:rFonts w:eastAsia="仿宋"/>
                <w:sz w:val="20"/>
                <w:szCs w:val="20"/>
                <w:lang w:bidi="ar"/>
              </w:rPr>
              <w:t>；广播电视设备制造</w:t>
            </w:r>
            <w:r>
              <w:rPr>
                <w:rFonts w:eastAsia="宋体"/>
                <w:sz w:val="20"/>
                <w:szCs w:val="20"/>
                <w:lang w:bidi="ar"/>
              </w:rPr>
              <w:t>393</w:t>
            </w:r>
            <w:r>
              <w:rPr>
                <w:rFonts w:eastAsia="仿宋"/>
                <w:sz w:val="20"/>
                <w:szCs w:val="20"/>
                <w:lang w:bidi="ar"/>
              </w:rPr>
              <w:t>；雷达及配套设备制造</w:t>
            </w:r>
            <w:r>
              <w:rPr>
                <w:rFonts w:eastAsia="宋体"/>
                <w:sz w:val="20"/>
                <w:szCs w:val="20"/>
                <w:lang w:bidi="ar"/>
              </w:rPr>
              <w:t xml:space="preserve"> 394</w:t>
            </w:r>
            <w:r>
              <w:rPr>
                <w:rFonts w:eastAsia="仿宋"/>
                <w:sz w:val="20"/>
                <w:szCs w:val="20"/>
                <w:lang w:bidi="ar"/>
              </w:rPr>
              <w:t>；非专业视听设备制造</w:t>
            </w:r>
            <w:r>
              <w:rPr>
                <w:rFonts w:eastAsia="宋体"/>
                <w:sz w:val="20"/>
                <w:szCs w:val="20"/>
                <w:lang w:bidi="ar"/>
              </w:rPr>
              <w:t xml:space="preserve"> 395</w:t>
            </w:r>
            <w:r>
              <w:rPr>
                <w:rFonts w:eastAsia="仿宋"/>
                <w:sz w:val="20"/>
                <w:szCs w:val="20"/>
                <w:lang w:bidi="ar"/>
              </w:rPr>
              <w:t>；其他电子设备制造</w:t>
            </w:r>
            <w:r>
              <w:rPr>
                <w:rFonts w:eastAsia="宋体"/>
                <w:sz w:val="20"/>
                <w:szCs w:val="20"/>
                <w:lang w:bidi="ar"/>
              </w:rPr>
              <w:t xml:space="preserve"> 399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全部（仅分割、焊接、组装的除外）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三十七、仪器仪表制造业</w:t>
            </w:r>
            <w:r>
              <w:rPr>
                <w:rFonts w:eastAsia="宋体"/>
                <w:sz w:val="20"/>
                <w:szCs w:val="20"/>
                <w:lang w:bidi="ar"/>
              </w:rPr>
              <w:t xml:space="preserve"> 40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829"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83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通用仪器仪表制造</w:t>
            </w:r>
            <w:r>
              <w:rPr>
                <w:rFonts w:eastAsia="宋体"/>
                <w:sz w:val="20"/>
                <w:szCs w:val="20"/>
                <w:lang w:bidi="ar"/>
              </w:rPr>
              <w:t>401</w:t>
            </w:r>
            <w:r>
              <w:rPr>
                <w:rFonts w:eastAsia="仿宋"/>
                <w:sz w:val="20"/>
                <w:szCs w:val="20"/>
                <w:lang w:bidi="ar"/>
              </w:rPr>
              <w:t>；专用仪器仪表制造</w:t>
            </w:r>
            <w:r>
              <w:rPr>
                <w:rFonts w:eastAsia="宋体"/>
                <w:sz w:val="20"/>
                <w:szCs w:val="20"/>
                <w:lang w:bidi="ar"/>
              </w:rPr>
              <w:t xml:space="preserve"> 402</w:t>
            </w:r>
            <w:r>
              <w:rPr>
                <w:rFonts w:eastAsia="仿宋"/>
                <w:sz w:val="20"/>
                <w:szCs w:val="20"/>
                <w:lang w:bidi="ar"/>
              </w:rPr>
              <w:t>；钟表与计时仪器制造</w:t>
            </w:r>
            <w:r>
              <w:rPr>
                <w:rFonts w:eastAsia="宋体"/>
                <w:sz w:val="20"/>
                <w:szCs w:val="20"/>
                <w:lang w:bidi="ar"/>
              </w:rPr>
              <w:t xml:space="preserve"> 403*</w:t>
            </w:r>
            <w:r>
              <w:rPr>
                <w:rFonts w:eastAsia="仿宋"/>
                <w:sz w:val="20"/>
                <w:szCs w:val="20"/>
                <w:lang w:bidi="ar"/>
              </w:rPr>
              <w:t>；光学仪器制造</w:t>
            </w:r>
            <w:r>
              <w:rPr>
                <w:rFonts w:eastAsia="宋体"/>
                <w:sz w:val="20"/>
                <w:szCs w:val="20"/>
                <w:lang w:bidi="ar"/>
              </w:rPr>
              <w:t xml:space="preserve"> 404</w:t>
            </w:r>
            <w:r>
              <w:rPr>
                <w:rFonts w:eastAsia="仿宋"/>
                <w:sz w:val="20"/>
                <w:szCs w:val="20"/>
                <w:lang w:bidi="ar"/>
              </w:rPr>
              <w:t>；衡器制造</w:t>
            </w:r>
            <w:r>
              <w:rPr>
                <w:rFonts w:eastAsia="宋体"/>
                <w:sz w:val="20"/>
                <w:szCs w:val="20"/>
                <w:lang w:bidi="ar"/>
              </w:rPr>
              <w:t xml:space="preserve"> 405</w:t>
            </w:r>
            <w:r>
              <w:rPr>
                <w:rFonts w:eastAsia="仿宋"/>
                <w:sz w:val="20"/>
                <w:szCs w:val="20"/>
                <w:lang w:bidi="ar"/>
              </w:rPr>
              <w:t>；其他仪器仪表制造业</w:t>
            </w:r>
            <w:r>
              <w:rPr>
                <w:rFonts w:eastAsia="宋体"/>
                <w:sz w:val="20"/>
                <w:szCs w:val="20"/>
                <w:lang w:bidi="ar"/>
              </w:rPr>
              <w:t xml:space="preserve"> 409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其他（仅分割、焊接、组装的除外；年用非溶剂型低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吨以下的除外）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rPr>
          <w:trHeight w:val="904"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三十八、其他制造业</w:t>
            </w:r>
            <w:r>
              <w:rPr>
                <w:rFonts w:eastAsia="宋体"/>
                <w:sz w:val="20"/>
                <w:szCs w:val="20"/>
                <w:lang w:bidi="ar"/>
              </w:rPr>
              <w:t xml:space="preserve"> 41</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85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84</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日用杂品制造</w:t>
            </w:r>
            <w:r>
              <w:rPr>
                <w:rFonts w:eastAsia="宋体"/>
                <w:sz w:val="20"/>
                <w:szCs w:val="20"/>
                <w:lang w:bidi="ar"/>
              </w:rPr>
              <w:t xml:space="preserve"> 411*</w:t>
            </w:r>
            <w:r>
              <w:rPr>
                <w:rFonts w:eastAsia="仿宋"/>
                <w:sz w:val="20"/>
                <w:szCs w:val="20"/>
                <w:lang w:bidi="ar"/>
              </w:rPr>
              <w:t>；其他未列明制造业</w:t>
            </w:r>
            <w:r>
              <w:rPr>
                <w:rFonts w:eastAsia="宋体"/>
                <w:sz w:val="20"/>
                <w:szCs w:val="20"/>
                <w:lang w:bidi="ar"/>
              </w:rPr>
              <w:t>419*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 xml:space="preserve"> 10</w:t>
            </w:r>
            <w:r>
              <w:rPr>
                <w:rFonts w:eastAsia="仿宋"/>
                <w:sz w:val="20"/>
                <w:szCs w:val="20"/>
                <w:lang w:bidi="ar"/>
              </w:rPr>
              <w:t>吨以下的，或年用非溶剂型低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吨及以上的</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rPr>
          <w:trHeight w:val="85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三十九、废弃资源综合利用业</w:t>
            </w:r>
            <w:r>
              <w:rPr>
                <w:rFonts w:eastAsia="宋体"/>
                <w:sz w:val="20"/>
                <w:szCs w:val="20"/>
                <w:lang w:bidi="ar"/>
              </w:rPr>
              <w:t xml:space="preserve"> 42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85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金属废料和碎屑加工处理</w:t>
            </w:r>
            <w:r>
              <w:rPr>
                <w:rFonts w:eastAsia="宋体"/>
                <w:sz w:val="20"/>
                <w:szCs w:val="20"/>
                <w:lang w:bidi="ar"/>
              </w:rPr>
              <w:t xml:space="preserve"> 421</w:t>
            </w:r>
            <w:r>
              <w:rPr>
                <w:rFonts w:eastAsia="仿宋"/>
                <w:sz w:val="20"/>
                <w:szCs w:val="20"/>
                <w:lang w:bidi="ar"/>
              </w:rPr>
              <w:t>；非金属废料和碎屑加工处理</w:t>
            </w:r>
            <w:r>
              <w:rPr>
                <w:rFonts w:eastAsia="宋体"/>
                <w:sz w:val="20"/>
                <w:szCs w:val="20"/>
                <w:lang w:bidi="ar"/>
              </w:rPr>
              <w:t>422</w:t>
            </w:r>
            <w:r>
              <w:rPr>
                <w:rFonts w:eastAsia="仿宋"/>
                <w:sz w:val="20"/>
                <w:szCs w:val="20"/>
                <w:lang w:bidi="ar"/>
              </w:rPr>
              <w:t>（</w:t>
            </w:r>
            <w:r>
              <w:rPr>
                <w:rFonts w:eastAsia="宋体"/>
                <w:sz w:val="20"/>
                <w:szCs w:val="20"/>
                <w:lang w:bidi="ar"/>
              </w:rPr>
              <w:t>421</w:t>
            </w:r>
            <w:r>
              <w:rPr>
                <w:rFonts w:eastAsia="仿宋"/>
                <w:sz w:val="20"/>
                <w:szCs w:val="20"/>
                <w:lang w:bidi="ar"/>
              </w:rPr>
              <w:t>和</w:t>
            </w:r>
            <w:r>
              <w:rPr>
                <w:rFonts w:eastAsia="宋体"/>
                <w:sz w:val="20"/>
                <w:szCs w:val="20"/>
                <w:lang w:bidi="ar"/>
              </w:rPr>
              <w:t>422</w:t>
            </w:r>
            <w:r>
              <w:rPr>
                <w:rFonts w:eastAsia="仿宋"/>
                <w:sz w:val="20"/>
                <w:szCs w:val="20"/>
                <w:lang w:bidi="ar"/>
              </w:rPr>
              <w:t>均不含原料为危险废物的，</w:t>
            </w:r>
            <w:r>
              <w:rPr>
                <w:rFonts w:eastAsia="宋体"/>
                <w:sz w:val="20"/>
                <w:szCs w:val="20"/>
                <w:lang w:bidi="ar"/>
              </w:rPr>
              <w:t xml:space="preserve"> </w:t>
            </w:r>
            <w:r>
              <w:rPr>
                <w:rFonts w:eastAsia="仿宋"/>
                <w:sz w:val="20"/>
                <w:szCs w:val="20"/>
                <w:lang w:bidi="ar"/>
              </w:rPr>
              <w:t>均不含仅分拣、破碎的）</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废电池、废油加工处理</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四十、金属制品、机械和设备修理业</w:t>
            </w:r>
            <w:r>
              <w:rPr>
                <w:rFonts w:eastAsia="宋体"/>
                <w:sz w:val="20"/>
                <w:szCs w:val="20"/>
                <w:lang w:bidi="ar"/>
              </w:rPr>
              <w:t xml:space="preserve"> 43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102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86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金属制品修理</w:t>
            </w:r>
            <w:r>
              <w:rPr>
                <w:rFonts w:eastAsia="宋体"/>
                <w:sz w:val="20"/>
                <w:szCs w:val="20"/>
                <w:lang w:bidi="ar"/>
              </w:rPr>
              <w:t xml:space="preserve"> 431</w:t>
            </w:r>
            <w:r>
              <w:rPr>
                <w:rFonts w:eastAsia="仿宋"/>
                <w:sz w:val="20"/>
                <w:szCs w:val="20"/>
                <w:lang w:bidi="ar"/>
              </w:rPr>
              <w:t>；通用设备修理</w:t>
            </w:r>
            <w:r>
              <w:rPr>
                <w:rFonts w:eastAsia="宋体"/>
                <w:sz w:val="20"/>
                <w:szCs w:val="20"/>
                <w:lang w:bidi="ar"/>
              </w:rPr>
              <w:t xml:space="preserve"> 432</w:t>
            </w:r>
            <w:r>
              <w:rPr>
                <w:rFonts w:eastAsia="仿宋"/>
                <w:sz w:val="20"/>
                <w:szCs w:val="20"/>
                <w:lang w:bidi="ar"/>
              </w:rPr>
              <w:t>；专用设备修理</w:t>
            </w:r>
            <w:r>
              <w:rPr>
                <w:rFonts w:eastAsia="宋体"/>
                <w:sz w:val="20"/>
                <w:szCs w:val="20"/>
                <w:lang w:bidi="ar"/>
              </w:rPr>
              <w:t xml:space="preserve"> 433</w:t>
            </w:r>
            <w:r>
              <w:rPr>
                <w:rFonts w:eastAsia="仿宋"/>
                <w:sz w:val="20"/>
                <w:szCs w:val="20"/>
                <w:lang w:bidi="ar"/>
              </w:rPr>
              <w:t>；铁路、船舶、航空航天等运输设备修理</w:t>
            </w:r>
            <w:r>
              <w:rPr>
                <w:rFonts w:eastAsia="宋体"/>
                <w:sz w:val="20"/>
                <w:szCs w:val="20"/>
                <w:lang w:bidi="ar"/>
              </w:rPr>
              <w:t xml:space="preserve">434 </w:t>
            </w:r>
            <w:r>
              <w:rPr>
                <w:rFonts w:eastAsia="仿宋"/>
                <w:sz w:val="20"/>
                <w:szCs w:val="20"/>
                <w:lang w:bidi="ar"/>
              </w:rPr>
              <w:t>；电气设备修理</w:t>
            </w:r>
            <w:r>
              <w:rPr>
                <w:rFonts w:eastAsia="宋体"/>
                <w:sz w:val="20"/>
                <w:szCs w:val="20"/>
                <w:lang w:bidi="ar"/>
              </w:rPr>
              <w:t xml:space="preserve">435 </w:t>
            </w:r>
            <w:r>
              <w:rPr>
                <w:rFonts w:eastAsia="仿宋"/>
                <w:sz w:val="20"/>
                <w:szCs w:val="20"/>
                <w:lang w:bidi="ar"/>
              </w:rPr>
              <w:t>；仪器仪表修理</w:t>
            </w:r>
            <w:r>
              <w:rPr>
                <w:rFonts w:eastAsia="宋体"/>
                <w:sz w:val="20"/>
                <w:szCs w:val="20"/>
                <w:lang w:bidi="ar"/>
              </w:rPr>
              <w:t>436</w:t>
            </w:r>
            <w:r>
              <w:rPr>
                <w:rFonts w:eastAsia="仿宋"/>
                <w:sz w:val="20"/>
                <w:szCs w:val="20"/>
                <w:lang w:bidi="ar"/>
              </w:rPr>
              <w:t>；其他机械和设备修理业</w:t>
            </w:r>
            <w:r>
              <w:rPr>
                <w:rFonts w:eastAsia="宋体"/>
                <w:sz w:val="20"/>
                <w:szCs w:val="20"/>
                <w:lang w:bidi="ar"/>
              </w:rPr>
              <w:t xml:space="preserve"> 439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 xml:space="preserve"> 10</w:t>
            </w:r>
            <w:r>
              <w:rPr>
                <w:rFonts w:eastAsia="仿宋"/>
                <w:sz w:val="20"/>
                <w:szCs w:val="20"/>
                <w:lang w:bidi="ar"/>
              </w:rPr>
              <w:t>吨以下的，或年用非溶剂型低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吨及以上的</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rPr>
          <w:trHeight w:val="102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年用溶剂型涂料（含稀释剂）</w:t>
            </w:r>
            <w:r>
              <w:rPr>
                <w:rFonts w:eastAsia="宋体"/>
                <w:sz w:val="20"/>
                <w:szCs w:val="20"/>
                <w:lang w:bidi="ar"/>
              </w:rPr>
              <w:t>10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四十一、电力、热力生产和供应业</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87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火力发电</w:t>
            </w:r>
            <w:r>
              <w:rPr>
                <w:rFonts w:eastAsia="宋体"/>
                <w:sz w:val="20"/>
                <w:szCs w:val="20"/>
                <w:lang w:bidi="ar"/>
              </w:rPr>
              <w:t xml:space="preserve"> 4411</w:t>
            </w:r>
            <w:r>
              <w:rPr>
                <w:rFonts w:eastAsia="仿宋"/>
                <w:sz w:val="20"/>
                <w:szCs w:val="20"/>
                <w:lang w:bidi="ar"/>
              </w:rPr>
              <w:t>；热电联产</w:t>
            </w:r>
            <w:r>
              <w:rPr>
                <w:rFonts w:eastAsia="宋体"/>
                <w:sz w:val="20"/>
                <w:szCs w:val="20"/>
                <w:lang w:bidi="ar"/>
              </w:rPr>
              <w:t xml:space="preserve"> 4412</w:t>
            </w:r>
            <w:r>
              <w:rPr>
                <w:rFonts w:eastAsia="仿宋"/>
                <w:sz w:val="20"/>
                <w:szCs w:val="20"/>
                <w:lang w:bidi="ar"/>
              </w:rPr>
              <w:t>（</w:t>
            </w:r>
            <w:r>
              <w:rPr>
                <w:rFonts w:eastAsia="宋体"/>
                <w:sz w:val="20"/>
                <w:szCs w:val="20"/>
                <w:lang w:bidi="ar"/>
              </w:rPr>
              <w:t>4411</w:t>
            </w:r>
            <w:r>
              <w:rPr>
                <w:rFonts w:eastAsia="仿宋"/>
                <w:sz w:val="20"/>
                <w:szCs w:val="20"/>
                <w:lang w:bidi="ar"/>
              </w:rPr>
              <w:t>和</w:t>
            </w:r>
            <w:r>
              <w:rPr>
                <w:rFonts w:eastAsia="宋体"/>
                <w:sz w:val="20"/>
                <w:szCs w:val="20"/>
                <w:lang w:bidi="ar"/>
              </w:rPr>
              <w:t>4412</w:t>
            </w:r>
            <w:r>
              <w:rPr>
                <w:rFonts w:eastAsia="仿宋"/>
                <w:sz w:val="20"/>
                <w:szCs w:val="20"/>
                <w:lang w:bidi="ar"/>
              </w:rPr>
              <w:t>均含掺烧生活垃圾发电、掺烧污泥发电）</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火力发电和热电联产（发电机组节能改造的除外；燃气发电除外；单纯利用余热、余压、余气（含煤矿瓦斯）发电的除外）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燃气发电；单纯利用余气（含煤矿瓦斯）发电</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88</w:t>
            </w:r>
          </w:p>
        </w:tc>
        <w:tc>
          <w:tcPr>
            <w:tcW w:w="2804"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水力发电</w:t>
            </w:r>
            <w:r>
              <w:rPr>
                <w:rFonts w:eastAsia="宋体"/>
                <w:sz w:val="20"/>
                <w:szCs w:val="20"/>
                <w:lang w:bidi="ar"/>
              </w:rPr>
              <w:t xml:space="preserve"> 4413</w:t>
            </w:r>
          </w:p>
        </w:tc>
        <w:tc>
          <w:tcPr>
            <w:tcW w:w="3652"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总装机</w:t>
            </w:r>
            <w:r>
              <w:rPr>
                <w:rFonts w:eastAsia="宋体"/>
                <w:sz w:val="20"/>
                <w:szCs w:val="20"/>
                <w:lang w:bidi="ar"/>
              </w:rPr>
              <w:t>1000</w:t>
            </w:r>
            <w:r>
              <w:rPr>
                <w:rFonts w:eastAsia="仿宋"/>
                <w:sz w:val="20"/>
                <w:szCs w:val="20"/>
                <w:lang w:bidi="ar"/>
              </w:rPr>
              <w:t>千瓦及以上的常规水电（仅更换发电设备的增效扩容项目除外）；抽水蓄能电站；涉及环境敏感区的</w:t>
            </w:r>
          </w:p>
        </w:tc>
        <w:tc>
          <w:tcPr>
            <w:tcW w:w="152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宋体"/>
                <w:kern w:val="0"/>
                <w:sz w:val="20"/>
                <w:szCs w:val="20"/>
                <w:lang w:bidi="ar"/>
              </w:rPr>
              <w:t>Ⅰ</w:t>
            </w:r>
            <w:r>
              <w:rPr>
                <w:rFonts w:eastAsia="仿宋"/>
                <w:sz w:val="20"/>
                <w:szCs w:val="20"/>
                <w:lang w:bidi="ar"/>
              </w:rPr>
              <w:t>类（单站装机容量</w:t>
            </w:r>
            <w:r>
              <w:rPr>
                <w:rFonts w:eastAsia="宋体"/>
                <w:sz w:val="20"/>
                <w:szCs w:val="20"/>
                <w:lang w:bidi="ar"/>
              </w:rPr>
              <w:t>5</w:t>
            </w:r>
            <w:r>
              <w:rPr>
                <w:rFonts w:eastAsia="仿宋"/>
                <w:sz w:val="20"/>
                <w:szCs w:val="20"/>
                <w:lang w:bidi="ar"/>
              </w:rPr>
              <w:t>万千瓦及以上）</w:t>
            </w:r>
          </w:p>
        </w:tc>
        <w:tc>
          <w:tcPr>
            <w:tcW w:w="3749"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kern w:val="0"/>
                <w:sz w:val="20"/>
                <w:szCs w:val="20"/>
                <w:lang w:bidi="ar"/>
              </w:rPr>
            </w:pPr>
          </w:p>
        </w:tc>
        <w:tc>
          <w:tcPr>
            <w:tcW w:w="2804"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仿宋"/>
                <w:sz w:val="20"/>
                <w:szCs w:val="20"/>
                <w:lang w:bidi="ar"/>
              </w:rPr>
            </w:pPr>
          </w:p>
        </w:tc>
        <w:tc>
          <w:tcPr>
            <w:tcW w:w="3652"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仿宋"/>
                <w:sz w:val="20"/>
                <w:szCs w:val="20"/>
                <w:lang w:bidi="ar"/>
              </w:rPr>
            </w:pPr>
          </w:p>
        </w:tc>
        <w:tc>
          <w:tcPr>
            <w:tcW w:w="152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lang w:bidi="ar"/>
              </w:rPr>
            </w:pPr>
            <w:r>
              <w:rPr>
                <w:rFonts w:eastAsia="宋体"/>
                <w:sz w:val="20"/>
                <w:szCs w:val="20"/>
                <w:lang w:bidi="ar"/>
              </w:rPr>
              <w:t>Ⅱ</w:t>
            </w:r>
            <w:r>
              <w:rPr>
                <w:rFonts w:eastAsia="仿宋"/>
                <w:sz w:val="20"/>
                <w:szCs w:val="20"/>
                <w:lang w:bidi="ar"/>
              </w:rPr>
              <w:t>类（单站装机容量</w:t>
            </w:r>
            <w:r>
              <w:rPr>
                <w:rFonts w:eastAsia="宋体"/>
                <w:sz w:val="20"/>
                <w:szCs w:val="20"/>
                <w:lang w:bidi="ar"/>
              </w:rPr>
              <w:t>1000</w:t>
            </w:r>
            <w:r>
              <w:rPr>
                <w:rFonts w:eastAsia="仿宋"/>
                <w:sz w:val="20"/>
                <w:szCs w:val="20"/>
                <w:lang w:bidi="ar"/>
              </w:rPr>
              <w:t>千瓦（含）以上及</w:t>
            </w:r>
            <w:r>
              <w:rPr>
                <w:rFonts w:eastAsia="宋体"/>
                <w:sz w:val="20"/>
                <w:szCs w:val="20"/>
                <w:lang w:bidi="ar"/>
              </w:rPr>
              <w:t>5</w:t>
            </w:r>
            <w:r>
              <w:rPr>
                <w:rFonts w:eastAsia="仿宋"/>
                <w:sz w:val="20"/>
                <w:szCs w:val="20"/>
                <w:lang w:bidi="ar"/>
              </w:rPr>
              <w:t>万千瓦以下）</w:t>
            </w:r>
          </w:p>
        </w:tc>
        <w:tc>
          <w:tcPr>
            <w:tcW w:w="3749"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仿宋"/>
                <w:sz w:val="20"/>
                <w:szCs w:val="20"/>
                <w:lang w:bidi="ar"/>
              </w:rPr>
            </w:pPr>
          </w:p>
        </w:tc>
        <w:tc>
          <w:tcPr>
            <w:tcW w:w="1293"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kern w:val="0"/>
                <w:sz w:val="20"/>
                <w:szCs w:val="20"/>
                <w:lang w:bidi="ar"/>
              </w:rPr>
            </w:pPr>
          </w:p>
        </w:tc>
        <w:tc>
          <w:tcPr>
            <w:tcW w:w="1575" w:type="dxa"/>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89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生物质能发电</w:t>
            </w:r>
            <w:r>
              <w:rPr>
                <w:rFonts w:eastAsia="宋体"/>
                <w:sz w:val="20"/>
                <w:szCs w:val="20"/>
                <w:lang w:bidi="ar"/>
              </w:rPr>
              <w:t xml:space="preserve"> 4417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生活垃圾发电（掺烧生活垃圾发电的除外）；污泥发电（掺烧污泥发电的除外）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利用农林生物质、沼气、垃圾填埋气发电的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90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陆上风力发电</w:t>
            </w:r>
            <w:r>
              <w:rPr>
                <w:rFonts w:eastAsia="宋体"/>
                <w:sz w:val="20"/>
                <w:szCs w:val="20"/>
                <w:lang w:bidi="ar"/>
              </w:rPr>
              <w:t xml:space="preserve"> 4415</w:t>
            </w:r>
            <w:r>
              <w:rPr>
                <w:rFonts w:eastAsia="仿宋"/>
                <w:sz w:val="20"/>
                <w:szCs w:val="20"/>
                <w:lang w:bidi="ar"/>
              </w:rPr>
              <w:t>；太阳能发电</w:t>
            </w:r>
            <w:r>
              <w:rPr>
                <w:rFonts w:eastAsia="宋体"/>
                <w:sz w:val="20"/>
                <w:szCs w:val="20"/>
                <w:lang w:bidi="ar"/>
              </w:rPr>
              <w:t xml:space="preserve"> 4416</w:t>
            </w:r>
            <w:r>
              <w:rPr>
                <w:rFonts w:eastAsia="仿宋"/>
                <w:sz w:val="20"/>
                <w:szCs w:val="20"/>
                <w:lang w:bidi="ar"/>
              </w:rPr>
              <w:t>（不含居民家用光伏发电）；其他电力生产</w:t>
            </w:r>
            <w:r>
              <w:rPr>
                <w:rFonts w:eastAsia="宋体"/>
                <w:sz w:val="20"/>
                <w:szCs w:val="20"/>
                <w:lang w:bidi="ar"/>
              </w:rPr>
              <w:t>4419</w:t>
            </w:r>
            <w:r>
              <w:rPr>
                <w:rFonts w:eastAsia="仿宋"/>
                <w:sz w:val="20"/>
                <w:szCs w:val="20"/>
                <w:lang w:bidi="ar"/>
              </w:rPr>
              <w:t>（不含海上的潮汐能、波浪能、温差能等发电）</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涉及环境敏感区的总装机容量</w:t>
            </w:r>
            <w:r>
              <w:rPr>
                <w:rFonts w:eastAsia="宋体"/>
                <w:sz w:val="20"/>
                <w:szCs w:val="20"/>
                <w:lang w:bidi="ar"/>
              </w:rPr>
              <w:t>5</w:t>
            </w:r>
            <w:r>
              <w:rPr>
                <w:rFonts w:eastAsia="仿宋"/>
                <w:sz w:val="20"/>
                <w:szCs w:val="20"/>
                <w:lang w:bidi="ar"/>
              </w:rPr>
              <w:t>万千瓦及以上的陆上风力发电</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陆地利用地热、太阳能热等发电；地面集中光伏电站（总容量大于</w:t>
            </w:r>
            <w:r>
              <w:rPr>
                <w:rFonts w:eastAsia="宋体"/>
                <w:sz w:val="20"/>
                <w:szCs w:val="20"/>
                <w:lang w:bidi="ar"/>
              </w:rPr>
              <w:t>6000</w:t>
            </w:r>
            <w:r>
              <w:rPr>
                <w:rFonts w:eastAsia="仿宋"/>
                <w:sz w:val="20"/>
                <w:szCs w:val="20"/>
                <w:lang w:bidi="ar"/>
              </w:rPr>
              <w:t>千瓦，且接入电压等级不小于</w:t>
            </w:r>
            <w:r>
              <w:rPr>
                <w:rFonts w:eastAsia="宋体"/>
                <w:sz w:val="20"/>
                <w:szCs w:val="20"/>
                <w:lang w:bidi="ar"/>
              </w:rPr>
              <w:t>10</w:t>
            </w:r>
            <w:r>
              <w:rPr>
                <w:rFonts w:eastAsia="仿宋"/>
                <w:sz w:val="20"/>
                <w:szCs w:val="20"/>
                <w:lang w:bidi="ar"/>
              </w:rPr>
              <w:t>千伏）；其他风力发电</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1345"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91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热力生产和供应工程（包括建设单位自建自用的供热工程）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燃煤、燃油锅炉总容量</w:t>
            </w:r>
            <w:r>
              <w:rPr>
                <w:rFonts w:eastAsia="宋体"/>
                <w:sz w:val="20"/>
                <w:szCs w:val="20"/>
                <w:lang w:bidi="ar"/>
              </w:rPr>
              <w:t>65</w:t>
            </w:r>
            <w:r>
              <w:rPr>
                <w:rFonts w:eastAsia="仿宋"/>
                <w:sz w:val="20"/>
                <w:szCs w:val="20"/>
                <w:lang w:bidi="ar"/>
              </w:rPr>
              <w:t>吨</w:t>
            </w:r>
            <w:r>
              <w:rPr>
                <w:rFonts w:eastAsia="宋体"/>
                <w:sz w:val="20"/>
                <w:szCs w:val="20"/>
                <w:lang w:bidi="ar"/>
              </w:rPr>
              <w:t>/</w:t>
            </w:r>
            <w:r>
              <w:rPr>
                <w:rFonts w:eastAsia="仿宋"/>
                <w:sz w:val="20"/>
                <w:szCs w:val="20"/>
                <w:lang w:bidi="ar"/>
              </w:rPr>
              <w:t>小时（</w:t>
            </w:r>
            <w:r>
              <w:rPr>
                <w:rFonts w:eastAsia="宋体"/>
                <w:sz w:val="20"/>
                <w:szCs w:val="20"/>
                <w:lang w:bidi="ar"/>
              </w:rPr>
              <w:t xml:space="preserve">45.5 </w:t>
            </w:r>
            <w:r>
              <w:rPr>
                <w:rFonts w:eastAsia="仿宋"/>
                <w:sz w:val="20"/>
                <w:szCs w:val="20"/>
                <w:lang w:bidi="ar"/>
              </w:rPr>
              <w:t>兆瓦）以上的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燃煤、燃油锅炉总容量</w:t>
            </w:r>
            <w:r>
              <w:rPr>
                <w:rFonts w:eastAsia="宋体"/>
                <w:sz w:val="20"/>
                <w:szCs w:val="20"/>
                <w:lang w:bidi="ar"/>
              </w:rPr>
              <w:t>65</w:t>
            </w:r>
            <w:r>
              <w:rPr>
                <w:rFonts w:eastAsia="仿宋"/>
                <w:sz w:val="20"/>
                <w:szCs w:val="20"/>
                <w:lang w:bidi="ar"/>
              </w:rPr>
              <w:t>吨</w:t>
            </w:r>
            <w:r>
              <w:rPr>
                <w:rFonts w:eastAsia="宋体"/>
                <w:sz w:val="20"/>
                <w:szCs w:val="20"/>
                <w:lang w:bidi="ar"/>
              </w:rPr>
              <w:t>/</w:t>
            </w:r>
            <w:r>
              <w:rPr>
                <w:rFonts w:eastAsia="仿宋"/>
                <w:sz w:val="20"/>
                <w:szCs w:val="20"/>
                <w:lang w:bidi="ar"/>
              </w:rPr>
              <w:t>小时（</w:t>
            </w:r>
            <w:r>
              <w:rPr>
                <w:rFonts w:eastAsia="宋体"/>
                <w:sz w:val="20"/>
                <w:szCs w:val="20"/>
                <w:lang w:bidi="ar"/>
              </w:rPr>
              <w:t>45.5</w:t>
            </w:r>
            <w:r>
              <w:rPr>
                <w:rFonts w:eastAsia="仿宋"/>
                <w:sz w:val="20"/>
                <w:szCs w:val="20"/>
                <w:lang w:bidi="ar"/>
              </w:rPr>
              <w:t>兆瓦）及以下的；天然气锅炉总容量</w:t>
            </w:r>
            <w:r>
              <w:rPr>
                <w:rFonts w:eastAsia="宋体"/>
                <w:sz w:val="20"/>
                <w:szCs w:val="20"/>
                <w:lang w:bidi="ar"/>
              </w:rPr>
              <w:t>1</w:t>
            </w:r>
            <w:r>
              <w:rPr>
                <w:rFonts w:eastAsia="仿宋"/>
                <w:sz w:val="20"/>
                <w:szCs w:val="20"/>
                <w:lang w:bidi="ar"/>
              </w:rPr>
              <w:t>吨</w:t>
            </w:r>
            <w:r>
              <w:rPr>
                <w:rFonts w:eastAsia="宋体"/>
                <w:sz w:val="20"/>
                <w:szCs w:val="20"/>
                <w:lang w:bidi="ar"/>
              </w:rPr>
              <w:t>/</w:t>
            </w:r>
            <w:r>
              <w:rPr>
                <w:rFonts w:eastAsia="仿宋"/>
                <w:sz w:val="20"/>
                <w:szCs w:val="20"/>
                <w:lang w:bidi="ar"/>
              </w:rPr>
              <w:t>小时（</w:t>
            </w:r>
            <w:r>
              <w:rPr>
                <w:rFonts w:eastAsia="宋体"/>
                <w:sz w:val="20"/>
                <w:szCs w:val="20"/>
                <w:lang w:bidi="ar"/>
              </w:rPr>
              <w:t>0.7</w:t>
            </w:r>
            <w:r>
              <w:rPr>
                <w:rFonts w:eastAsia="仿宋"/>
                <w:sz w:val="20"/>
                <w:szCs w:val="20"/>
                <w:lang w:bidi="ar"/>
              </w:rPr>
              <w:t>兆瓦）以上的；使用其他高污染燃料的（高污染燃料指国环规大气〔</w:t>
            </w:r>
            <w:r>
              <w:rPr>
                <w:rFonts w:eastAsia="宋体"/>
                <w:sz w:val="20"/>
                <w:szCs w:val="20"/>
                <w:lang w:bidi="ar"/>
              </w:rPr>
              <w:t>2017</w:t>
            </w:r>
            <w:r>
              <w:rPr>
                <w:rFonts w:eastAsia="仿宋"/>
                <w:sz w:val="20"/>
                <w:szCs w:val="20"/>
                <w:lang w:bidi="ar"/>
              </w:rPr>
              <w:t>〕</w:t>
            </w:r>
            <w:r>
              <w:rPr>
                <w:rFonts w:eastAsia="宋体"/>
                <w:sz w:val="20"/>
                <w:szCs w:val="20"/>
                <w:lang w:bidi="ar"/>
              </w:rPr>
              <w:t>2</w:t>
            </w:r>
            <w:r>
              <w:rPr>
                <w:rFonts w:eastAsia="仿宋"/>
                <w:sz w:val="20"/>
                <w:szCs w:val="20"/>
                <w:lang w:bidi="ar"/>
              </w:rPr>
              <w:t>号《高污染燃料目录》中规定的燃料）</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四十二、燃气生产和供应业</w:t>
            </w:r>
            <w:r>
              <w:rPr>
                <w:rFonts w:eastAsia="宋体"/>
                <w:sz w:val="20"/>
                <w:szCs w:val="20"/>
                <w:lang w:bidi="ar"/>
              </w:rPr>
              <w:t xml:space="preserve"> 45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92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燃气生产和供应业</w:t>
            </w:r>
            <w:r>
              <w:rPr>
                <w:rFonts w:eastAsia="宋体"/>
                <w:sz w:val="20"/>
                <w:szCs w:val="20"/>
                <w:lang w:bidi="ar"/>
              </w:rPr>
              <w:t xml:space="preserve"> 451</w:t>
            </w:r>
            <w:r>
              <w:rPr>
                <w:rFonts w:eastAsia="仿宋"/>
                <w:sz w:val="20"/>
                <w:szCs w:val="20"/>
                <w:lang w:bidi="ar"/>
              </w:rPr>
              <w:t>（不含供应工程）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煤气生产</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93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生物质燃气生产和供应业</w:t>
            </w:r>
            <w:r>
              <w:rPr>
                <w:rFonts w:eastAsia="宋体"/>
                <w:sz w:val="20"/>
                <w:szCs w:val="20"/>
                <w:lang w:bidi="ar"/>
              </w:rPr>
              <w:t xml:space="preserve"> 452</w:t>
            </w:r>
            <w:r>
              <w:rPr>
                <w:rFonts w:eastAsia="仿宋"/>
                <w:sz w:val="20"/>
                <w:szCs w:val="20"/>
                <w:lang w:bidi="ar"/>
              </w:rPr>
              <w:t>（不含供应工程）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四十三、水的生产和供应业</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642"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94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自来水生产和供应</w:t>
            </w:r>
            <w:r>
              <w:rPr>
                <w:rFonts w:eastAsia="宋体"/>
                <w:sz w:val="20"/>
                <w:szCs w:val="20"/>
                <w:lang w:bidi="ar"/>
              </w:rPr>
              <w:t xml:space="preserve"> 461</w:t>
            </w:r>
            <w:r>
              <w:rPr>
                <w:rFonts w:eastAsia="仿宋"/>
                <w:sz w:val="20"/>
                <w:szCs w:val="20"/>
                <w:lang w:bidi="ar"/>
              </w:rPr>
              <w:t>（不含供应工程；不含村庄供应工程）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1205"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95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污水处理及其再生利用</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新建、扩建日处理</w:t>
            </w:r>
            <w:r>
              <w:rPr>
                <w:rFonts w:eastAsia="宋体"/>
                <w:sz w:val="20"/>
                <w:szCs w:val="20"/>
                <w:lang w:bidi="ar"/>
              </w:rPr>
              <w:t>10</w:t>
            </w:r>
            <w:r>
              <w:rPr>
                <w:rFonts w:eastAsia="仿宋"/>
                <w:sz w:val="20"/>
                <w:szCs w:val="20"/>
                <w:lang w:bidi="ar"/>
              </w:rPr>
              <w:t>万吨及以上城乡污水处理的；新建、扩建工业废水集中处理的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新建、扩建日处理</w:t>
            </w:r>
            <w:r>
              <w:rPr>
                <w:rFonts w:eastAsia="宋体"/>
                <w:sz w:val="20"/>
                <w:szCs w:val="20"/>
                <w:lang w:bidi="ar"/>
              </w:rPr>
              <w:t>10</w:t>
            </w:r>
            <w:r>
              <w:rPr>
                <w:rFonts w:eastAsia="仿宋"/>
                <w:sz w:val="20"/>
                <w:szCs w:val="20"/>
                <w:lang w:bidi="ar"/>
              </w:rPr>
              <w:t>万吨以下</w:t>
            </w:r>
            <w:r>
              <w:rPr>
                <w:rFonts w:eastAsia="宋体"/>
                <w:sz w:val="20"/>
                <w:szCs w:val="20"/>
                <w:lang w:bidi="ar"/>
              </w:rPr>
              <w:t>500</w:t>
            </w:r>
            <w:r>
              <w:rPr>
                <w:rFonts w:eastAsia="仿宋"/>
                <w:sz w:val="20"/>
                <w:szCs w:val="20"/>
                <w:lang w:bidi="ar"/>
              </w:rPr>
              <w:t>吨及以上城乡污水处理的；</w:t>
            </w:r>
            <w:r>
              <w:rPr>
                <w:rFonts w:eastAsia="宋体"/>
                <w:sz w:val="20"/>
                <w:szCs w:val="20"/>
                <w:lang w:bidi="ar"/>
              </w:rPr>
              <w:t xml:space="preserve"> </w:t>
            </w:r>
            <w:r>
              <w:rPr>
                <w:rFonts w:eastAsia="仿宋"/>
                <w:sz w:val="20"/>
                <w:szCs w:val="20"/>
                <w:lang w:bidi="ar"/>
              </w:rPr>
              <w:t>新建、扩建其他工业废水处理的（不含建设单位自建自用仅处理生活污水的；不含出水间接排入地表水体且不排放重金属的）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96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96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海水淡化处理</w:t>
            </w:r>
            <w:r>
              <w:rPr>
                <w:rFonts w:eastAsia="宋体"/>
                <w:sz w:val="20"/>
                <w:szCs w:val="20"/>
                <w:lang w:bidi="ar"/>
              </w:rPr>
              <w:t xml:space="preserve"> 463</w:t>
            </w:r>
            <w:r>
              <w:rPr>
                <w:rFonts w:eastAsia="仿宋"/>
                <w:sz w:val="20"/>
                <w:szCs w:val="20"/>
                <w:lang w:bidi="ar"/>
              </w:rPr>
              <w:t>；其他水的处理、利用与分配</w:t>
            </w:r>
            <w:r>
              <w:rPr>
                <w:rFonts w:eastAsia="宋体"/>
                <w:sz w:val="20"/>
                <w:szCs w:val="20"/>
                <w:lang w:bidi="ar"/>
              </w:rPr>
              <w:t xml:space="preserve"> 469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四十四、房地产业</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97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房地产开发、商业综合体、宾馆、酒店、办公用房、标准厂房等</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四十五、研究和试验发展</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56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98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专业实验室、研发（试验）基地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P3</w:t>
            </w:r>
            <w:r>
              <w:rPr>
                <w:rFonts w:eastAsia="仿宋"/>
                <w:sz w:val="20"/>
                <w:szCs w:val="20"/>
                <w:lang w:bidi="ar"/>
              </w:rPr>
              <w:t>、</w:t>
            </w:r>
            <w:r>
              <w:rPr>
                <w:rFonts w:eastAsia="宋体"/>
                <w:sz w:val="20"/>
                <w:szCs w:val="20"/>
                <w:lang w:bidi="ar"/>
              </w:rPr>
              <w:t>P4</w:t>
            </w:r>
            <w:r>
              <w:rPr>
                <w:rFonts w:eastAsia="仿宋"/>
                <w:sz w:val="20"/>
                <w:szCs w:val="20"/>
                <w:lang w:bidi="ar"/>
              </w:rPr>
              <w:t>生物安全实验室；转基因实验室</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其他（不产生实验废气、废水、危险废物的除外）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四十六、专业技术服务业</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99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陆地矿产资源地质勘查（含油气资源勘探）；二氧化碳地质封存</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四十七、生态保护和环境治理业</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100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脱硫、脱硝、除尘、</w:t>
            </w:r>
            <w:r>
              <w:rPr>
                <w:rFonts w:eastAsia="宋体"/>
                <w:sz w:val="20"/>
                <w:szCs w:val="20"/>
                <w:lang w:bidi="ar"/>
              </w:rPr>
              <w:t>VOCs</w:t>
            </w:r>
            <w:r>
              <w:rPr>
                <w:rFonts w:eastAsia="仿宋"/>
                <w:sz w:val="20"/>
                <w:szCs w:val="20"/>
                <w:lang w:bidi="ar"/>
              </w:rPr>
              <w:t>治理等大气污染治理工程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101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危险废物（不含医疗废物）利用及处置</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危险废物利用及处置（产生单位内部回收再利用的除外；单纯收集、贮存的除外）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102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医疗废物处置、病死及病害动物无害化处理</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医疗废物集中处置（单纯收集、贮存的除外）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103</w:t>
            </w:r>
          </w:p>
        </w:tc>
        <w:tc>
          <w:tcPr>
            <w:tcW w:w="2804"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一般工业固体废物（含污水处理污泥）、建筑施工废弃物处置及综合利用</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一般工业固体废物（含污水处理污泥）</w:t>
            </w:r>
            <w:r>
              <w:rPr>
                <w:rFonts w:eastAsia="宋体"/>
                <w:sz w:val="20"/>
                <w:szCs w:val="20"/>
                <w:lang w:bidi="ar"/>
              </w:rPr>
              <w:t xml:space="preserve"> </w:t>
            </w:r>
            <w:r>
              <w:rPr>
                <w:rFonts w:eastAsia="仿宋"/>
                <w:sz w:val="20"/>
                <w:szCs w:val="20"/>
                <w:lang w:bidi="ar"/>
              </w:rPr>
              <w:t>采取填埋、焚烧（水泥窑协同处置的改造项目除外）方式的</w:t>
            </w:r>
            <w:r>
              <w:rPr>
                <w:rFonts w:eastAsia="宋体"/>
                <w:sz w:val="20"/>
                <w:szCs w:val="20"/>
                <w:lang w:bidi="ar"/>
              </w:rPr>
              <w:t xml:space="preserve">  </w:t>
            </w:r>
            <w:r>
              <w:rPr>
                <w:rFonts w:eastAsia="宋体"/>
                <w:sz w:val="20"/>
                <w:szCs w:val="20"/>
                <w:lang w:bidi="ar"/>
              </w:rPr>
              <w:br w:type="textWrapping"/>
            </w:r>
            <w:r>
              <w:rPr>
                <w:rFonts w:eastAsia="宋体"/>
                <w:sz w:val="20"/>
                <w:szCs w:val="20"/>
                <w:lang w:bidi="ar"/>
              </w:rPr>
              <w:t xml:space="preserve"> </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一般工业固体废物焚烧水泥窑协同处置的改造项目</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1575" w:type="dxa"/>
            <w:tcBorders>
              <w:top w:val="single" w:color="000000" w:sz="4" w:space="0"/>
              <w:left w:val="single" w:color="000000" w:sz="4" w:space="0"/>
              <w:bottom w:val="nil"/>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749"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nil"/>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四十八、公共设施管理业</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9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105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生活垃圾（含餐厨废弃物）转运站</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日转运能力</w:t>
            </w:r>
            <w:r>
              <w:rPr>
                <w:rFonts w:eastAsia="宋体"/>
                <w:sz w:val="20"/>
                <w:szCs w:val="20"/>
                <w:lang w:bidi="ar"/>
              </w:rPr>
              <w:t>150</w:t>
            </w:r>
            <w:r>
              <w:rPr>
                <w:rFonts w:eastAsia="仿宋"/>
                <w:sz w:val="20"/>
                <w:szCs w:val="20"/>
                <w:lang w:bidi="ar"/>
              </w:rPr>
              <w:t>吨及以上的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397"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106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生活垃圾（含餐厨废弃物）集中处置（生活垃圾发电除外）</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采取填埋方式的；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其他处置方式日处置能力</w:t>
            </w:r>
            <w:r>
              <w:rPr>
                <w:rFonts w:eastAsia="宋体"/>
                <w:sz w:val="20"/>
                <w:szCs w:val="20"/>
                <w:lang w:bidi="ar"/>
              </w:rPr>
              <w:t>50</w:t>
            </w:r>
            <w:r>
              <w:rPr>
                <w:rFonts w:eastAsia="仿宋"/>
                <w:sz w:val="20"/>
                <w:szCs w:val="20"/>
                <w:lang w:bidi="ar"/>
              </w:rPr>
              <w:t>吨以下</w:t>
            </w:r>
            <w:r>
              <w:rPr>
                <w:rFonts w:eastAsia="宋体"/>
                <w:sz w:val="20"/>
                <w:szCs w:val="20"/>
                <w:lang w:bidi="ar"/>
              </w:rPr>
              <w:t>10</w:t>
            </w:r>
            <w:r>
              <w:rPr>
                <w:rFonts w:eastAsia="仿宋"/>
                <w:sz w:val="20"/>
                <w:szCs w:val="20"/>
                <w:lang w:bidi="ar"/>
              </w:rPr>
              <w:t>吨及以上的</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97"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其他处置方式日处置能力</w:t>
            </w:r>
            <w:r>
              <w:rPr>
                <w:rFonts w:eastAsia="宋体"/>
                <w:sz w:val="20"/>
                <w:szCs w:val="20"/>
                <w:lang w:bidi="ar"/>
              </w:rPr>
              <w:t>50</w:t>
            </w:r>
            <w:r>
              <w:rPr>
                <w:rFonts w:eastAsia="仿宋"/>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9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107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粪便处置工程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日处理</w:t>
            </w:r>
            <w:r>
              <w:rPr>
                <w:rFonts w:eastAsia="宋体"/>
                <w:sz w:val="20"/>
                <w:szCs w:val="20"/>
                <w:lang w:bidi="ar"/>
              </w:rPr>
              <w:t>50</w:t>
            </w:r>
            <w:r>
              <w:rPr>
                <w:rFonts w:eastAsia="仿宋"/>
                <w:sz w:val="20"/>
                <w:szCs w:val="20"/>
                <w:lang w:bidi="ar"/>
              </w:rPr>
              <w:t>吨及以上</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四十九、卫生</w:t>
            </w:r>
            <w:r>
              <w:rPr>
                <w:rFonts w:eastAsia="宋体"/>
                <w:sz w:val="20"/>
                <w:szCs w:val="20"/>
                <w:lang w:bidi="ar"/>
              </w:rPr>
              <w:t xml:space="preserve"> 84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108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医院</w:t>
            </w:r>
            <w:r>
              <w:rPr>
                <w:rFonts w:eastAsia="宋体"/>
                <w:sz w:val="20"/>
                <w:szCs w:val="20"/>
                <w:lang w:bidi="ar"/>
              </w:rPr>
              <w:t xml:space="preserve"> 841</w:t>
            </w:r>
            <w:r>
              <w:rPr>
                <w:rFonts w:eastAsia="仿宋"/>
                <w:sz w:val="20"/>
                <w:szCs w:val="20"/>
                <w:lang w:bidi="ar"/>
              </w:rPr>
              <w:t>；专科疾病防治院（所、站）</w:t>
            </w:r>
            <w:r>
              <w:rPr>
                <w:rFonts w:eastAsia="宋体"/>
                <w:sz w:val="20"/>
                <w:szCs w:val="20"/>
                <w:lang w:bidi="ar"/>
              </w:rPr>
              <w:t>8432</w:t>
            </w:r>
            <w:r>
              <w:rPr>
                <w:rFonts w:eastAsia="仿宋"/>
                <w:sz w:val="20"/>
                <w:szCs w:val="20"/>
                <w:lang w:bidi="ar"/>
              </w:rPr>
              <w:t>；</w:t>
            </w:r>
            <w:r>
              <w:rPr>
                <w:rFonts w:eastAsia="宋体"/>
                <w:sz w:val="20"/>
                <w:szCs w:val="20"/>
                <w:lang w:bidi="ar"/>
              </w:rPr>
              <w:t xml:space="preserve"> </w:t>
            </w:r>
            <w:r>
              <w:rPr>
                <w:rFonts w:eastAsia="仿宋"/>
                <w:sz w:val="20"/>
                <w:szCs w:val="20"/>
                <w:lang w:bidi="ar"/>
              </w:rPr>
              <w:t>妇幼保健院（所、站）</w:t>
            </w:r>
            <w:r>
              <w:rPr>
                <w:rFonts w:eastAsia="宋体"/>
                <w:sz w:val="20"/>
                <w:szCs w:val="20"/>
                <w:lang w:bidi="ar"/>
              </w:rPr>
              <w:t xml:space="preserve"> 8433</w:t>
            </w:r>
            <w:r>
              <w:rPr>
                <w:rFonts w:eastAsia="仿宋"/>
                <w:sz w:val="20"/>
                <w:szCs w:val="20"/>
                <w:lang w:bidi="ar"/>
              </w:rPr>
              <w:t>；急救中心（站）</w:t>
            </w:r>
            <w:r>
              <w:rPr>
                <w:rFonts w:eastAsia="宋体"/>
                <w:sz w:val="20"/>
                <w:szCs w:val="20"/>
                <w:lang w:bidi="ar"/>
              </w:rPr>
              <w:t xml:space="preserve"> </w:t>
            </w:r>
            <w:r>
              <w:rPr>
                <w:rFonts w:eastAsia="仿宋"/>
                <w:sz w:val="20"/>
                <w:szCs w:val="20"/>
                <w:lang w:bidi="ar"/>
              </w:rPr>
              <w:t>服务</w:t>
            </w:r>
            <w:r>
              <w:rPr>
                <w:rFonts w:eastAsia="宋体"/>
                <w:sz w:val="20"/>
                <w:szCs w:val="20"/>
                <w:lang w:bidi="ar"/>
              </w:rPr>
              <w:t xml:space="preserve"> 8434</w:t>
            </w:r>
            <w:r>
              <w:rPr>
                <w:rFonts w:eastAsia="仿宋"/>
                <w:sz w:val="20"/>
                <w:szCs w:val="20"/>
                <w:lang w:bidi="ar"/>
              </w:rPr>
              <w:t>；采供血机构服务</w:t>
            </w:r>
            <w:r>
              <w:rPr>
                <w:rFonts w:eastAsia="宋体"/>
                <w:sz w:val="20"/>
                <w:szCs w:val="20"/>
                <w:lang w:bidi="ar"/>
              </w:rPr>
              <w:t xml:space="preserve"> 8435</w:t>
            </w:r>
            <w:r>
              <w:rPr>
                <w:rFonts w:eastAsia="仿宋"/>
                <w:sz w:val="20"/>
                <w:szCs w:val="20"/>
                <w:lang w:bidi="ar"/>
              </w:rPr>
              <w:t>；基层医疗卫生服务</w:t>
            </w:r>
            <w:r>
              <w:rPr>
                <w:rFonts w:eastAsia="宋体"/>
                <w:sz w:val="20"/>
                <w:szCs w:val="20"/>
                <w:lang w:bidi="ar"/>
              </w:rPr>
              <w:t xml:space="preserve"> 842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新建、扩建住院床位</w:t>
            </w:r>
            <w:r>
              <w:rPr>
                <w:rFonts w:eastAsia="宋体"/>
                <w:sz w:val="20"/>
                <w:szCs w:val="20"/>
                <w:lang w:bidi="ar"/>
              </w:rPr>
              <w:t>500</w:t>
            </w:r>
            <w:r>
              <w:rPr>
                <w:rFonts w:eastAsia="仿宋"/>
                <w:sz w:val="20"/>
                <w:szCs w:val="20"/>
                <w:lang w:bidi="ar"/>
              </w:rPr>
              <w:t>张及以上的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其他（住院床位</w:t>
            </w:r>
            <w:r>
              <w:rPr>
                <w:rFonts w:eastAsia="宋体"/>
                <w:sz w:val="20"/>
                <w:szCs w:val="20"/>
                <w:lang w:bidi="ar"/>
              </w:rPr>
              <w:t>20</w:t>
            </w:r>
            <w:r>
              <w:rPr>
                <w:rFonts w:eastAsia="仿宋"/>
                <w:sz w:val="20"/>
                <w:szCs w:val="20"/>
                <w:lang w:bidi="ar"/>
              </w:rPr>
              <w:t>张以下的除外）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17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109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疾病预防控制中心</w:t>
            </w:r>
            <w:r>
              <w:rPr>
                <w:rFonts w:eastAsia="宋体"/>
                <w:sz w:val="20"/>
                <w:szCs w:val="20"/>
                <w:lang w:bidi="ar"/>
              </w:rPr>
              <w:t xml:space="preserve"> 8431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五十、社会事业与服务业</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110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学校、福利院、养老院（建筑面积</w:t>
            </w:r>
            <w:r>
              <w:rPr>
                <w:rFonts w:eastAsia="宋体"/>
                <w:sz w:val="20"/>
                <w:szCs w:val="20"/>
                <w:lang w:bidi="ar"/>
              </w:rPr>
              <w:t>5000</w:t>
            </w:r>
            <w:r>
              <w:rPr>
                <w:rFonts w:eastAsia="仿宋"/>
                <w:sz w:val="20"/>
                <w:szCs w:val="20"/>
                <w:lang w:bidi="ar"/>
              </w:rPr>
              <w:t>平方米及以上的）</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新建涉及环境敏感区的；有化学、生物实验室的学校</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111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批发、零售市场（建筑面积</w:t>
            </w:r>
            <w:r>
              <w:rPr>
                <w:rFonts w:eastAsia="宋体"/>
                <w:sz w:val="20"/>
                <w:szCs w:val="20"/>
                <w:lang w:bidi="ar"/>
              </w:rPr>
              <w:t>5000</w:t>
            </w:r>
            <w:r>
              <w:rPr>
                <w:rFonts w:eastAsia="仿宋"/>
                <w:sz w:val="20"/>
                <w:szCs w:val="20"/>
                <w:lang w:bidi="ar"/>
              </w:rPr>
              <w:t>平方米及以上的）</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112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高尔夫球场、滑雪场、狩猎场、赛车场、跑马场、射击场、水上运动中心等</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高尔夫球场</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113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展览馆、博物馆、美术馆、影剧院、音乐厅、文化馆、图书馆、档案馆、纪念馆、体育场、体育馆等（不含村庄文化体育场所）</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114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公园（含动物园、主题公园；不含城市公园、植物园、村庄公园）；人工湖、人工湿地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特大型、大型主题公园；容积</w:t>
            </w:r>
            <w:r>
              <w:rPr>
                <w:rFonts w:eastAsia="宋体"/>
                <w:sz w:val="20"/>
                <w:szCs w:val="20"/>
                <w:lang w:bidi="ar"/>
              </w:rPr>
              <w:t>500</w:t>
            </w:r>
            <w:r>
              <w:rPr>
                <w:rFonts w:eastAsia="仿宋"/>
                <w:sz w:val="20"/>
                <w:szCs w:val="20"/>
                <w:lang w:bidi="ar"/>
              </w:rPr>
              <w:t>万立方米及以上的人工湖、人工湿地；涉及环境敏感区的容积</w:t>
            </w:r>
            <w:r>
              <w:rPr>
                <w:rFonts w:eastAsia="宋体"/>
                <w:sz w:val="20"/>
                <w:szCs w:val="20"/>
                <w:lang w:bidi="ar"/>
              </w:rPr>
              <w:t>5</w:t>
            </w:r>
            <w:r>
              <w:rPr>
                <w:rFonts w:eastAsia="仿宋"/>
                <w:sz w:val="20"/>
                <w:szCs w:val="20"/>
                <w:lang w:bidi="ar"/>
              </w:rPr>
              <w:t>万立方米及以上</w:t>
            </w:r>
            <w:r>
              <w:rPr>
                <w:rFonts w:eastAsia="宋体"/>
                <w:sz w:val="20"/>
                <w:szCs w:val="20"/>
                <w:lang w:bidi="ar"/>
              </w:rPr>
              <w:t>500</w:t>
            </w:r>
            <w:r>
              <w:rPr>
                <w:rFonts w:eastAsia="仿宋"/>
                <w:sz w:val="20"/>
                <w:szCs w:val="20"/>
                <w:lang w:bidi="ar"/>
              </w:rPr>
              <w:t>万立方米以下的人工湖、人工湿地；年补水量占引水河流引水断面天然年径流量</w:t>
            </w:r>
            <w:r>
              <w:rPr>
                <w:rFonts w:eastAsia="宋体"/>
                <w:sz w:val="20"/>
                <w:szCs w:val="20"/>
                <w:lang w:bidi="ar"/>
              </w:rPr>
              <w:t>1/4</w:t>
            </w:r>
            <w:r>
              <w:rPr>
                <w:rFonts w:eastAsia="仿宋"/>
                <w:sz w:val="20"/>
                <w:szCs w:val="20"/>
                <w:lang w:bidi="ar"/>
              </w:rPr>
              <w:t>及以上的人工湖、人工湿地</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类（不含特大型主题公园）</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其他公园；不涉及环境敏感区的容积</w:t>
            </w:r>
            <w:r>
              <w:rPr>
                <w:rFonts w:eastAsia="宋体"/>
                <w:sz w:val="20"/>
                <w:szCs w:val="20"/>
                <w:lang w:bidi="ar"/>
              </w:rPr>
              <w:t>5</w:t>
            </w:r>
            <w:r>
              <w:rPr>
                <w:rFonts w:eastAsia="仿宋"/>
                <w:sz w:val="20"/>
                <w:szCs w:val="20"/>
                <w:lang w:bidi="ar"/>
              </w:rPr>
              <w:t>万立方米及以上</w:t>
            </w:r>
            <w:r>
              <w:rPr>
                <w:rFonts w:eastAsia="宋体"/>
                <w:sz w:val="20"/>
                <w:szCs w:val="20"/>
                <w:lang w:bidi="ar"/>
              </w:rPr>
              <w:t>500</w:t>
            </w:r>
            <w:r>
              <w:rPr>
                <w:rFonts w:eastAsia="仿宋"/>
                <w:sz w:val="20"/>
                <w:szCs w:val="20"/>
                <w:lang w:bidi="ar"/>
              </w:rPr>
              <w:t>万立方米以下的人工湖、人工湿地；涉及环境敏感区的容积</w:t>
            </w:r>
            <w:r>
              <w:rPr>
                <w:rFonts w:eastAsia="宋体"/>
                <w:sz w:val="20"/>
                <w:szCs w:val="20"/>
                <w:lang w:bidi="ar"/>
              </w:rPr>
              <w:t xml:space="preserve">5 </w:t>
            </w:r>
            <w:r>
              <w:rPr>
                <w:rFonts w:eastAsia="仿宋"/>
                <w:sz w:val="20"/>
                <w:szCs w:val="20"/>
                <w:lang w:bidi="ar"/>
              </w:rPr>
              <w:t>万立方米以下的人工湖、人工湿地</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115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旅游开发</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缆车、索道建设</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116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影视基地建设</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117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胶片洗印厂</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118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驾驶员训练基地、公交枢纽、长途客运站、大型停车场、机动车检测场</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119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加油、加气站</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城市建成区新建、扩建加油站；</w:t>
            </w:r>
            <w:r>
              <w:rPr>
                <w:rFonts w:eastAsia="宋体"/>
                <w:sz w:val="20"/>
                <w:szCs w:val="20"/>
                <w:lang w:bidi="ar"/>
              </w:rPr>
              <w:t xml:space="preserve"> </w:t>
            </w:r>
            <w:r>
              <w:rPr>
                <w:rFonts w:eastAsia="仿宋"/>
                <w:sz w:val="20"/>
                <w:szCs w:val="20"/>
                <w:lang w:bidi="ar"/>
              </w:rPr>
              <w:t>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120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洗车场</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危险化学品运输车辆清洗场</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121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汽车、摩托车维修场所</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营业面积</w:t>
            </w:r>
            <w:r>
              <w:rPr>
                <w:rFonts w:eastAsia="宋体"/>
                <w:sz w:val="20"/>
                <w:szCs w:val="20"/>
                <w:lang w:bidi="ar"/>
              </w:rPr>
              <w:t>5000</w:t>
            </w:r>
            <w:r>
              <w:rPr>
                <w:rFonts w:eastAsia="仿宋"/>
                <w:sz w:val="20"/>
                <w:szCs w:val="20"/>
                <w:lang w:bidi="ar"/>
              </w:rPr>
              <w:t>平方米及以上且使用溶剂型涂料的；营业面积</w:t>
            </w:r>
            <w:r>
              <w:rPr>
                <w:rFonts w:eastAsia="宋体"/>
                <w:sz w:val="20"/>
                <w:szCs w:val="20"/>
                <w:lang w:bidi="ar"/>
              </w:rPr>
              <w:t>5000</w:t>
            </w:r>
            <w:r>
              <w:rPr>
                <w:rFonts w:eastAsia="仿宋"/>
                <w:sz w:val="20"/>
                <w:szCs w:val="20"/>
                <w:lang w:bidi="ar"/>
              </w:rPr>
              <w:t>平方米及以上且年用非溶剂型低</w:t>
            </w:r>
            <w:r>
              <w:rPr>
                <w:rFonts w:eastAsia="宋体"/>
                <w:sz w:val="20"/>
                <w:szCs w:val="20"/>
                <w:lang w:bidi="ar"/>
              </w:rPr>
              <w:t>VOCs</w:t>
            </w:r>
            <w:r>
              <w:rPr>
                <w:rFonts w:eastAsia="仿宋"/>
                <w:sz w:val="20"/>
                <w:szCs w:val="20"/>
                <w:lang w:bidi="ar"/>
              </w:rPr>
              <w:t>含量涂料</w:t>
            </w:r>
            <w:r>
              <w:rPr>
                <w:rFonts w:eastAsia="宋体"/>
                <w:sz w:val="20"/>
                <w:szCs w:val="20"/>
                <w:lang w:bidi="ar"/>
              </w:rPr>
              <w:t>10</w:t>
            </w:r>
            <w:r>
              <w:rPr>
                <w:rFonts w:eastAsia="仿宋"/>
                <w:sz w:val="20"/>
                <w:szCs w:val="20"/>
                <w:lang w:bidi="ar"/>
              </w:rPr>
              <w:t>吨及以上的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122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殡仪馆、陵园、公墓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殡仪馆；涉及环境敏感区的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123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动物医院</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设有动物颅腔、胸腔或腹腔手术设施的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五十一、水利</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907"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124</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水库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库容</w:t>
            </w:r>
            <w:r>
              <w:rPr>
                <w:rFonts w:eastAsia="宋体"/>
                <w:sz w:val="20"/>
                <w:szCs w:val="20"/>
                <w:lang w:bidi="ar"/>
              </w:rPr>
              <w:t>3000</w:t>
            </w:r>
            <w:r>
              <w:rPr>
                <w:rFonts w:eastAsia="仿宋"/>
                <w:sz w:val="20"/>
                <w:szCs w:val="20"/>
                <w:lang w:bidi="ar"/>
              </w:rPr>
              <w:t>万立方米及以上；涉及环境敏感区的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907"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库容</w:t>
            </w:r>
            <w:r>
              <w:rPr>
                <w:rFonts w:eastAsia="宋体"/>
                <w:sz w:val="20"/>
                <w:szCs w:val="20"/>
                <w:lang w:bidi="ar"/>
              </w:rPr>
              <w:t>1000</w:t>
            </w:r>
            <w:r>
              <w:rPr>
                <w:rFonts w:eastAsia="仿宋"/>
                <w:sz w:val="20"/>
                <w:szCs w:val="20"/>
                <w:lang w:bidi="ar"/>
              </w:rPr>
              <w:t>万立方米及以上</w:t>
            </w:r>
            <w:r>
              <w:rPr>
                <w:rFonts w:eastAsia="宋体"/>
                <w:sz w:val="20"/>
                <w:szCs w:val="20"/>
                <w:lang w:bidi="ar"/>
              </w:rPr>
              <w:t>,3000</w:t>
            </w:r>
            <w:r>
              <w:rPr>
                <w:rFonts w:eastAsia="仿宋"/>
                <w:sz w:val="20"/>
                <w:szCs w:val="20"/>
                <w:lang w:bidi="ar"/>
              </w:rPr>
              <w:t>万（不含）立方米以下；涉及环境敏感区的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125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灌区工程（不含水源工程的）</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其他（不含高标准农田、滴灌等节水改造工程）</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126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引水工程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跨流域调水；大中型河流引水；小型河流年总引水量占引水断面天然年径流量</w:t>
            </w:r>
            <w:r>
              <w:rPr>
                <w:rFonts w:eastAsia="宋体"/>
                <w:sz w:val="20"/>
                <w:szCs w:val="20"/>
                <w:lang w:bidi="ar"/>
              </w:rPr>
              <w:t>1/4</w:t>
            </w:r>
            <w:r>
              <w:rPr>
                <w:rFonts w:eastAsia="仿宋"/>
                <w:sz w:val="20"/>
                <w:szCs w:val="20"/>
                <w:lang w:bidi="ar"/>
              </w:rPr>
              <w:t>及以上；涉及环境敏感区的（不含涉及饮用水水源保护区的水库配套引水工程）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127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防洪除涝工程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新建大中型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其他（小型沟渠的护坡除外；</w:t>
            </w:r>
            <w:r>
              <w:rPr>
                <w:rFonts w:eastAsia="宋体"/>
                <w:sz w:val="20"/>
                <w:szCs w:val="20"/>
                <w:lang w:bidi="ar"/>
              </w:rPr>
              <w:t xml:space="preserve"> </w:t>
            </w:r>
            <w:r>
              <w:rPr>
                <w:rFonts w:eastAsia="仿宋"/>
                <w:sz w:val="20"/>
                <w:szCs w:val="20"/>
                <w:lang w:bidi="ar"/>
              </w:rPr>
              <w:t>城镇排涝河流水闸、排涝泵站除外）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128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河湖整治（不含农村塘堰、水渠）</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129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地下水开采（农村分散式家庭生活自用水井除外）</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日取水量</w:t>
            </w:r>
            <w:r>
              <w:rPr>
                <w:rFonts w:eastAsia="宋体"/>
                <w:sz w:val="20"/>
                <w:szCs w:val="20"/>
                <w:lang w:bidi="ar"/>
              </w:rPr>
              <w:t>1</w:t>
            </w:r>
            <w:r>
              <w:rPr>
                <w:rFonts w:eastAsia="仿宋"/>
                <w:sz w:val="20"/>
                <w:szCs w:val="20"/>
                <w:lang w:bidi="ar"/>
              </w:rPr>
              <w:t>万立方米及以上的；涉及环境敏感区的（不新增供水规模、不改变供水对象的改建工程除外）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五十二、交通运输业、管道运输业</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130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等级公路（不含维护；不含生命救援、应急保通工程以及国防交通保障项目；不含改扩建四级公路）</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w:t>
            </w:r>
            <w:r>
              <w:rPr>
                <w:rFonts w:eastAsia="宋体"/>
                <w:sz w:val="20"/>
                <w:szCs w:val="20"/>
                <w:lang w:bidi="ar"/>
              </w:rPr>
              <w:t>30</w:t>
            </w:r>
            <w:r>
              <w:rPr>
                <w:rFonts w:eastAsia="仿宋"/>
                <w:sz w:val="20"/>
                <w:szCs w:val="20"/>
                <w:lang w:bidi="ar"/>
              </w:rPr>
              <w:t>公里（不含）以上的二级及以上等级公路；新建涉及环境敏感区的二级及以上等级公路</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类【新建</w:t>
            </w:r>
            <w:r>
              <w:rPr>
                <w:rFonts w:eastAsia="宋体"/>
                <w:sz w:val="20"/>
                <w:szCs w:val="20"/>
                <w:lang w:bidi="ar"/>
              </w:rPr>
              <w:t>30</w:t>
            </w:r>
            <w:r>
              <w:rPr>
                <w:rFonts w:eastAsia="仿宋"/>
                <w:sz w:val="20"/>
                <w:szCs w:val="20"/>
                <w:lang w:bidi="ar"/>
              </w:rPr>
              <w:t>千米（不含）以上的国家级高速公路除外】</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其他（配套设施除外；不涉及环境敏感区的三级、四级公路除外）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131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城市道路（不含维护；不含支路、人行天桥、人行地道）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新建快速路、主干路；城市桥梁、隧道</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132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新建、增建铁路</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新建、增建铁路（</w:t>
            </w:r>
            <w:r>
              <w:rPr>
                <w:rFonts w:eastAsia="宋体"/>
                <w:sz w:val="20"/>
                <w:szCs w:val="20"/>
                <w:lang w:bidi="ar"/>
              </w:rPr>
              <w:t>30</w:t>
            </w:r>
            <w:r>
              <w:rPr>
                <w:rFonts w:eastAsia="仿宋"/>
                <w:sz w:val="20"/>
                <w:szCs w:val="20"/>
                <w:lang w:bidi="ar"/>
              </w:rPr>
              <w:t>公里及以下铁路联络线和</w:t>
            </w:r>
            <w:r>
              <w:rPr>
                <w:rFonts w:eastAsia="宋体"/>
                <w:sz w:val="20"/>
                <w:szCs w:val="20"/>
                <w:lang w:bidi="ar"/>
              </w:rPr>
              <w:t>30</w:t>
            </w:r>
            <w:r>
              <w:rPr>
                <w:rFonts w:eastAsia="仿宋"/>
                <w:sz w:val="20"/>
                <w:szCs w:val="20"/>
                <w:lang w:bidi="ar"/>
              </w:rPr>
              <w:t>公里及以下铁路专用线除外）；涉及环境敏感区的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30</w:t>
            </w:r>
            <w:r>
              <w:rPr>
                <w:rFonts w:eastAsia="仿宋"/>
                <w:sz w:val="20"/>
                <w:szCs w:val="20"/>
                <w:lang w:bidi="ar"/>
              </w:rPr>
              <w:t>公里及以下铁路联络线和</w:t>
            </w:r>
            <w:r>
              <w:rPr>
                <w:rFonts w:eastAsia="宋体"/>
                <w:sz w:val="20"/>
                <w:szCs w:val="20"/>
                <w:lang w:bidi="ar"/>
              </w:rPr>
              <w:t xml:space="preserve">30 </w:t>
            </w:r>
            <w:r>
              <w:rPr>
                <w:rFonts w:eastAsia="仿宋"/>
                <w:sz w:val="20"/>
                <w:szCs w:val="20"/>
                <w:lang w:bidi="ar"/>
              </w:rPr>
              <w:t>公里及以下铁路专用线</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133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改建铁路</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200</w:t>
            </w:r>
            <w:r>
              <w:rPr>
                <w:rFonts w:eastAsia="仿宋"/>
                <w:sz w:val="20"/>
                <w:szCs w:val="20"/>
                <w:lang w:bidi="ar"/>
              </w:rPr>
              <w:t>公里及以上的电气化改造（线路和站场不发生调整的除外）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134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铁路枢纽</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涉及环境敏感区的新建枢纽</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其他（不新增占地的既有枢纽中部分线路改建除外）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135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城市轨道交通（不新增占地的停车场改建除外）</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136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机场</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新建；迁建；增加航空业务量的飞行区扩建</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137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导航台站、供油工程、维修保障等配套工程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供油工程；涉及环境敏感区的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138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油气、液体化工码头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新建；岸线、水工构筑物、吞吐量、储运量增加的扩建；装卸货种变化的扩建</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139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干散货（含煤炭、矿石）、件杂、多用途、通用码头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单个泊位</w:t>
            </w:r>
            <w:r>
              <w:rPr>
                <w:rFonts w:eastAsia="宋体"/>
                <w:sz w:val="20"/>
                <w:szCs w:val="20"/>
                <w:lang w:bidi="ar"/>
              </w:rPr>
              <w:t>1000</w:t>
            </w:r>
            <w:r>
              <w:rPr>
                <w:rFonts w:eastAsia="仿宋"/>
                <w:sz w:val="20"/>
                <w:szCs w:val="20"/>
                <w:lang w:bidi="ar"/>
              </w:rPr>
              <w:t>吨级及以上的内河港口；单个泊位</w:t>
            </w:r>
            <w:r>
              <w:rPr>
                <w:rFonts w:eastAsia="宋体"/>
                <w:sz w:val="20"/>
                <w:szCs w:val="20"/>
                <w:lang w:bidi="ar"/>
              </w:rPr>
              <w:t>1</w:t>
            </w:r>
            <w:r>
              <w:rPr>
                <w:rFonts w:eastAsia="仿宋"/>
                <w:sz w:val="20"/>
                <w:szCs w:val="20"/>
                <w:lang w:bidi="ar"/>
              </w:rPr>
              <w:t>万吨级及以上的沿海港口；涉及环境敏感区的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140</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集装箱专用码头</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单个泊位</w:t>
            </w:r>
            <w:r>
              <w:rPr>
                <w:rFonts w:eastAsia="宋体"/>
                <w:sz w:val="20"/>
                <w:szCs w:val="20"/>
                <w:lang w:bidi="ar"/>
              </w:rPr>
              <w:t>3000</w:t>
            </w:r>
            <w:r>
              <w:rPr>
                <w:rFonts w:eastAsia="仿宋"/>
                <w:sz w:val="20"/>
                <w:szCs w:val="20"/>
                <w:lang w:bidi="ar"/>
              </w:rPr>
              <w:t>吨级及以上的内河港口；单个泊位</w:t>
            </w:r>
            <w:r>
              <w:rPr>
                <w:rFonts w:eastAsia="宋体"/>
                <w:sz w:val="20"/>
                <w:szCs w:val="20"/>
                <w:lang w:bidi="ar"/>
              </w:rPr>
              <w:t>3</w:t>
            </w:r>
            <w:r>
              <w:rPr>
                <w:rFonts w:eastAsia="仿宋"/>
                <w:sz w:val="20"/>
                <w:szCs w:val="20"/>
                <w:lang w:bidi="ar"/>
              </w:rPr>
              <w:t>万吨级及以上的沿海港口；涉及危险品、化学品的；涉及环境敏感区的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141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滚装、客运、工作船、游艇码头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142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铁路轮渡码头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143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航道工程、水运辅助工程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新建、扩建航道工程；涉及环境敏感区的防波堤、船闸、通航建筑物</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144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航电枢纽工程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145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中心渔港码头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146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城市（镇）管网及管廊建设（不含给水管道；不含光纤；不含</w:t>
            </w:r>
            <w:r>
              <w:rPr>
                <w:rFonts w:eastAsia="宋体"/>
                <w:sz w:val="20"/>
                <w:szCs w:val="20"/>
                <w:lang w:bidi="ar"/>
              </w:rPr>
              <w:t xml:space="preserve">1.6 </w:t>
            </w:r>
            <w:r>
              <w:rPr>
                <w:rFonts w:eastAsia="仿宋"/>
                <w:sz w:val="20"/>
                <w:szCs w:val="20"/>
                <w:lang w:bidi="ar"/>
              </w:rPr>
              <w:t>兆帕及以下的天然气管道）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147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原油、成品油、天然气管线（不含城市天然气管线；不含城镇燃气管线；不含企业厂区内管道）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148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危险化学品输送管线（不含企业厂区内管线）</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五十三、装卸搬运和仓储业</w:t>
            </w:r>
            <w:r>
              <w:rPr>
                <w:rFonts w:eastAsia="宋体"/>
                <w:sz w:val="20"/>
                <w:szCs w:val="20"/>
                <w:lang w:bidi="ar"/>
              </w:rPr>
              <w:t xml:space="preserve"> 59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113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149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危险品仓储</w:t>
            </w:r>
            <w:r>
              <w:rPr>
                <w:rFonts w:eastAsia="宋体"/>
                <w:sz w:val="20"/>
                <w:szCs w:val="20"/>
                <w:lang w:bidi="ar"/>
              </w:rPr>
              <w:t xml:space="preserve"> 594</w:t>
            </w:r>
            <w:r>
              <w:rPr>
                <w:rFonts w:eastAsia="仿宋"/>
                <w:sz w:val="20"/>
                <w:szCs w:val="20"/>
                <w:lang w:bidi="ar"/>
              </w:rPr>
              <w:t>（不含加油站的油库；不含加气站的气库）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总容量</w:t>
            </w:r>
            <w:r>
              <w:rPr>
                <w:rFonts w:eastAsia="宋体"/>
                <w:sz w:val="20"/>
                <w:szCs w:val="20"/>
                <w:lang w:bidi="ar"/>
              </w:rPr>
              <w:t>20</w:t>
            </w:r>
            <w:r>
              <w:rPr>
                <w:rFonts w:eastAsia="仿宋"/>
                <w:sz w:val="20"/>
                <w:szCs w:val="20"/>
                <w:lang w:bidi="ar"/>
              </w:rPr>
              <w:t>万立方米及以上的油库（含油品码头后方配套油库）；地下油库；地下气库</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其他（含有毒、有害、危险品的仓储；含液化天然气库）</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Ⅱ</w:t>
            </w:r>
            <w:r>
              <w:rPr>
                <w:rFonts w:eastAsia="仿宋"/>
                <w:sz w:val="20"/>
                <w:szCs w:val="20"/>
                <w:lang w:bidi="ar"/>
              </w:rPr>
              <w:t>类</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五十四、海洋工程</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116"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150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海洋矿产资源勘探开发及其附属工程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新区块油气开发及其附属工程；污水日排放量</w:t>
            </w:r>
            <w:r>
              <w:rPr>
                <w:rFonts w:eastAsia="宋体"/>
                <w:sz w:val="20"/>
                <w:szCs w:val="20"/>
                <w:lang w:bidi="ar"/>
              </w:rPr>
              <w:t>1000</w:t>
            </w:r>
            <w:r>
              <w:rPr>
                <w:rFonts w:eastAsia="仿宋"/>
                <w:sz w:val="20"/>
                <w:szCs w:val="20"/>
                <w:lang w:bidi="ar"/>
              </w:rPr>
              <w:t>立方米及以上或年产油量</w:t>
            </w:r>
            <w:r>
              <w:rPr>
                <w:rFonts w:eastAsia="宋体"/>
                <w:sz w:val="20"/>
                <w:szCs w:val="20"/>
                <w:lang w:bidi="ar"/>
              </w:rPr>
              <w:t>20</w:t>
            </w:r>
            <w:r>
              <w:rPr>
                <w:rFonts w:eastAsia="仿宋"/>
                <w:sz w:val="20"/>
                <w:szCs w:val="20"/>
                <w:lang w:bidi="ar"/>
              </w:rPr>
              <w:t>万吨及以上的海洋油气开发及其附属工程；挖沟埋设单条管道长度</w:t>
            </w:r>
            <w:r>
              <w:rPr>
                <w:rFonts w:eastAsia="宋体"/>
                <w:sz w:val="20"/>
                <w:szCs w:val="20"/>
                <w:lang w:bidi="ar"/>
              </w:rPr>
              <w:t>20</w:t>
            </w:r>
            <w:r>
              <w:rPr>
                <w:rFonts w:eastAsia="仿宋"/>
                <w:sz w:val="20"/>
                <w:szCs w:val="20"/>
                <w:lang w:bidi="ar"/>
              </w:rPr>
              <w:t>公里及以上或涉及环境敏感区的油气集输管道、电（光）缆工程；海洋（海底）矿产资源开发（包括天然气水合物开发；海砂开采；矿盐卤水开发；海床底温泉开发；海底地下水开发等工程）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其他（不含海洋油气勘探工程；不含不在环境敏感区内且排污量未超出原环评批复排放总量的海洋油气调整井工程；不含为油气开采工程配套的海底输水及输送无毒无害物质的管道、电（光）缆原地弃置工程）</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rPr>
          <w:trHeight w:val="2415"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151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海洋能源开发利用类工程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装机容量在</w:t>
            </w:r>
            <w:r>
              <w:rPr>
                <w:rFonts w:eastAsia="宋体"/>
                <w:sz w:val="20"/>
                <w:szCs w:val="20"/>
                <w:lang w:bidi="ar"/>
              </w:rPr>
              <w:t>20</w:t>
            </w:r>
            <w:r>
              <w:rPr>
                <w:rFonts w:eastAsia="仿宋"/>
                <w:sz w:val="20"/>
                <w:szCs w:val="20"/>
                <w:lang w:bidi="ar"/>
              </w:rPr>
              <w:t>兆瓦及以上的潮汐发电、波浪发电、温差发电、海洋生物质能等海洋能源开发利用、输送设施及网络工程；总装机容量</w:t>
            </w:r>
            <w:r>
              <w:rPr>
                <w:rFonts w:eastAsia="宋体"/>
                <w:sz w:val="20"/>
                <w:szCs w:val="20"/>
                <w:lang w:bidi="ar"/>
              </w:rPr>
              <w:t>5</w:t>
            </w:r>
            <w:r>
              <w:rPr>
                <w:rFonts w:eastAsia="仿宋"/>
                <w:sz w:val="20"/>
                <w:szCs w:val="20"/>
                <w:lang w:bidi="ar"/>
              </w:rPr>
              <w:t>万千瓦及以上的海上风电工程及其输送设施及网络工程；涉及环境敏感区的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其他潮汐发电、波浪发电、温差发电、海洋生物质能等海洋能源开发利用、输送设施及网络工程；地热发电；太阳能发电工程及其输送设施及网络工程；其他海上风电工程及其输送设施及网络工程</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152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海底隧道、管道、电（光）缆工程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海底隧道工程；挖沟埋设单条管道长度</w:t>
            </w:r>
            <w:r>
              <w:rPr>
                <w:rFonts w:eastAsia="宋体"/>
                <w:sz w:val="20"/>
                <w:szCs w:val="20"/>
                <w:lang w:bidi="ar"/>
              </w:rPr>
              <w:t>20</w:t>
            </w:r>
            <w:r>
              <w:rPr>
                <w:rFonts w:eastAsia="仿宋"/>
                <w:sz w:val="20"/>
                <w:szCs w:val="20"/>
                <w:lang w:bidi="ar"/>
              </w:rPr>
              <w:t>公里及以上的海上和海底电（光）缆工程、海上和海底输水管道工程、天然气及无毒无害物质输送管道工程；长度</w:t>
            </w:r>
            <w:r>
              <w:rPr>
                <w:rFonts w:eastAsia="宋体"/>
                <w:sz w:val="20"/>
                <w:szCs w:val="20"/>
                <w:lang w:bidi="ar"/>
              </w:rPr>
              <w:t>1</w:t>
            </w:r>
            <w:r>
              <w:rPr>
                <w:rFonts w:eastAsia="仿宋"/>
                <w:sz w:val="20"/>
                <w:szCs w:val="20"/>
                <w:lang w:bidi="ar"/>
              </w:rPr>
              <w:t>公里及以上的海上和海底有毒有害及危险品物质输送管道等工程；涉及环境敏感区的海底管道、电（光）缆工程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其他（海底输送无毒无害物质的管道及电（光）缆原地弃置工程除外）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153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跨海桥梁工程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非单跨、长度</w:t>
            </w:r>
            <w:r>
              <w:rPr>
                <w:rFonts w:eastAsia="宋体"/>
                <w:sz w:val="20"/>
                <w:szCs w:val="20"/>
                <w:lang w:bidi="ar"/>
              </w:rPr>
              <w:t>0.1</w:t>
            </w:r>
            <w:r>
              <w:rPr>
                <w:rFonts w:eastAsia="仿宋"/>
                <w:sz w:val="20"/>
                <w:szCs w:val="20"/>
                <w:lang w:bidi="ar"/>
              </w:rPr>
              <w:t>公里及以上的公铁桥梁工程；涉及环境敏感区的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154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围填海工程及海上堤坝工程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围填海工程；长度</w:t>
            </w:r>
            <w:r>
              <w:rPr>
                <w:rFonts w:eastAsia="宋体"/>
                <w:sz w:val="20"/>
                <w:szCs w:val="20"/>
                <w:lang w:bidi="ar"/>
              </w:rPr>
              <w:t>0.5</w:t>
            </w:r>
            <w:r>
              <w:rPr>
                <w:rFonts w:eastAsia="仿宋"/>
                <w:sz w:val="20"/>
                <w:szCs w:val="20"/>
                <w:lang w:bidi="ar"/>
              </w:rPr>
              <w:t>公里及以上的海上堤坝工程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155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海上娱乐及运动、海上景观开发</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污水日排放量</w:t>
            </w:r>
            <w:r>
              <w:rPr>
                <w:rFonts w:eastAsia="宋体"/>
                <w:sz w:val="20"/>
                <w:szCs w:val="20"/>
                <w:lang w:bidi="ar"/>
              </w:rPr>
              <w:t>200</w:t>
            </w:r>
            <w:r>
              <w:rPr>
                <w:rFonts w:eastAsia="仿宋"/>
                <w:sz w:val="20"/>
                <w:szCs w:val="20"/>
                <w:lang w:bidi="ar"/>
              </w:rPr>
              <w:t>立方米及以上的海上娱乐及运动、海上景观开发</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污水日排放量</w:t>
            </w:r>
            <w:r>
              <w:rPr>
                <w:rFonts w:eastAsia="宋体"/>
                <w:sz w:val="20"/>
                <w:szCs w:val="20"/>
                <w:lang w:bidi="ar"/>
              </w:rPr>
              <w:t>200</w:t>
            </w:r>
            <w:r>
              <w:rPr>
                <w:rFonts w:eastAsia="仿宋"/>
                <w:sz w:val="20"/>
                <w:szCs w:val="20"/>
                <w:lang w:bidi="ar"/>
              </w:rPr>
              <w:t>立方米以下的海上娱乐及运动、海上景观开发</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156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海洋人工鱼礁工程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固体物质（虚方）投放量</w:t>
            </w:r>
            <w:r>
              <w:rPr>
                <w:rFonts w:eastAsia="宋体"/>
                <w:sz w:val="20"/>
                <w:szCs w:val="20"/>
                <w:lang w:bidi="ar"/>
              </w:rPr>
              <w:t>5</w:t>
            </w:r>
            <w:r>
              <w:rPr>
                <w:rFonts w:eastAsia="仿宋"/>
                <w:sz w:val="20"/>
                <w:szCs w:val="20"/>
                <w:lang w:bidi="ar"/>
              </w:rPr>
              <w:t>万立方米及以上的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固体物质（虚方）投放量</w:t>
            </w:r>
            <w:r>
              <w:rPr>
                <w:rFonts w:eastAsia="宋体"/>
                <w:sz w:val="20"/>
                <w:szCs w:val="20"/>
                <w:lang w:bidi="ar"/>
              </w:rPr>
              <w:t>5</w:t>
            </w:r>
            <w:r>
              <w:rPr>
                <w:rFonts w:eastAsia="仿宋"/>
                <w:sz w:val="20"/>
                <w:szCs w:val="20"/>
                <w:lang w:bidi="ar"/>
              </w:rPr>
              <w:t>万立方米以下</w:t>
            </w:r>
            <w:r>
              <w:rPr>
                <w:rFonts w:eastAsia="宋体"/>
                <w:sz w:val="20"/>
                <w:szCs w:val="20"/>
                <w:lang w:bidi="ar"/>
              </w:rPr>
              <w:t xml:space="preserve">5000 </w:t>
            </w:r>
            <w:r>
              <w:rPr>
                <w:rFonts w:eastAsia="仿宋"/>
                <w:sz w:val="20"/>
                <w:szCs w:val="20"/>
                <w:lang w:bidi="ar"/>
              </w:rPr>
              <w:t>立方米及以上的；涉及环境敏感区的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157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海上和海底物资储藏设施工程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海上和海底物资储藏设施等工程及其废弃和拆除等；原油、成品油、天然气（含</w:t>
            </w:r>
            <w:r>
              <w:rPr>
                <w:rFonts w:eastAsia="宋体"/>
                <w:sz w:val="20"/>
                <w:szCs w:val="20"/>
                <w:lang w:bidi="ar"/>
              </w:rPr>
              <w:t>LNG</w:t>
            </w:r>
            <w:r>
              <w:rPr>
                <w:rFonts w:eastAsia="仿宋"/>
                <w:sz w:val="20"/>
                <w:szCs w:val="20"/>
                <w:lang w:bidi="ar"/>
              </w:rPr>
              <w:t>、</w:t>
            </w:r>
            <w:r>
              <w:rPr>
                <w:rFonts w:eastAsia="宋体"/>
                <w:sz w:val="20"/>
                <w:szCs w:val="20"/>
                <w:lang w:bidi="ar"/>
              </w:rPr>
              <w:t>LPG</w:t>
            </w:r>
            <w:r>
              <w:rPr>
                <w:rFonts w:eastAsia="仿宋"/>
                <w:sz w:val="20"/>
                <w:szCs w:val="20"/>
                <w:lang w:bidi="ar"/>
              </w:rPr>
              <w:t>）、化学品及其他危险品、其他物质的仓储、储运等工程及其废弃和拆除等；吞吐（储）</w:t>
            </w:r>
            <w:r>
              <w:rPr>
                <w:rFonts w:eastAsia="宋体"/>
                <w:sz w:val="20"/>
                <w:szCs w:val="20"/>
                <w:lang w:bidi="ar"/>
              </w:rPr>
              <w:t xml:space="preserve">50 </w:t>
            </w:r>
            <w:r>
              <w:rPr>
                <w:rFonts w:eastAsia="仿宋"/>
                <w:sz w:val="20"/>
                <w:szCs w:val="20"/>
                <w:lang w:bidi="ar"/>
              </w:rPr>
              <w:t>万吨（万立方米）</w:t>
            </w:r>
            <w:r>
              <w:rPr>
                <w:rFonts w:eastAsia="宋体"/>
                <w:sz w:val="20"/>
                <w:szCs w:val="20"/>
                <w:lang w:bidi="ar"/>
              </w:rPr>
              <w:t xml:space="preserve"> </w:t>
            </w:r>
            <w:r>
              <w:rPr>
                <w:rFonts w:eastAsia="仿宋"/>
                <w:sz w:val="20"/>
                <w:szCs w:val="20"/>
                <w:lang w:bidi="ar"/>
              </w:rPr>
              <w:t>及以上的粉煤灰和废弃物储藏工程、海洋空间资源利用等工程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158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海洋生态修复工程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工程量在</w:t>
            </w:r>
            <w:r>
              <w:rPr>
                <w:rFonts w:eastAsia="宋体"/>
                <w:sz w:val="20"/>
                <w:szCs w:val="20"/>
                <w:lang w:bidi="ar"/>
              </w:rPr>
              <w:t>10</w:t>
            </w:r>
            <w:r>
              <w:rPr>
                <w:rFonts w:eastAsia="仿宋"/>
                <w:sz w:val="20"/>
                <w:szCs w:val="20"/>
                <w:lang w:bidi="ar"/>
              </w:rPr>
              <w:t>万立方米及以上的清淤、滩涂垫高等工程；涉及环境敏感区的堤坝拆除、临时围堰等改变水动力的工程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工程量在</w:t>
            </w:r>
            <w:r>
              <w:rPr>
                <w:rFonts w:eastAsia="宋体"/>
                <w:sz w:val="20"/>
                <w:szCs w:val="20"/>
                <w:lang w:bidi="ar"/>
              </w:rPr>
              <w:t>10</w:t>
            </w:r>
            <w:r>
              <w:rPr>
                <w:rFonts w:eastAsia="仿宋"/>
                <w:sz w:val="20"/>
                <w:szCs w:val="20"/>
                <w:lang w:bidi="ar"/>
              </w:rPr>
              <w:t>万立方米以下的清淤、滩涂垫高等工程；涉及环境敏感区的其他海洋生态修复工程</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159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排海工程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低放射性废液排海；污水日排放量</w:t>
            </w:r>
            <w:r>
              <w:rPr>
                <w:rFonts w:eastAsia="宋体"/>
                <w:sz w:val="20"/>
                <w:szCs w:val="20"/>
                <w:lang w:bidi="ar"/>
              </w:rPr>
              <w:t>10</w:t>
            </w:r>
            <w:r>
              <w:rPr>
                <w:rFonts w:eastAsia="仿宋"/>
                <w:sz w:val="20"/>
                <w:szCs w:val="20"/>
                <w:lang w:bidi="ar"/>
              </w:rPr>
              <w:t>万立方米及以上的城镇生活污水排污管道工程；日排放量</w:t>
            </w:r>
            <w:r>
              <w:rPr>
                <w:rFonts w:eastAsia="宋体"/>
                <w:sz w:val="20"/>
                <w:szCs w:val="20"/>
                <w:lang w:bidi="ar"/>
              </w:rPr>
              <w:t>0.5</w:t>
            </w:r>
            <w:r>
              <w:rPr>
                <w:rFonts w:eastAsia="仿宋"/>
                <w:sz w:val="20"/>
                <w:szCs w:val="20"/>
                <w:lang w:bidi="ar"/>
              </w:rPr>
              <w:t>万立方米及以上的工业废水排放工程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160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其他海洋工程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工程量在</w:t>
            </w:r>
            <w:r>
              <w:rPr>
                <w:rFonts w:eastAsia="宋体"/>
                <w:sz w:val="20"/>
                <w:szCs w:val="20"/>
                <w:lang w:bidi="ar"/>
              </w:rPr>
              <w:t>10</w:t>
            </w:r>
            <w:r>
              <w:rPr>
                <w:rFonts w:eastAsia="仿宋"/>
                <w:sz w:val="20"/>
                <w:szCs w:val="20"/>
                <w:lang w:bidi="ar"/>
              </w:rPr>
              <w:t>万立方米及以上的疏浚（不含航道工程）、取土（沙）等水下开挖工程；爆破挤淤、炸礁（岩）量在</w:t>
            </w:r>
            <w:r>
              <w:rPr>
                <w:rFonts w:eastAsia="宋体"/>
                <w:sz w:val="20"/>
                <w:szCs w:val="20"/>
                <w:lang w:bidi="ar"/>
              </w:rPr>
              <w:t>0.2</w:t>
            </w:r>
            <w:r>
              <w:rPr>
                <w:rFonts w:eastAsia="仿宋"/>
                <w:sz w:val="20"/>
                <w:szCs w:val="20"/>
                <w:lang w:bidi="ar"/>
              </w:rPr>
              <w:t>万立方米及以上的水下炸礁（岩）及爆破工程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23" w:hRule="atLeast"/>
          <w:jc w:val="center"/>
        </w:trPr>
        <w:tc>
          <w:tcPr>
            <w:tcW w:w="135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eastAsia="宋体"/>
                <w:sz w:val="20"/>
                <w:szCs w:val="20"/>
              </w:rPr>
            </w:pPr>
            <w:r>
              <w:rPr>
                <w:rFonts w:eastAsia="黑体"/>
                <w:sz w:val="20"/>
                <w:szCs w:val="20"/>
                <w:lang w:bidi="ar"/>
              </w:rPr>
              <w:t>五十五、核与辐射</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161</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输变电工程</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500</w:t>
            </w:r>
            <w:r>
              <w:rPr>
                <w:rFonts w:eastAsia="仿宋"/>
                <w:sz w:val="20"/>
                <w:szCs w:val="20"/>
                <w:lang w:bidi="ar"/>
              </w:rPr>
              <w:t>千伏及以上的；涉及环境敏感区的</w:t>
            </w:r>
            <w:r>
              <w:rPr>
                <w:rFonts w:eastAsia="宋体"/>
                <w:sz w:val="20"/>
                <w:szCs w:val="20"/>
                <w:lang w:bidi="ar"/>
              </w:rPr>
              <w:t>330</w:t>
            </w:r>
            <w:r>
              <w:rPr>
                <w:rFonts w:eastAsia="仿宋"/>
                <w:sz w:val="20"/>
                <w:szCs w:val="20"/>
                <w:lang w:bidi="ar"/>
              </w:rPr>
              <w:t>千伏及以上的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类（涉及环境敏感区的</w:t>
            </w:r>
            <w:r>
              <w:rPr>
                <w:rFonts w:eastAsia="宋体"/>
                <w:sz w:val="20"/>
                <w:szCs w:val="20"/>
                <w:lang w:bidi="ar"/>
              </w:rPr>
              <w:t>330</w:t>
            </w:r>
            <w:r>
              <w:rPr>
                <w:rFonts w:eastAsia="仿宋"/>
                <w:sz w:val="20"/>
                <w:szCs w:val="20"/>
                <w:lang w:bidi="ar"/>
              </w:rPr>
              <w:t>千伏（含）以上及</w:t>
            </w:r>
            <w:r>
              <w:rPr>
                <w:rFonts w:eastAsia="宋体"/>
                <w:sz w:val="20"/>
                <w:szCs w:val="20"/>
                <w:lang w:bidi="ar"/>
              </w:rPr>
              <w:t>500</w:t>
            </w:r>
            <w:r>
              <w:rPr>
                <w:rFonts w:eastAsia="仿宋"/>
                <w:sz w:val="20"/>
                <w:szCs w:val="20"/>
                <w:lang w:bidi="ar"/>
              </w:rPr>
              <w:t>千伏（不含）以下的）</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r>
              <w:rPr>
                <w:rFonts w:eastAsia="宋体"/>
                <w:sz w:val="20"/>
                <w:szCs w:val="20"/>
                <w:lang w:bidi="ar"/>
              </w:rPr>
              <w:t>100</w:t>
            </w:r>
            <w:r>
              <w:rPr>
                <w:rFonts w:eastAsia="仿宋"/>
                <w:sz w:val="20"/>
                <w:szCs w:val="20"/>
                <w:lang w:bidi="ar"/>
              </w:rPr>
              <w:t>千伏以下除外）</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96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162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广播电台、差转台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中波</w:t>
            </w:r>
            <w:r>
              <w:rPr>
                <w:rFonts w:eastAsia="宋体"/>
                <w:sz w:val="20"/>
                <w:szCs w:val="20"/>
                <w:lang w:bidi="ar"/>
              </w:rPr>
              <w:t>50</w:t>
            </w:r>
            <w:r>
              <w:rPr>
                <w:rFonts w:eastAsia="仿宋"/>
                <w:sz w:val="20"/>
                <w:szCs w:val="20"/>
                <w:lang w:bidi="ar"/>
              </w:rPr>
              <w:t>千瓦及以上的；短波</w:t>
            </w:r>
            <w:r>
              <w:rPr>
                <w:rFonts w:eastAsia="宋体"/>
                <w:sz w:val="20"/>
                <w:szCs w:val="20"/>
                <w:lang w:bidi="ar"/>
              </w:rPr>
              <w:t>100</w:t>
            </w:r>
            <w:r>
              <w:rPr>
                <w:rFonts w:eastAsia="仿宋"/>
                <w:sz w:val="20"/>
                <w:szCs w:val="20"/>
                <w:lang w:bidi="ar"/>
              </w:rPr>
              <w:t>千瓦及以上的；涉及环境敏感区的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16"/>
                <w:szCs w:val="16"/>
              </w:rPr>
            </w:pPr>
          </w:p>
        </w:tc>
      </w:tr>
      <w:tr>
        <w:tblPrEx>
          <w:tblCellMar>
            <w:top w:w="57" w:type="dxa"/>
            <w:left w:w="57" w:type="dxa"/>
            <w:bottom w:w="57" w:type="dxa"/>
            <w:right w:w="57" w:type="dxa"/>
          </w:tblCellMar>
        </w:tblPrEx>
        <w:trPr>
          <w:trHeight w:val="96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163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电视塔台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r>
              <w:rPr>
                <w:rFonts w:eastAsia="宋体"/>
                <w:sz w:val="20"/>
                <w:szCs w:val="20"/>
                <w:lang w:bidi="ar"/>
              </w:rPr>
              <w:t>100</w:t>
            </w:r>
            <w:r>
              <w:rPr>
                <w:rFonts w:eastAsia="仿宋"/>
                <w:sz w:val="20"/>
                <w:szCs w:val="20"/>
                <w:lang w:bidi="ar"/>
              </w:rPr>
              <w:t>千瓦及以上的涉及环境敏感区的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164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卫星地球上行站</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165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雷达</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16"/>
                <w:szCs w:val="16"/>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166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无线通讯</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167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textAlignment w:val="center"/>
              <w:rPr>
                <w:rFonts w:eastAsia="宋体"/>
                <w:sz w:val="20"/>
                <w:szCs w:val="20"/>
              </w:rPr>
            </w:pPr>
            <w:r>
              <w:rPr>
                <w:rFonts w:eastAsia="仿宋"/>
                <w:spacing w:val="-6"/>
                <w:sz w:val="20"/>
                <w:szCs w:val="20"/>
                <w:lang w:bidi="ar"/>
              </w:rPr>
              <w:t>核动力厂（核电厂、核热电厂、核供汽供热厂等）；反应堆（研究堆、实验堆、临界装置等）；核燃料生产、加工、贮存、后处理设施；放射性污染治理项目</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新建、扩建、退役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主生产工艺或安全重要构筑物的重大变更，但源项不显著增加；次临界装置的新建、扩建、退役</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168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放射性废物贮存、处理、处置设施</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新建、扩建、退役；放射性废物处置设施的关闭</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独立的放射性废物贮存设施</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169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铀矿开采、冶炼；其他方式提铀</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新建、扩建、退役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其他（含工业试验）</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170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铀矿地质勘查、退役治理</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全部</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171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伴生放射性矿</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采选、冶炼</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其他（含放射性污染治理）</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20"/>
                <w:szCs w:val="20"/>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172</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核技术利用建设项目</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生产放射性同位素的（制备</w:t>
            </w:r>
            <w:r>
              <w:rPr>
                <w:rFonts w:eastAsia="宋体"/>
                <w:sz w:val="20"/>
                <w:szCs w:val="20"/>
                <w:lang w:bidi="ar"/>
              </w:rPr>
              <w:t>PET</w:t>
            </w:r>
            <w:r>
              <w:rPr>
                <w:rFonts w:eastAsia="仿宋"/>
                <w:sz w:val="20"/>
                <w:szCs w:val="20"/>
                <w:lang w:bidi="ar"/>
              </w:rPr>
              <w:t>用放射性药物的除外）；使用</w:t>
            </w:r>
            <w:r>
              <w:rPr>
                <w:rFonts w:eastAsia="宋体"/>
                <w:sz w:val="20"/>
                <w:szCs w:val="20"/>
                <w:lang w:bidi="ar"/>
              </w:rPr>
              <w:t>I</w:t>
            </w:r>
            <w:r>
              <w:rPr>
                <w:rFonts w:eastAsia="仿宋"/>
                <w:sz w:val="20"/>
                <w:szCs w:val="20"/>
                <w:lang w:bidi="ar"/>
              </w:rPr>
              <w:t>类放射源的（医疗使用的除外）；销售（含建造）、使用</w:t>
            </w:r>
            <w:r>
              <w:rPr>
                <w:rFonts w:eastAsia="宋体"/>
                <w:sz w:val="20"/>
                <w:szCs w:val="20"/>
                <w:lang w:bidi="ar"/>
              </w:rPr>
              <w:t>I</w:t>
            </w:r>
            <w:r>
              <w:rPr>
                <w:rFonts w:eastAsia="仿宋"/>
                <w:sz w:val="20"/>
                <w:szCs w:val="20"/>
                <w:lang w:bidi="ar"/>
              </w:rPr>
              <w:t>类射线装置的；甲级非密封放射性物质工作场所；以上项目的改、扩建（不含在已许可场所增加不超出已许可活动种类和不高于已许可范围等级的核素或射线装置，且新增规模不超过原环评规模的</w:t>
            </w:r>
            <w:r>
              <w:rPr>
                <w:rFonts w:eastAsia="宋体"/>
                <w:sz w:val="20"/>
                <w:szCs w:val="20"/>
                <w:lang w:bidi="ar"/>
              </w:rPr>
              <w:t>50%</w:t>
            </w:r>
            <w:r>
              <w:rPr>
                <w:rFonts w:eastAsia="仿宋"/>
                <w:sz w:val="20"/>
                <w:szCs w:val="20"/>
                <w:lang w:bidi="ar"/>
              </w:rPr>
              <w:t>）</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制备</w:t>
            </w:r>
            <w:r>
              <w:rPr>
                <w:rFonts w:eastAsia="宋体"/>
                <w:sz w:val="20"/>
                <w:szCs w:val="20"/>
                <w:lang w:bidi="ar"/>
              </w:rPr>
              <w:t>PET</w:t>
            </w:r>
            <w:r>
              <w:rPr>
                <w:rFonts w:eastAsia="仿宋"/>
                <w:sz w:val="20"/>
                <w:szCs w:val="20"/>
                <w:lang w:bidi="ar"/>
              </w:rPr>
              <w:t>用放射性药物的；医疗使用</w:t>
            </w:r>
            <w:r>
              <w:rPr>
                <w:rFonts w:eastAsia="宋体"/>
                <w:sz w:val="20"/>
                <w:szCs w:val="20"/>
                <w:lang w:bidi="ar"/>
              </w:rPr>
              <w:t>Ⅰ</w:t>
            </w:r>
            <w:r>
              <w:rPr>
                <w:rFonts w:eastAsia="仿宋"/>
                <w:sz w:val="20"/>
                <w:szCs w:val="20"/>
                <w:lang w:bidi="ar"/>
              </w:rPr>
              <w:t>类放射源的；使用</w:t>
            </w:r>
            <w:r>
              <w:rPr>
                <w:rFonts w:eastAsia="宋体"/>
                <w:sz w:val="20"/>
                <w:szCs w:val="20"/>
                <w:lang w:bidi="ar"/>
              </w:rPr>
              <w:t>Ⅱ</w:t>
            </w:r>
            <w:r>
              <w:rPr>
                <w:rFonts w:eastAsia="仿宋"/>
                <w:sz w:val="20"/>
                <w:szCs w:val="20"/>
                <w:lang w:bidi="ar"/>
              </w:rPr>
              <w:t>类、</w:t>
            </w:r>
            <w:r>
              <w:rPr>
                <w:rFonts w:eastAsia="宋体"/>
                <w:sz w:val="20"/>
                <w:szCs w:val="20"/>
                <w:lang w:bidi="ar"/>
              </w:rPr>
              <w:t>Ⅲ</w:t>
            </w:r>
            <w:r>
              <w:rPr>
                <w:rFonts w:eastAsia="仿宋"/>
                <w:sz w:val="20"/>
                <w:szCs w:val="20"/>
                <w:lang w:bidi="ar"/>
              </w:rPr>
              <w:t>类放射源的；乙、丙级非密封放射性物质工作场所（医疗机构使用植入治疗用放射性粒子源的除外）；在野外进行放射性同位素示踪试验的；以上项目的改、扩建（不含在已许可场所增加不超出已许可活动种类和不高于已许可范围等级的核素或射线装置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r>
              <w:rPr>
                <w:rFonts w:eastAsia="宋体"/>
                <w:sz w:val="20"/>
                <w:szCs w:val="20"/>
                <w:lang w:bidi="ar"/>
              </w:rPr>
              <w:t>(</w:t>
            </w:r>
            <w:r>
              <w:rPr>
                <w:rFonts w:eastAsia="仿宋"/>
                <w:sz w:val="20"/>
                <w:szCs w:val="20"/>
                <w:lang w:bidi="ar"/>
              </w:rPr>
              <w:t>丙级非密封放射性物质工作场所）</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20"/>
                <w:szCs w:val="20"/>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生产、使用</w:t>
            </w:r>
            <w:r>
              <w:rPr>
                <w:rFonts w:eastAsia="宋体"/>
                <w:sz w:val="20"/>
                <w:szCs w:val="20"/>
                <w:lang w:bidi="ar"/>
              </w:rPr>
              <w:t>Ⅱ</w:t>
            </w:r>
            <w:r>
              <w:rPr>
                <w:rFonts w:eastAsia="仿宋"/>
                <w:sz w:val="20"/>
                <w:szCs w:val="20"/>
                <w:lang w:bidi="ar"/>
              </w:rPr>
              <w:t>类射线装置的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w:t>
            </w:r>
            <w:r>
              <w:rPr>
                <w:rFonts w:eastAsia="宋体"/>
                <w:sz w:val="20"/>
                <w:szCs w:val="20"/>
                <w:lang w:bidi="ar"/>
              </w:rPr>
              <w:t>(</w:t>
            </w:r>
            <w:r>
              <w:rPr>
                <w:rFonts w:eastAsia="仿宋"/>
                <w:sz w:val="20"/>
                <w:szCs w:val="20"/>
                <w:lang w:bidi="ar"/>
              </w:rPr>
              <w:t>除加速器以及中子发生器之外）</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eastAsia="宋体"/>
                <w:sz w:val="20"/>
                <w:szCs w:val="20"/>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173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核技术利用项目退役</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生产放射性同位素的（制备</w:t>
            </w:r>
            <w:r>
              <w:rPr>
                <w:rFonts w:eastAsia="宋体"/>
                <w:sz w:val="20"/>
                <w:szCs w:val="20"/>
                <w:lang w:bidi="ar"/>
              </w:rPr>
              <w:t>PET</w:t>
            </w:r>
            <w:r>
              <w:rPr>
                <w:rFonts w:eastAsia="仿宋"/>
                <w:sz w:val="20"/>
                <w:szCs w:val="20"/>
                <w:lang w:bidi="ar"/>
              </w:rPr>
              <w:t>用放射性药物的除外）；甲级非密封放射性物质工作场所</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制备</w:t>
            </w:r>
            <w:r>
              <w:rPr>
                <w:rFonts w:eastAsia="宋体"/>
                <w:sz w:val="20"/>
                <w:szCs w:val="20"/>
                <w:lang w:bidi="ar"/>
              </w:rPr>
              <w:t>PET</w:t>
            </w:r>
            <w:r>
              <w:rPr>
                <w:rFonts w:eastAsia="仿宋"/>
                <w:sz w:val="20"/>
                <w:szCs w:val="20"/>
                <w:lang w:bidi="ar"/>
              </w:rPr>
              <w:t>用放射性药物的；乙级非密封放射性物质工作场所使用</w:t>
            </w:r>
            <w:r>
              <w:rPr>
                <w:rFonts w:eastAsia="宋体"/>
                <w:sz w:val="20"/>
                <w:szCs w:val="20"/>
                <w:lang w:bidi="ar"/>
              </w:rPr>
              <w:t>Ⅰ</w:t>
            </w:r>
            <w:r>
              <w:rPr>
                <w:rFonts w:eastAsia="仿宋"/>
                <w:sz w:val="20"/>
                <w:szCs w:val="20"/>
                <w:lang w:bidi="ar"/>
              </w:rPr>
              <w:t>类、</w:t>
            </w:r>
            <w:r>
              <w:rPr>
                <w:rFonts w:eastAsia="宋体"/>
                <w:sz w:val="20"/>
                <w:szCs w:val="20"/>
                <w:lang w:bidi="ar"/>
              </w:rPr>
              <w:t>Ⅱ</w:t>
            </w:r>
            <w:r>
              <w:rPr>
                <w:rFonts w:eastAsia="仿宋"/>
                <w:sz w:val="20"/>
                <w:szCs w:val="20"/>
                <w:lang w:bidi="ar"/>
              </w:rPr>
              <w:t>类、</w:t>
            </w:r>
            <w:r>
              <w:rPr>
                <w:rFonts w:eastAsia="宋体"/>
                <w:sz w:val="20"/>
                <w:szCs w:val="20"/>
                <w:lang w:bidi="ar"/>
              </w:rPr>
              <w:t>Ⅲ</w:t>
            </w:r>
            <w:r>
              <w:rPr>
                <w:rFonts w:eastAsia="仿宋"/>
                <w:sz w:val="20"/>
                <w:szCs w:val="20"/>
                <w:lang w:bidi="ar"/>
              </w:rPr>
              <w:t>类放射源场所存在污染的；使用</w:t>
            </w:r>
            <w:r>
              <w:rPr>
                <w:rFonts w:eastAsia="宋体"/>
                <w:sz w:val="20"/>
                <w:szCs w:val="20"/>
                <w:lang w:bidi="ar"/>
              </w:rPr>
              <w:t>Ⅰ</w:t>
            </w:r>
            <w:r>
              <w:rPr>
                <w:rFonts w:eastAsia="仿宋"/>
                <w:sz w:val="20"/>
                <w:szCs w:val="20"/>
                <w:lang w:bidi="ar"/>
              </w:rPr>
              <w:t>类存在污染的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仿宋"/>
                <w:sz w:val="20"/>
                <w:szCs w:val="20"/>
                <w:lang w:bidi="ar"/>
              </w:rPr>
              <w:t>使用</w:t>
            </w:r>
            <w:r>
              <w:rPr>
                <w:rFonts w:eastAsia="宋体"/>
                <w:sz w:val="20"/>
                <w:szCs w:val="20"/>
                <w:lang w:bidi="ar"/>
              </w:rPr>
              <w:t>Ⅱ</w:t>
            </w:r>
            <w:r>
              <w:rPr>
                <w:rFonts w:eastAsia="仿宋"/>
                <w:sz w:val="20"/>
                <w:szCs w:val="20"/>
                <w:lang w:bidi="ar"/>
              </w:rPr>
              <w:t>类射线装置（</w:t>
            </w:r>
            <w:r>
              <w:rPr>
                <w:rFonts w:eastAsia="宋体"/>
                <w:sz w:val="20"/>
                <w:szCs w:val="20"/>
                <w:lang w:bidi="ar"/>
              </w:rPr>
              <w:t>X</w:t>
            </w:r>
            <w:r>
              <w:rPr>
                <w:rFonts w:eastAsia="仿宋"/>
                <w:sz w:val="20"/>
                <w:szCs w:val="20"/>
                <w:lang w:bidi="ar"/>
              </w:rPr>
              <w:t>射线装置和粒子能量不高于</w:t>
            </w:r>
            <w:r>
              <w:rPr>
                <w:rFonts w:eastAsia="宋体"/>
                <w:sz w:val="20"/>
                <w:szCs w:val="20"/>
                <w:lang w:bidi="ar"/>
              </w:rPr>
              <w:t>10</w:t>
            </w:r>
            <w:r>
              <w:rPr>
                <w:rFonts w:eastAsia="仿宋"/>
                <w:sz w:val="20"/>
                <w:szCs w:val="20"/>
                <w:lang w:bidi="ar"/>
              </w:rPr>
              <w:t>兆电子伏的电子加速器除外）存在污染的</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sz w:val="20"/>
                <w:szCs w:val="20"/>
              </w:rPr>
            </w:pPr>
            <w:r>
              <w:rPr>
                <w:rFonts w:eastAsia="宋体"/>
                <w:kern w:val="0"/>
                <w:sz w:val="20"/>
                <w:szCs w:val="20"/>
                <w:lang w:bidi="ar"/>
              </w:rPr>
              <w:t>Ⅰ</w:t>
            </w:r>
            <w:r>
              <w:rPr>
                <w:rFonts w:eastAsia="仿宋"/>
                <w:sz w:val="20"/>
                <w:szCs w:val="20"/>
                <w:lang w:bidi="ar"/>
              </w:rPr>
              <w:t>类（除加速器以及中子发生器之外）</w:t>
            </w: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eastAsia="宋体"/>
                <w:sz w:val="20"/>
                <w:szCs w:val="20"/>
              </w:rPr>
            </w:pPr>
          </w:p>
        </w:tc>
      </w:tr>
    </w:tbl>
    <w:p>
      <w:pPr>
        <w:spacing w:line="240" w:lineRule="auto"/>
        <w:ind w:firstLine="0" w:firstLineChars="0"/>
        <w:rPr>
          <w:rFonts w:ascii="仿宋" w:hAnsi="仿宋" w:eastAsia="仿宋" w:cs="仿宋"/>
          <w:b/>
          <w:bCs/>
          <w:sz w:val="24"/>
          <w:szCs w:val="32"/>
        </w:rPr>
      </w:pPr>
    </w:p>
    <w:p>
      <w:pPr>
        <w:spacing w:line="240" w:lineRule="auto"/>
        <w:ind w:firstLine="0" w:firstLineChars="0"/>
        <w:rPr>
          <w:rFonts w:ascii="宋体" w:cs="宋体"/>
          <w:szCs w:val="24"/>
        </w:rPr>
      </w:pPr>
      <w:r>
        <w:rPr>
          <w:rFonts w:hint="eastAsia" w:ascii="仿宋" w:hAnsi="仿宋" w:eastAsia="仿宋" w:cs="仿宋"/>
          <w:b/>
          <w:bCs/>
          <w:sz w:val="24"/>
          <w:szCs w:val="32"/>
        </w:rPr>
        <w:t>说明：</w:t>
      </w:r>
      <w:r>
        <w:rPr>
          <w:rFonts w:hint="eastAsia" w:ascii="仿宋" w:hAnsi="仿宋" w:eastAsia="仿宋" w:cs="仿宋"/>
          <w:sz w:val="24"/>
          <w:szCs w:val="32"/>
        </w:rPr>
        <w:t>“/”表示生态环境部和省生态环境厅审批环境影响评价文件的建设项目或不纳入环评管理的建设项目。</w:t>
      </w:r>
    </w:p>
    <w:p>
      <w:pPr>
        <w:ind w:firstLine="560"/>
        <w:rPr>
          <w:rFonts w:ascii="黑体" w:hAnsi="黑体" w:eastAsia="黑体" w:cs="黑体"/>
        </w:rPr>
        <w:sectPr>
          <w:pgSz w:w="16830" w:h="11900" w:orient="landscape"/>
          <w:pgMar w:top="1145" w:right="1430" w:bottom="1467" w:left="1485" w:header="850" w:footer="992" w:gutter="0"/>
          <w:pgNumType w:fmt="decimal"/>
          <w:cols w:space="720" w:num="1"/>
          <w:titlePg/>
          <w:docGrid w:linePitch="326" w:charSpace="0"/>
        </w:sectPr>
      </w:pPr>
    </w:p>
    <w:p>
      <w:pPr>
        <w:keepNext/>
        <w:keepLines/>
        <w:ind w:firstLine="0" w:firstLineChars="0"/>
        <w:outlineLvl w:val="0"/>
        <w:rPr>
          <w:rFonts w:ascii="黑体" w:hAnsi="黑体" w:eastAsia="黑体"/>
          <w:kern w:val="44"/>
          <w:szCs w:val="32"/>
        </w:rPr>
      </w:pPr>
      <w:r>
        <w:rPr>
          <w:rFonts w:eastAsia="黑体"/>
          <w:kern w:val="44"/>
          <w:szCs w:val="32"/>
        </w:rPr>
        <w:t>附件2</w:t>
      </w:r>
      <w:r>
        <w:rPr>
          <w:rFonts w:hint="eastAsia" w:ascii="黑体" w:hAnsi="黑体" w:eastAsia="黑体"/>
          <w:kern w:val="44"/>
          <w:szCs w:val="32"/>
        </w:rPr>
        <w:t>：</w:t>
      </w:r>
    </w:p>
    <w:p>
      <w:pPr>
        <w:adjustRightInd w:val="0"/>
        <w:snapToGrid w:val="0"/>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昆明市生态环境局</w:t>
      </w:r>
    </w:p>
    <w:p>
      <w:pPr>
        <w:adjustRightInd w:val="0"/>
        <w:snapToGrid w:val="0"/>
        <w:spacing w:line="240" w:lineRule="auto"/>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z w:val="32"/>
          <w:szCs w:val="22"/>
        </w:rPr>
        <w:t>关于印发《强化重大投资项目环保审批服务保障措施》的通知</w:t>
      </w:r>
      <w:r>
        <w:rPr>
          <w:rFonts w:hint="eastAsia" w:ascii="方正小标宋_GBK" w:hAnsi="方正小标宋_GBK" w:eastAsia="方正小标宋_GBK" w:cs="方正小标宋_GBK"/>
        </w:rPr>
        <w:object>
          <v:shape id="_x0000_i1026" o:spt="75" type="#_x0000_t75" style="height:510.05pt;width:411.05pt;" o:ole="t" filled="f" o:preferrelative="t" stroked="f" coordsize="21600,21600">
            <v:path/>
            <v:fill on="f" focussize="0,0"/>
            <v:stroke on="f" joinstyle="miter"/>
            <v:imagedata r:id="rId29" croptop="9173f" o:title=""/>
            <o:lock v:ext="edit" aspectratio="t"/>
            <w10:wrap type="none"/>
            <w10:anchorlock/>
          </v:shape>
          <o:OLEObject Type="Embed" ProgID="Acrobat.Document.DC" ShapeID="_x0000_i1026" DrawAspect="Content" ObjectID="_1468075726" r:id="rId28">
            <o:LockedField>false</o:LockedField>
          </o:OLEObject>
        </w:object>
      </w:r>
    </w:p>
    <w:p>
      <w:pPr>
        <w:adjustRightInd w:val="0"/>
        <w:snapToGrid w:val="0"/>
        <w:spacing w:line="240" w:lineRule="auto"/>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rPr>
        <w:object>
          <v:shape id="_x0000_i1027" o:spt="75" type="#_x0000_t75" style="height:592.3pt;width:411.05pt;" o:ole="t" filled="f" o:preferrelative="t" stroked="f" coordsize="21600,21600">
            <v:path/>
            <v:fill on="f" focussize="0,0"/>
            <v:stroke on="f" joinstyle="miter"/>
            <v:imagedata r:id="rId31" o:title=""/>
            <o:lock v:ext="edit" aspectratio="t"/>
            <w10:wrap type="none"/>
            <w10:anchorlock/>
          </v:shape>
          <o:OLEObject Type="Embed" ProgID="Acrobat.Document.DC" ShapeID="_x0000_i1027" DrawAspect="Content" ObjectID="_1468075727" r:id="rId30">
            <o:LockedField>false</o:LockedField>
          </o:OLEObject>
        </w:object>
      </w:r>
    </w:p>
    <w:p>
      <w:pPr>
        <w:adjustRightInd w:val="0"/>
        <w:snapToGrid w:val="0"/>
        <w:spacing w:line="240" w:lineRule="auto"/>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rPr>
        <w:object>
          <v:shape id="_x0000_i1028" o:spt="75" type="#_x0000_t75" style="height:592.3pt;width:411.05pt;" o:ole="t" filled="f" o:preferrelative="t" stroked="f" coordsize="21600,21600">
            <v:path/>
            <v:fill on="f" focussize="0,0"/>
            <v:stroke on="f" joinstyle="miter"/>
            <v:imagedata r:id="rId33" o:title=""/>
            <o:lock v:ext="edit" aspectratio="t"/>
            <w10:wrap type="none"/>
            <w10:anchorlock/>
          </v:shape>
          <o:OLEObject Type="Embed" ProgID="Acrobat.Document.DC" ShapeID="_x0000_i1028" DrawAspect="Content" ObjectID="_1468075728" r:id="rId32">
            <o:LockedField>false</o:LockedField>
          </o:OLEObject>
        </w:object>
      </w:r>
    </w:p>
    <w:p>
      <w:pPr>
        <w:adjustRightInd w:val="0"/>
        <w:snapToGrid w:val="0"/>
        <w:spacing w:line="240" w:lineRule="auto"/>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rPr>
        <w:object>
          <v:shape id="_x0000_i1029" o:spt="75" type="#_x0000_t75" style="height:592.3pt;width:411.05pt;" o:ole="t" filled="f" o:preferrelative="t" stroked="f" coordsize="21600,21600">
            <v:path/>
            <v:fill on="f" focussize="0,0"/>
            <v:stroke on="f" joinstyle="miter"/>
            <v:imagedata r:id="rId35" o:title=""/>
            <o:lock v:ext="edit" aspectratio="t"/>
            <w10:wrap type="none"/>
            <w10:anchorlock/>
          </v:shape>
          <o:OLEObject Type="Embed" ProgID="Acrobat.Document.DC" ShapeID="_x0000_i1029" DrawAspect="Content" ObjectID="_1468075729" r:id="rId34">
            <o:LockedField>false</o:LockedField>
          </o:OLEObject>
        </w:object>
      </w:r>
    </w:p>
    <w:p>
      <w:pPr>
        <w:ind w:firstLine="0" w:firstLineChars="0"/>
        <w:rPr>
          <w:rFonts w:eastAsia="黑体"/>
        </w:rPr>
        <w:sectPr>
          <w:footerReference r:id="rId17" w:type="first"/>
          <w:pgSz w:w="11900" w:h="16830"/>
          <w:pgMar w:top="1430" w:right="1467" w:bottom="1485" w:left="1145" w:header="850" w:footer="992" w:gutter="0"/>
          <w:pgNumType w:fmt="decimal"/>
          <w:cols w:space="720" w:num="1"/>
          <w:titlePg/>
          <w:docGrid w:linePitch="326" w:charSpace="0"/>
        </w:sectPr>
      </w:pPr>
    </w:p>
    <w:p>
      <w:pPr>
        <w:keepNext/>
        <w:keepLines/>
        <w:ind w:firstLine="0" w:firstLineChars="0"/>
        <w:outlineLvl w:val="0"/>
        <w:rPr>
          <w:rFonts w:eastAsia="黑体"/>
          <w:kern w:val="44"/>
          <w:szCs w:val="32"/>
        </w:rPr>
      </w:pPr>
      <w:r>
        <w:rPr>
          <w:rFonts w:eastAsia="黑体"/>
          <w:kern w:val="44"/>
          <w:szCs w:val="32"/>
        </w:rPr>
        <w:t>附件</w:t>
      </w:r>
      <w:r>
        <w:rPr>
          <w:rFonts w:hint="eastAsia" w:eastAsia="黑体"/>
          <w:kern w:val="44"/>
          <w:szCs w:val="32"/>
        </w:rPr>
        <w:t>3</w:t>
      </w:r>
      <w:r>
        <w:rPr>
          <w:rFonts w:eastAsia="黑体"/>
          <w:kern w:val="44"/>
          <w:szCs w:val="32"/>
        </w:rPr>
        <w:t>：</w:t>
      </w:r>
    </w:p>
    <w:p>
      <w:pPr>
        <w:adjustRightInd w:val="0"/>
        <w:snapToGrid w:val="0"/>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建设项目环境影响评价文件审批办事流程办事流程示意图</w:t>
      </w:r>
    </w:p>
    <w:p>
      <w:pPr>
        <w:adjustRightInd w:val="0"/>
        <w:snapToGrid w:val="0"/>
        <w:spacing w:line="240" w:lineRule="auto"/>
        <w:ind w:firstLine="0" w:firstLineChars="0"/>
        <w:jc w:val="center"/>
        <w:rPr>
          <w:rFonts w:ascii="黑体" w:hAnsi="黑体" w:eastAsia="黑体" w:cs="黑体"/>
        </w:rPr>
      </w:pPr>
      <w:r>
        <w:rPr>
          <w:rFonts w:ascii="黑体" w:hAnsi="黑体" w:eastAsia="黑体" w:cs="黑体"/>
        </w:rPr>
        <w:pict>
          <v:shape id="_x0000_i1030" o:spt="75" type="#_x0000_t75" style="height:588.4pt;width:407.9pt;" filled="f" o:preferrelative="t" stroked="f" coordsize="21600,21600">
            <v:path/>
            <v:fill on="f" focussize="0,0"/>
            <v:stroke on="f" joinstyle="miter"/>
            <v:imagedata r:id="rId36" o:title=""/>
            <o:lock v:ext="edit" aspectratio="t"/>
            <w10:wrap type="none"/>
            <w10:anchorlock/>
          </v:shape>
        </w:pict>
      </w:r>
    </w:p>
    <w:p>
      <w:pPr>
        <w:adjustRightInd w:val="0"/>
        <w:snapToGrid w:val="0"/>
        <w:ind w:firstLine="0" w:firstLineChars="0"/>
        <w:jc w:val="center"/>
        <w:rPr>
          <w:rFonts w:ascii="黑体" w:hAnsi="黑体" w:eastAsia="黑体"/>
        </w:rPr>
      </w:pPr>
      <w:r>
        <w:rPr>
          <w:rFonts w:hint="eastAsia" w:ascii="黑体" w:hAnsi="黑体" w:eastAsia="黑体"/>
          <w:sz w:val="24"/>
          <w:szCs w:val="20"/>
        </w:rPr>
        <w:t>图</w:t>
      </w:r>
      <w:r>
        <w:rPr>
          <w:rFonts w:ascii="黑体" w:hAnsi="黑体" w:eastAsia="黑体"/>
          <w:sz w:val="24"/>
          <w:szCs w:val="20"/>
        </w:rPr>
        <w:t>1</w:t>
      </w:r>
      <w:r>
        <w:rPr>
          <w:rFonts w:hint="eastAsia" w:ascii="黑体" w:hAnsi="黑体" w:eastAsia="黑体"/>
          <w:sz w:val="24"/>
          <w:szCs w:val="20"/>
        </w:rPr>
        <w:t>建设项目环境影响评价文件审批办事流程图</w:t>
      </w:r>
    </w:p>
    <w:p>
      <w:pPr>
        <w:widowControl/>
        <w:ind w:firstLine="198" w:firstLineChars="71"/>
        <w:jc w:val="left"/>
        <w:rPr>
          <w:rFonts w:ascii="黑体" w:hAnsi="黑体" w:eastAsia="黑体" w:cs="黑体"/>
          <w:szCs w:val="28"/>
        </w:rPr>
        <w:sectPr>
          <w:pgSz w:w="11900" w:h="16830"/>
          <w:pgMar w:top="1430" w:right="1467" w:bottom="1485" w:left="1145" w:header="850" w:footer="992" w:gutter="0"/>
          <w:pgNumType w:fmt="decimal"/>
          <w:cols w:space="720" w:num="1"/>
          <w:titlePg/>
          <w:docGrid w:linePitch="326" w:charSpace="0"/>
        </w:sectPr>
      </w:pPr>
      <w:bookmarkStart w:id="290" w:name="OLE_LINK3"/>
    </w:p>
    <w:p>
      <w:pPr>
        <w:keepNext/>
        <w:keepLines/>
        <w:ind w:firstLine="0" w:firstLineChars="0"/>
        <w:outlineLvl w:val="0"/>
        <w:rPr>
          <w:rFonts w:eastAsia="黑体"/>
          <w:kern w:val="44"/>
          <w:szCs w:val="32"/>
        </w:rPr>
      </w:pPr>
      <w:r>
        <w:rPr>
          <w:rFonts w:hint="eastAsia" w:eastAsia="黑体"/>
          <w:kern w:val="44"/>
          <w:szCs w:val="32"/>
        </w:rPr>
        <w:t>附件4：</w:t>
      </w:r>
    </w:p>
    <w:p>
      <w:pPr>
        <w:adjustRightInd w:val="0"/>
        <w:snapToGrid w:val="0"/>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建设项目环境影响评价文件报批申请表</w:t>
      </w:r>
    </w:p>
    <w:tbl>
      <w:tblPr>
        <w:tblStyle w:val="46"/>
        <w:tblW w:w="498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8"/>
        <w:gridCol w:w="1878"/>
        <w:gridCol w:w="2639"/>
        <w:gridCol w:w="794"/>
        <w:gridCol w:w="3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审批方式</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560"/>
              <w:rPr>
                <w:rFonts w:ascii="黑体" w:hAnsi="黑体" w:eastAsia="黑体"/>
              </w:rPr>
            </w:pPr>
            <w:r>
              <w:rPr>
                <w:rFonts w:hint="eastAsia" w:ascii="黑体" w:hAnsi="黑体" w:eastAsia="黑体"/>
              </w:rPr>
              <w:t xml:space="preserve">告知承诺制审批□ </w:t>
            </w:r>
            <w:r>
              <w:rPr>
                <w:rFonts w:ascii="黑体" w:hAnsi="黑体" w:eastAsia="黑体"/>
              </w:rPr>
              <w:t xml:space="preserve">         </w:t>
            </w:r>
            <w:r>
              <w:rPr>
                <w:rFonts w:hint="eastAsia" w:ascii="黑体" w:hAnsi="黑体" w:eastAsia="黑体"/>
              </w:rPr>
              <w:t>正常审批□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项目名称</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项目代码</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项目建设地点</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项目环评行业类别</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规划环评开展情况</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建设单位</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7" w:hRule="atLeast"/>
          <w:jc w:val="center"/>
        </w:trPr>
        <w:tc>
          <w:tcPr>
            <w:tcW w:w="2773" w:type="pct"/>
            <w:gridSpan w:val="3"/>
            <w:tcBorders>
              <w:top w:val="single" w:color="000000" w:sz="2" w:space="0"/>
              <w:bottom w:val="single" w:color="000000" w:sz="2" w:space="0"/>
            </w:tcBorders>
            <w:shd w:val="clear" w:color="auto" w:fill="auto"/>
            <w:vAlign w:val="center"/>
          </w:tcPr>
          <w:p>
            <w:pPr>
              <w:spacing w:line="500" w:lineRule="exact"/>
              <w:ind w:firstLine="280" w:firstLineChars="100"/>
              <w:rPr>
                <w:rFonts w:ascii="黑体" w:hAnsi="黑体" w:eastAsia="黑体"/>
              </w:rPr>
            </w:pPr>
            <w:r>
              <w:rPr>
                <w:rFonts w:hint="eastAsia" w:ascii="黑体" w:hAnsi="黑体" w:eastAsia="黑体"/>
              </w:rPr>
              <w:t>□统一社会信用代码 □组织机构代码</w:t>
            </w:r>
          </w:p>
          <w:p>
            <w:pPr>
              <w:spacing w:line="500" w:lineRule="exact"/>
              <w:ind w:firstLine="280" w:firstLineChars="100"/>
              <w:rPr>
                <w:rFonts w:ascii="黑体" w:hAnsi="黑体" w:eastAsia="黑体"/>
              </w:rPr>
            </w:pPr>
            <w:r>
              <w:rPr>
                <w:rFonts w:hint="eastAsia" w:ascii="黑体" w:hAnsi="黑体" w:eastAsia="黑体"/>
              </w:rPr>
              <w:t xml:space="preserve">□工商注册号 </w:t>
            </w:r>
            <w:r>
              <w:rPr>
                <w:rFonts w:ascii="黑体" w:hAnsi="黑体" w:eastAsia="黑体"/>
              </w:rPr>
              <w:t xml:space="preserve">      </w:t>
            </w:r>
            <w:r>
              <w:rPr>
                <w:rFonts w:hint="eastAsia" w:ascii="黑体" w:hAnsi="黑体" w:eastAsia="黑体"/>
              </w:rPr>
              <w:t xml:space="preserve">□其他（ </w:t>
            </w:r>
            <w:r>
              <w:rPr>
                <w:rFonts w:ascii="黑体" w:hAnsi="黑体" w:eastAsia="黑体"/>
              </w:rPr>
              <w:t xml:space="preserve">    </w:t>
            </w:r>
            <w:r>
              <w:rPr>
                <w:rFonts w:hint="eastAsia" w:ascii="黑体" w:hAnsi="黑体" w:eastAsia="黑体"/>
              </w:rPr>
              <w:t>）</w:t>
            </w:r>
          </w:p>
        </w:tc>
        <w:tc>
          <w:tcPr>
            <w:tcW w:w="2226"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vMerge w:val="restart"/>
            <w:tcBorders>
              <w:top w:val="single" w:color="000000" w:sz="2" w:space="0"/>
              <w:bottom w:val="nil"/>
              <w:right w:val="single" w:color="auto" w:sz="4"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授权经办人员信息</w:t>
            </w:r>
          </w:p>
        </w:tc>
        <w:tc>
          <w:tcPr>
            <w:tcW w:w="1851" w:type="pct"/>
            <w:gridSpan w:val="2"/>
            <w:tcBorders>
              <w:top w:val="single" w:color="auto" w:sz="4" w:space="0"/>
              <w:left w:val="single" w:color="auto" w:sz="4" w:space="0"/>
              <w:bottom w:val="single" w:color="auto" w:sz="4" w:space="0"/>
              <w:right w:val="nil"/>
            </w:tcBorders>
            <w:shd w:val="clear" w:color="auto" w:fill="auto"/>
            <w:vAlign w:val="center"/>
          </w:tcPr>
          <w:p>
            <w:pPr>
              <w:tabs>
                <w:tab w:val="left" w:pos="2880"/>
                <w:tab w:val="left" w:pos="5760"/>
              </w:tabs>
              <w:spacing w:line="240" w:lineRule="auto"/>
              <w:ind w:firstLine="280" w:firstLineChars="100"/>
              <w:rPr>
                <w:rFonts w:ascii="黑体" w:hAnsi="黑体" w:eastAsia="黑体"/>
              </w:rPr>
            </w:pPr>
            <w:r>
              <w:rPr>
                <w:rFonts w:hint="eastAsia" w:ascii="黑体" w:hAnsi="黑体" w:eastAsia="黑体"/>
              </w:rPr>
              <w:t>姓名：</w:t>
            </w:r>
          </w:p>
        </w:tc>
        <w:tc>
          <w:tcPr>
            <w:tcW w:w="1798" w:type="pct"/>
            <w:tcBorders>
              <w:top w:val="single" w:color="auto" w:sz="4" w:space="0"/>
              <w:left w:val="nil"/>
              <w:bottom w:val="single" w:color="auto" w:sz="4" w:space="0"/>
              <w:right w:val="single" w:color="auto" w:sz="4" w:space="0"/>
            </w:tcBorders>
            <w:shd w:val="clear" w:color="auto" w:fill="auto"/>
            <w:vAlign w:val="center"/>
          </w:tcPr>
          <w:p>
            <w:pPr>
              <w:tabs>
                <w:tab w:val="left" w:pos="2880"/>
                <w:tab w:val="left" w:pos="5760"/>
              </w:tabs>
              <w:spacing w:line="240" w:lineRule="auto"/>
              <w:ind w:firstLine="0" w:firstLineChars="0"/>
              <w:rPr>
                <w:rFonts w:ascii="黑体" w:hAnsi="黑体" w:eastAsia="黑体"/>
              </w:rPr>
            </w:pPr>
            <w:r>
              <w:rPr>
                <w:rFonts w:hint="eastAsia" w:ascii="黑体" w:hAnsi="黑体" w:eastAsia="黑体"/>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vMerge w:val="continue"/>
            <w:tcBorders>
              <w:top w:val="single" w:color="auto" w:sz="4"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p>
        </w:tc>
        <w:tc>
          <w:tcPr>
            <w:tcW w:w="3649" w:type="pct"/>
            <w:gridSpan w:val="3"/>
            <w:tcBorders>
              <w:top w:val="single" w:color="auto" w:sz="4" w:space="0"/>
              <w:bottom w:val="single" w:color="000000" w:sz="2" w:space="0"/>
            </w:tcBorders>
            <w:shd w:val="clear" w:color="auto" w:fill="auto"/>
            <w:vAlign w:val="center"/>
          </w:tcPr>
          <w:p>
            <w:pPr>
              <w:spacing w:line="240" w:lineRule="auto"/>
              <w:ind w:firstLine="280" w:firstLineChars="100"/>
              <w:rPr>
                <w:rFonts w:ascii="黑体" w:hAnsi="黑体" w:eastAsia="黑体"/>
              </w:rPr>
            </w:pPr>
            <w:r>
              <w:rPr>
                <w:rFonts w:hint="eastAsia" w:ascii="黑体" w:hAnsi="黑体" w:eastAsia="黑体"/>
              </w:rPr>
              <w:t>身份证号码：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环评报告编制单位</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rPr>
                <w:rFonts w:ascii="黑体" w:hAnsi="黑体" w:eastAsia="黑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2773" w:type="pct"/>
            <w:gridSpan w:val="3"/>
            <w:tcBorders>
              <w:top w:val="single" w:color="000000" w:sz="2" w:space="0"/>
              <w:bottom w:val="single" w:color="000000" w:sz="2" w:space="0"/>
            </w:tcBorders>
            <w:shd w:val="clear" w:color="auto" w:fill="auto"/>
            <w:vAlign w:val="center"/>
          </w:tcPr>
          <w:p>
            <w:pPr>
              <w:spacing w:line="500" w:lineRule="exact"/>
              <w:ind w:firstLine="280" w:firstLineChars="100"/>
              <w:rPr>
                <w:rFonts w:ascii="黑体" w:hAnsi="黑体" w:eastAsia="黑体"/>
              </w:rPr>
            </w:pPr>
            <w:r>
              <w:rPr>
                <w:rFonts w:hint="eastAsia" w:ascii="黑体" w:hAnsi="黑体" w:eastAsia="黑体"/>
              </w:rPr>
              <w:t>□统一社会信用代码 □组织机构代码</w:t>
            </w:r>
          </w:p>
          <w:p>
            <w:pPr>
              <w:spacing w:line="500" w:lineRule="exact"/>
              <w:ind w:firstLine="280" w:firstLineChars="100"/>
              <w:rPr>
                <w:rFonts w:ascii="黑体" w:hAnsi="黑体" w:eastAsia="黑体"/>
                <w:u w:val="single"/>
              </w:rPr>
            </w:pPr>
            <w:r>
              <w:rPr>
                <w:rFonts w:hint="eastAsia" w:ascii="黑体" w:hAnsi="黑体" w:eastAsia="黑体"/>
              </w:rPr>
              <w:t xml:space="preserve">□工商注册号 </w:t>
            </w:r>
            <w:r>
              <w:rPr>
                <w:rFonts w:ascii="黑体" w:hAnsi="黑体" w:eastAsia="黑体"/>
              </w:rPr>
              <w:t xml:space="preserve">      </w:t>
            </w:r>
            <w:r>
              <w:rPr>
                <w:rFonts w:hint="eastAsia" w:ascii="黑体" w:hAnsi="黑体" w:eastAsia="黑体"/>
              </w:rPr>
              <w:t xml:space="preserve">□其他（ </w:t>
            </w:r>
            <w:r>
              <w:rPr>
                <w:rFonts w:ascii="黑体" w:hAnsi="黑体" w:eastAsia="黑体"/>
              </w:rPr>
              <w:t xml:space="preserve">    </w:t>
            </w:r>
            <w:r>
              <w:rPr>
                <w:rFonts w:hint="eastAsia" w:ascii="黑体" w:hAnsi="黑体" w:eastAsia="黑体"/>
              </w:rPr>
              <w:t>）</w:t>
            </w:r>
          </w:p>
        </w:tc>
        <w:tc>
          <w:tcPr>
            <w:tcW w:w="2226"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3" w:hRule="atLeast"/>
          <w:jc w:val="center"/>
        </w:trPr>
        <w:tc>
          <w:tcPr>
            <w:tcW w:w="338" w:type="pct"/>
            <w:tcBorders>
              <w:top w:val="single" w:color="000000" w:sz="2" w:space="0"/>
              <w:bottom w:val="single" w:color="000000" w:sz="2" w:space="0"/>
              <w:right w:val="single" w:color="auto" w:sz="4" w:space="0"/>
            </w:tcBorders>
            <w:shd w:val="clear" w:color="auto" w:fill="auto"/>
            <w:textDirection w:val="tbLrV"/>
            <w:vAlign w:val="center"/>
          </w:tcPr>
          <w:p>
            <w:pPr>
              <w:spacing w:line="240" w:lineRule="auto"/>
              <w:ind w:left="113" w:right="113" w:firstLine="0" w:firstLineChars="0"/>
              <w:jc w:val="center"/>
              <w:rPr>
                <w:rFonts w:ascii="黑体" w:hAnsi="黑体" w:eastAsia="黑体"/>
              </w:rPr>
            </w:pPr>
            <w:r>
              <w:rPr>
                <w:rFonts w:hint="eastAsia" w:ascii="黑体" w:hAnsi="黑体" w:eastAsia="黑体"/>
              </w:rPr>
              <w:t>建设单位承诺</w:t>
            </w:r>
          </w:p>
        </w:tc>
        <w:tc>
          <w:tcPr>
            <w:tcW w:w="4661" w:type="pct"/>
            <w:gridSpan w:val="4"/>
            <w:tcBorders>
              <w:top w:val="single" w:color="000000" w:sz="2" w:space="0"/>
              <w:left w:val="single" w:color="auto" w:sz="4" w:space="0"/>
              <w:bottom w:val="single" w:color="000000" w:sz="2" w:space="0"/>
            </w:tcBorders>
            <w:shd w:val="clear" w:color="auto" w:fill="auto"/>
            <w:vAlign w:val="center"/>
          </w:tcPr>
          <w:p>
            <w:pPr>
              <w:keepNext/>
              <w:keepLines/>
              <w:pageBreakBefore/>
              <w:widowControl/>
              <w:spacing w:line="300" w:lineRule="auto"/>
              <w:ind w:firstLine="560"/>
            </w:pPr>
            <w:r>
              <w:rPr>
                <w:rFonts w:hint="eastAsia"/>
              </w:rPr>
              <w:t>一、本单位所提交的各项材料合法真实、准确有效，对填报的内容负责，同意生态环境主管部门将本次申请纳入社会信用考核范畴，若存在失信行为，依法接受信用惩戒。</w:t>
            </w:r>
          </w:p>
          <w:p>
            <w:pPr>
              <w:keepNext/>
              <w:keepLines/>
              <w:pageBreakBefore/>
              <w:widowControl/>
              <w:spacing w:line="300" w:lineRule="auto"/>
              <w:ind w:firstLine="560"/>
            </w:pPr>
            <w:r>
              <w:rPr>
                <w:rFonts w:hint="eastAsia"/>
              </w:rPr>
              <w:t>二、本单位已认真对《XXXX环境影响报告书（表）》进行核对，将自觉落实环境保护主体责任，严格按照本项目环评文件所列性质、规模、地点、采用的生产工艺以及拟采取的环境保护措施进行项目建设和生产经营。</w:t>
            </w:r>
            <w:r>
              <w:rPr>
                <w:rFonts w:hint="eastAsia"/>
                <w:lang w:val="en"/>
              </w:rPr>
              <w:t>若建设项目的性质、规模、地点、采用的生产工艺或者防治污染、防止生态破坏的措施发生重大变动的，将依法重新办理相关环境影响评价手续。</w:t>
            </w:r>
          </w:p>
          <w:p>
            <w:pPr>
              <w:keepNext/>
              <w:keepLines/>
              <w:pageBreakBefore/>
              <w:widowControl/>
              <w:spacing w:line="300" w:lineRule="auto"/>
              <w:ind w:firstLine="560"/>
            </w:pPr>
            <w:r>
              <w:rPr>
                <w:rFonts w:hint="eastAsia"/>
              </w:rPr>
              <w:t>三、本单位将严格遵守各项法律法规，坚持守法生产经营，本项目不存在“未批先建”等环境违法行为，项目所需的用地、用房均属依法获得，不存在使用违法建筑等其他违法情形，自觉接受政府、行业组织、社会各界的监督，若存在违法行为隐瞒不报的，自觉接受相关部门的查处，由生态环境部门撤销关于本次申请的审批决定。</w:t>
            </w:r>
          </w:p>
          <w:p>
            <w:pPr>
              <w:keepNext/>
              <w:keepLines/>
              <w:pageBreakBefore/>
              <w:widowControl/>
              <w:spacing w:line="300" w:lineRule="auto"/>
              <w:ind w:firstLine="560"/>
            </w:pPr>
            <w:r>
              <w:rPr>
                <w:rFonts w:hint="eastAsia"/>
              </w:rPr>
              <w:t>四、根据环境保护部《建设项目环境影响评价政府信息公开办事指南（试行）》（环办〔2013〕103号）的有关规定，我单位提交的《XXXX环境影响报告书（表）》公开本电子版，不含涉及国家秘密、商业秘密、个人隐私以及涉及国家安全、公共安全、经济安全和社会稳定的内容。</w:t>
            </w:r>
          </w:p>
          <w:p>
            <w:pPr>
              <w:keepNext/>
              <w:keepLines/>
              <w:pageBreakBefore/>
              <w:widowControl/>
              <w:spacing w:line="300" w:lineRule="auto"/>
              <w:ind w:firstLine="560"/>
            </w:pPr>
            <w:r>
              <w:rPr>
                <w:rFonts w:hint="eastAsia"/>
              </w:rPr>
              <w:t>对于环评文件不宜公开的内容及理由说明如下：</w:t>
            </w:r>
          </w:p>
          <w:p>
            <w:pPr>
              <w:spacing w:line="300" w:lineRule="auto"/>
              <w:ind w:firstLine="560"/>
            </w:pPr>
            <w:r>
              <w:rPr>
                <w:rFonts w:hint="eastAsia"/>
              </w:rPr>
              <w:t>1.……</w:t>
            </w:r>
          </w:p>
          <w:p>
            <w:pPr>
              <w:spacing w:line="300" w:lineRule="auto"/>
              <w:ind w:firstLine="560"/>
            </w:pPr>
            <w:r>
              <w:rPr>
                <w:rFonts w:hint="eastAsia"/>
              </w:rPr>
              <w:t>2.……</w:t>
            </w:r>
          </w:p>
          <w:p>
            <w:pPr>
              <w:spacing w:line="300" w:lineRule="auto"/>
              <w:ind w:firstLine="560"/>
            </w:pPr>
            <w:r>
              <w:t>3</w:t>
            </w:r>
            <w:r>
              <w:rPr>
                <w:rFonts w:hint="eastAsia"/>
              </w:rPr>
              <w:t>.……</w:t>
            </w:r>
          </w:p>
          <w:p>
            <w:pPr>
              <w:spacing w:line="300" w:lineRule="auto"/>
              <w:ind w:firstLine="560"/>
            </w:pPr>
          </w:p>
          <w:p>
            <w:pPr>
              <w:spacing w:line="300" w:lineRule="auto"/>
              <w:ind w:firstLine="560"/>
            </w:pPr>
          </w:p>
          <w:p>
            <w:pPr>
              <w:spacing w:line="300" w:lineRule="auto"/>
              <w:ind w:firstLine="560"/>
            </w:pPr>
          </w:p>
          <w:p>
            <w:pPr>
              <w:spacing w:line="300" w:lineRule="auto"/>
              <w:ind w:firstLine="5040" w:firstLineChars="1800"/>
            </w:pPr>
            <w:r>
              <w:rPr>
                <w:rFonts w:hint="eastAsia"/>
              </w:rPr>
              <w:t>建设单位（盖章）：</w:t>
            </w:r>
          </w:p>
          <w:p>
            <w:pPr>
              <w:spacing w:line="300" w:lineRule="auto"/>
              <w:ind w:firstLine="5600" w:firstLineChars="2000"/>
            </w:pPr>
            <w:r>
              <w:rPr>
                <w:rFonts w:hint="eastAsia"/>
              </w:rPr>
              <w:t>申请日期：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720" w:hRule="atLeast"/>
          <w:jc w:val="center"/>
        </w:trPr>
        <w:tc>
          <w:tcPr>
            <w:tcW w:w="338" w:type="pct"/>
            <w:tcBorders>
              <w:top w:val="single" w:color="000000" w:sz="2" w:space="0"/>
              <w:bottom w:val="single" w:color="000000" w:sz="2" w:space="0"/>
              <w:right w:val="single" w:color="auto" w:sz="4" w:space="0"/>
            </w:tcBorders>
            <w:shd w:val="clear" w:color="auto" w:fill="auto"/>
            <w:textDirection w:val="tbRlV"/>
            <w:vAlign w:val="center"/>
          </w:tcPr>
          <w:p>
            <w:pPr>
              <w:spacing w:line="240" w:lineRule="auto"/>
              <w:ind w:left="113" w:right="113" w:firstLine="0" w:firstLineChars="0"/>
              <w:jc w:val="center"/>
              <w:rPr>
                <w:rFonts w:ascii="黑体" w:hAnsi="黑体" w:eastAsia="黑体"/>
              </w:rPr>
            </w:pPr>
            <w:r>
              <w:rPr>
                <w:rFonts w:hint="eastAsia" w:ascii="黑体" w:hAnsi="黑体" w:eastAsia="黑体"/>
                <w:szCs w:val="28"/>
              </w:rPr>
              <w:t>相关文书送达方式</w:t>
            </w:r>
          </w:p>
        </w:tc>
        <w:tc>
          <w:tcPr>
            <w:tcW w:w="4661" w:type="pct"/>
            <w:gridSpan w:val="4"/>
            <w:tcBorders>
              <w:top w:val="single" w:color="000000" w:sz="2" w:space="0"/>
              <w:left w:val="single" w:color="auto" w:sz="4" w:space="0"/>
              <w:bottom w:val="single" w:color="000000" w:sz="2" w:space="0"/>
            </w:tcBorders>
            <w:shd w:val="clear" w:color="auto" w:fill="auto"/>
          </w:tcPr>
          <w:p>
            <w:pPr>
              <w:widowControl/>
              <w:ind w:firstLine="560"/>
              <w:rPr>
                <w:rFonts w:ascii="宋体" w:hAnsi="宋体" w:cs="宋体"/>
                <w:kern w:val="0"/>
                <w:szCs w:val="24"/>
              </w:rPr>
            </w:pPr>
            <w:r>
              <w:rPr>
                <w:rFonts w:hint="eastAsia" w:ascii="宋体" w:hAnsi="宋体" w:cs="宋体"/>
                <w:kern w:val="0"/>
                <w:szCs w:val="24"/>
              </w:rPr>
              <w:t>□邮件送达，电子邮箱为：</w:t>
            </w:r>
          </w:p>
          <w:p>
            <w:pPr>
              <w:widowControl/>
              <w:ind w:firstLine="560"/>
              <w:rPr>
                <w:rFonts w:ascii="宋体" w:hAnsi="宋体" w:cs="宋体"/>
                <w:kern w:val="0"/>
                <w:szCs w:val="24"/>
              </w:rPr>
            </w:pPr>
            <w:r>
              <w:rPr>
                <w:rFonts w:hint="eastAsia" w:ascii="宋体" w:hAnsi="宋体" w:cs="宋体"/>
                <w:kern w:val="0"/>
                <w:szCs w:val="24"/>
              </w:rPr>
              <w:t>□快递送达，邮寄地址为：</w:t>
            </w:r>
          </w:p>
          <w:p>
            <w:pPr>
              <w:widowControl/>
              <w:ind w:firstLine="560"/>
              <w:rPr>
                <w:rFonts w:ascii="宋体" w:hAnsi="宋体" w:cs="宋体"/>
                <w:kern w:val="0"/>
                <w:szCs w:val="24"/>
              </w:rPr>
            </w:pPr>
            <w:r>
              <w:rPr>
                <w:rFonts w:hint="eastAsia" w:ascii="宋体" w:hAnsi="宋体" w:cs="宋体"/>
                <w:kern w:val="0"/>
                <w:szCs w:val="24"/>
              </w:rPr>
              <w:t>□申请人窗口自取</w:t>
            </w:r>
          </w:p>
          <w:p>
            <w:pPr>
              <w:widowControl/>
              <w:ind w:firstLine="0" w:firstLineChars="0"/>
              <w:rPr>
                <w:rFonts w:ascii="宋体" w:hAnsi="宋体" w:cs="宋体"/>
                <w:kern w:val="0"/>
                <w:szCs w:val="24"/>
              </w:rPr>
            </w:pPr>
          </w:p>
          <w:p>
            <w:pPr>
              <w:ind w:firstLine="280" w:firstLineChars="100"/>
              <w:rPr>
                <w:rFonts w:ascii="宋体" w:hAnsi="宋体" w:cs="宋体"/>
                <w:kern w:val="0"/>
                <w:szCs w:val="24"/>
              </w:rPr>
            </w:pPr>
            <w:r>
              <w:rPr>
                <w:rFonts w:hint="eastAsia" w:ascii="宋体" w:hAnsi="宋体" w:cs="宋体"/>
                <w:kern w:val="0"/>
                <w:szCs w:val="24"/>
              </w:rPr>
              <w:t>注：以上三种方式均可(打√),请申请人在提交申请表时一并明确。</w:t>
            </w:r>
          </w:p>
        </w:tc>
      </w:tr>
    </w:tbl>
    <w:p>
      <w:pPr>
        <w:adjustRightInd w:val="0"/>
        <w:snapToGrid w:val="0"/>
        <w:ind w:left="440" w:hanging="440" w:hangingChars="200"/>
        <w:rPr>
          <w:sz w:val="22"/>
          <w:szCs w:val="20"/>
        </w:rPr>
      </w:pPr>
      <w:r>
        <w:rPr>
          <w:rFonts w:hint="eastAsia"/>
          <w:sz w:val="22"/>
          <w:szCs w:val="20"/>
        </w:rPr>
        <w:t>注：建设单位和技术单位除在表格规定的地方盖个章外，还需对整份申请加盖骑缝章。本表一式三份，生态环境部门、建设单位、技术单位各存一份。填写说明可不打印。</w:t>
      </w:r>
    </w:p>
    <w:p>
      <w:pPr>
        <w:widowControl/>
        <w:ind w:firstLine="0" w:firstLineChars="0"/>
        <w:rPr>
          <w:rFonts w:ascii="宋体" w:hAnsi="宋体" w:cs="宋体"/>
          <w:kern w:val="0"/>
          <w:szCs w:val="24"/>
        </w:rPr>
        <w:sectPr>
          <w:footerReference r:id="rId19" w:type="first"/>
          <w:footerReference r:id="rId18" w:type="even"/>
          <w:pgSz w:w="11900" w:h="16830"/>
          <w:pgMar w:top="1430" w:right="1467" w:bottom="1485" w:left="1145" w:header="850" w:footer="992" w:gutter="0"/>
          <w:pgNumType w:fmt="decimal"/>
          <w:cols w:space="720" w:num="1"/>
          <w:titlePg/>
          <w:docGrid w:linePitch="326" w:charSpace="0"/>
        </w:sectPr>
      </w:pPr>
    </w:p>
    <w:p>
      <w:pPr>
        <w:adjustRightInd w:val="0"/>
        <w:snapToGrid w:val="0"/>
        <w:ind w:firstLine="0" w:firstLineChars="0"/>
        <w:rPr>
          <w:rFonts w:ascii="黑体" w:hAnsi="黑体" w:eastAsia="黑体"/>
        </w:rPr>
      </w:pPr>
      <w:r>
        <w:rPr>
          <w:rFonts w:hint="eastAsia" w:ascii="黑体" w:hAnsi="黑体" w:eastAsia="黑体"/>
        </w:rPr>
        <w:t>填写说明：</w:t>
      </w:r>
    </w:p>
    <w:p>
      <w:pPr>
        <w:adjustRightInd w:val="0"/>
        <w:snapToGrid w:val="0"/>
        <w:ind w:firstLine="560"/>
      </w:pPr>
      <w:r>
        <w:rPr>
          <w:rFonts w:hint="eastAsia"/>
        </w:rPr>
        <w:t>1.审批方式：建设单位根据项目类型进行选择。纳入《云南省生态环境系统应对疫情影响支持服务全省经济社会发展的若干措施》中“环评告知承诺制审批改革试点范围”的44类建设项目及昆明市地方政府专项债券储备项目环评文件实施告知承诺制审批。</w:t>
      </w:r>
    </w:p>
    <w:p>
      <w:pPr>
        <w:adjustRightInd w:val="0"/>
        <w:snapToGrid w:val="0"/>
        <w:ind w:firstLine="560"/>
      </w:pPr>
      <w:r>
        <w:rPr>
          <w:rFonts w:hint="eastAsia"/>
        </w:rPr>
        <w:t>2.项目名称：应按照经济部门核定（核准或备案）的名称进行填写，完整、准确，不得随意更换。</w:t>
      </w:r>
    </w:p>
    <w:p>
      <w:pPr>
        <w:adjustRightInd w:val="0"/>
        <w:snapToGrid w:val="0"/>
        <w:ind w:firstLine="560"/>
      </w:pPr>
      <w:r>
        <w:rPr>
          <w:rFonts w:hint="eastAsia"/>
        </w:rPr>
        <w:t>3.项目代码：同级经济部门审批核发的唯一项目代码。通过发改部门建设投资在线平台获取，一般为一组20位的数字代码，如：2018-3502XX-XX-XX-XXXXXX。</w:t>
      </w:r>
    </w:p>
    <w:p>
      <w:pPr>
        <w:adjustRightInd w:val="0"/>
        <w:snapToGrid w:val="0"/>
        <w:ind w:firstLine="560"/>
      </w:pPr>
      <w:r>
        <w:rPr>
          <w:rFonts w:hint="eastAsia"/>
        </w:rPr>
        <w:t>4.建设地点：拟建项目的实际地点，工业项目具体到门牌号(或地块名称),线性工程应准确填写项目起止</w:t>
      </w:r>
    </w:p>
    <w:p>
      <w:pPr>
        <w:adjustRightInd w:val="0"/>
        <w:snapToGrid w:val="0"/>
        <w:ind w:firstLine="560"/>
      </w:pPr>
      <w:r>
        <w:rPr>
          <w:rFonts w:hint="eastAsia"/>
        </w:rPr>
        <w:t>5.环境影响评价行业类别：指本项目参照《建设项目环境影响评价分类管理名录》规定所对应类别，例如“69、通用设备制造及维修-其他（仅组装的除外）”。</w:t>
      </w:r>
    </w:p>
    <w:p>
      <w:pPr>
        <w:adjustRightInd w:val="0"/>
        <w:snapToGrid w:val="0"/>
        <w:ind w:firstLine="560"/>
      </w:pPr>
      <w:r>
        <w:rPr>
          <w:rFonts w:hint="eastAsia"/>
        </w:rPr>
        <w:t>6.规划环评开展情况：应填写项目所属区域的产业园区及相关规划的规划环评开展情况。</w:t>
      </w:r>
    </w:p>
    <w:p>
      <w:pPr>
        <w:adjustRightInd w:val="0"/>
        <w:snapToGrid w:val="0"/>
        <w:ind w:firstLine="560"/>
      </w:pPr>
      <w:r>
        <w:rPr>
          <w:rFonts w:hint="eastAsia"/>
        </w:rPr>
        <w:t>7.建设单位：完整、准确填写建设单位名称，应与单位设立登记机关登记的一致。</w:t>
      </w:r>
    </w:p>
    <w:p>
      <w:pPr>
        <w:adjustRightInd w:val="0"/>
        <w:snapToGrid w:val="0"/>
        <w:ind w:firstLine="560"/>
      </w:pPr>
      <w:r>
        <w:rPr>
          <w:rFonts w:hint="eastAsia"/>
        </w:rPr>
        <w:t>8.统一社会信用代码（组织机构代码）：完整、准确填写建设单位统一社会信用代码，应与单位设立登记机关登记的一致。其他的注明机构类型。</w:t>
      </w:r>
    </w:p>
    <w:p>
      <w:pPr>
        <w:adjustRightInd w:val="0"/>
        <w:snapToGrid w:val="0"/>
        <w:ind w:firstLine="560"/>
      </w:pPr>
      <w:r>
        <w:rPr>
          <w:rFonts w:hint="eastAsia"/>
        </w:rPr>
        <w:t>9.授权经办人员信息：原则上应当为本单位已经建立稳定劳动合同关系的职工，并明确获得关于办理环评手续的业务授权，其行为（决定）视为建设单位的具体行为（决定）。</w:t>
      </w:r>
    </w:p>
    <w:p>
      <w:pPr>
        <w:adjustRightInd w:val="0"/>
        <w:snapToGrid w:val="0"/>
        <w:ind w:firstLine="560"/>
      </w:pPr>
      <w:r>
        <w:rPr>
          <w:rFonts w:hint="eastAsia"/>
        </w:rPr>
        <w:t>10.环评报告编制单位：指承担本项目环境影响评价工作的技术单位，应当完整、准确填写单位名称，若是建设单位自行组织编制的，填写本单位信息。</w:t>
      </w:r>
    </w:p>
    <w:p>
      <w:pPr>
        <w:adjustRightInd w:val="0"/>
        <w:snapToGrid w:val="0"/>
        <w:ind w:firstLine="560"/>
      </w:pPr>
      <w:r>
        <w:rPr>
          <w:rFonts w:hint="eastAsia"/>
        </w:rPr>
        <w:t>11.统一社会信用代码（组织机构代码）：完整、准确填写环境影响评价机构的统一社会信用代码，应与单位设立登记机关登记的一致，其他的注明机构类型。</w:t>
      </w:r>
    </w:p>
    <w:p>
      <w:pPr>
        <w:adjustRightInd w:val="0"/>
        <w:snapToGrid w:val="0"/>
        <w:ind w:firstLine="560"/>
      </w:pPr>
      <w:r>
        <w:rPr>
          <w:rFonts w:hint="eastAsia"/>
        </w:rPr>
        <w:t>12.建设单位承诺：为格式文本，原则上不允许修改，建设单位若有进行修改的应当在报批时进行说明。有其他承诺事项或内容的，可以进一步补充。</w:t>
      </w:r>
    </w:p>
    <w:p>
      <w:pPr>
        <w:adjustRightInd w:val="0"/>
        <w:snapToGrid w:val="0"/>
        <w:ind w:firstLine="560"/>
      </w:pPr>
      <w:r>
        <w:rPr>
          <w:rFonts w:hint="eastAsia"/>
        </w:rPr>
        <w:t>13.相关文书送达方式：为进一步提高环评审批工作效率，生态环境部门为申请人提供多种申请途径供申请人选择，申请人可以针对审批过程中产生的文书选择一种便利的送达方式。现行的环评文件批复已经全部使用电子批文，因此鼓励申请人选择电子邮件送达等方式。</w:t>
      </w:r>
    </w:p>
    <w:bookmarkEnd w:id="290"/>
    <w:p>
      <w:pPr>
        <w:ind w:firstLine="0" w:firstLineChars="0"/>
        <w:rPr>
          <w:rFonts w:ascii="黑体" w:hAnsi="黑体" w:eastAsia="黑体" w:cs="黑体"/>
          <w:szCs w:val="28"/>
        </w:rPr>
        <w:sectPr>
          <w:pgSz w:w="11906" w:h="16838"/>
          <w:pgMar w:top="1418" w:right="1134" w:bottom="1134" w:left="1418" w:header="851" w:footer="992" w:gutter="0"/>
          <w:pgNumType w:fmt="decimal"/>
          <w:cols w:space="425" w:num="1"/>
          <w:docGrid w:type="linesAndChars" w:linePitch="326" w:charSpace="0"/>
        </w:sectPr>
      </w:pPr>
    </w:p>
    <w:p>
      <w:pPr>
        <w:keepNext/>
        <w:keepLines/>
        <w:widowControl/>
        <w:ind w:firstLine="0" w:firstLineChars="0"/>
        <w:outlineLvl w:val="0"/>
        <w:rPr>
          <w:rFonts w:eastAsia="黑体"/>
          <w:kern w:val="44"/>
          <w:szCs w:val="32"/>
        </w:rPr>
      </w:pPr>
      <w:bookmarkStart w:id="291" w:name="_Toc10903"/>
      <w:bookmarkStart w:id="292" w:name="_Toc130125913"/>
      <w:bookmarkStart w:id="293" w:name="_Toc130124952"/>
      <w:bookmarkStart w:id="294" w:name="_Toc2445"/>
      <w:r>
        <w:rPr>
          <w:rFonts w:hint="eastAsia" w:eastAsia="黑体"/>
          <w:kern w:val="44"/>
          <w:szCs w:val="32"/>
        </w:rPr>
        <w:t>附件5：</w:t>
      </w:r>
      <w:bookmarkEnd w:id="291"/>
      <w:bookmarkEnd w:id="292"/>
      <w:bookmarkEnd w:id="293"/>
      <w:bookmarkEnd w:id="294"/>
    </w:p>
    <w:p>
      <w:pPr>
        <w:adjustRightInd w:val="0"/>
        <w:snapToGrid w:val="0"/>
        <w:spacing w:line="400" w:lineRule="exact"/>
        <w:ind w:firstLine="0" w:firstLineChars="0"/>
        <w:jc w:val="center"/>
        <w:rPr>
          <w:rFonts w:ascii="方正小标宋_GBK" w:hAnsi="方正小标宋_GBK" w:eastAsia="方正小标宋_GBK" w:cs="方正小标宋_GBK"/>
          <w:bCs/>
          <w:sz w:val="32"/>
          <w:szCs w:val="32"/>
        </w:rPr>
      </w:pPr>
      <w:r>
        <w:rPr>
          <w:rFonts w:hint="eastAsia" w:ascii="方正小标宋_GBK" w:hAnsi="方正小标宋_GBK" w:eastAsia="方正小标宋_GBK" w:cs="方正小标宋_GBK"/>
          <w:bCs/>
          <w:sz w:val="32"/>
          <w:szCs w:val="32"/>
        </w:rPr>
        <w:t>昆明市生态环境局行政许可受理通知单</w:t>
      </w:r>
    </w:p>
    <w:p>
      <w:pPr>
        <w:adjustRightInd w:val="0"/>
        <w:snapToGrid w:val="0"/>
        <w:ind w:firstLine="0" w:firstLineChars="0"/>
      </w:pPr>
      <w:r>
        <w:rPr>
          <w:rFonts w:hint="eastAsia"/>
        </w:rPr>
        <w:t>编号：</w:t>
      </w:r>
      <w:r>
        <w:t>20</w:t>
      </w:r>
      <w:r>
        <w:rPr>
          <w:rFonts w:hint="eastAsia"/>
          <w:lang w:val="en-US" w:eastAsia="zh-CN"/>
        </w:rPr>
        <w:t>xx</w:t>
      </w:r>
      <w:r>
        <w:t xml:space="preserve"> </w:t>
      </w:r>
      <w:r>
        <w:rPr>
          <w:rFonts w:ascii="宋体" w:cs="宋体"/>
          <w:kern w:val="0"/>
        </w:rPr>
        <w:t>-</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61"/>
        <w:gridCol w:w="2584"/>
        <w:gridCol w:w="1679"/>
        <w:gridCol w:w="32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0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申请行政许可</w:t>
            </w:r>
          </w:p>
          <w:p>
            <w:pPr>
              <w:widowControl/>
              <w:adjustRightInd w:val="0"/>
              <w:snapToGrid w:val="0"/>
              <w:spacing w:line="240" w:lineRule="auto"/>
              <w:ind w:firstLine="0" w:firstLineChars="0"/>
              <w:jc w:val="center"/>
              <w:rPr>
                <w:rFonts w:ascii="宋体"/>
                <w:kern w:val="0"/>
              </w:rPr>
            </w:pPr>
            <w:r>
              <w:rPr>
                <w:rFonts w:hint="eastAsia" w:ascii="宋体" w:hAnsi="宋体" w:cs="宋体"/>
                <w:kern w:val="0"/>
              </w:rPr>
              <w:t>事项名称</w:t>
            </w:r>
          </w:p>
        </w:tc>
        <w:tc>
          <w:tcPr>
            <w:tcW w:w="3923" w:type="pct"/>
            <w:gridSpan w:val="3"/>
            <w:vAlign w:val="center"/>
          </w:tcPr>
          <w:p>
            <w:pPr>
              <w:widowControl/>
              <w:adjustRightInd w:val="0"/>
              <w:snapToGrid w:val="0"/>
              <w:spacing w:line="240" w:lineRule="auto"/>
              <w:ind w:firstLine="0" w:firstLineChars="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申请单位</w:t>
            </w:r>
            <w:r>
              <w:rPr>
                <w:rFonts w:ascii="宋体" w:hAnsi="宋体" w:cs="宋体"/>
                <w:kern w:val="0"/>
              </w:rPr>
              <w:t>/</w:t>
            </w:r>
            <w:r>
              <w:rPr>
                <w:rFonts w:hint="eastAsia" w:ascii="宋体" w:hAnsi="宋体" w:cs="宋体"/>
                <w:kern w:val="0"/>
              </w:rPr>
              <w:t>申请人</w:t>
            </w:r>
          </w:p>
        </w:tc>
        <w:tc>
          <w:tcPr>
            <w:tcW w:w="1350" w:type="pct"/>
            <w:vAlign w:val="center"/>
          </w:tcPr>
          <w:p>
            <w:pPr>
              <w:widowControl/>
              <w:adjustRightInd w:val="0"/>
              <w:snapToGrid w:val="0"/>
              <w:spacing w:line="240" w:lineRule="auto"/>
              <w:ind w:firstLine="0" w:firstLineChars="0"/>
              <w:jc w:val="center"/>
              <w:rPr>
                <w:rFonts w:ascii="宋体"/>
                <w:kern w:val="0"/>
              </w:rPr>
            </w:pPr>
          </w:p>
        </w:tc>
        <w:tc>
          <w:tcPr>
            <w:tcW w:w="8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法人代表</w:t>
            </w:r>
          </w:p>
        </w:tc>
        <w:tc>
          <w:tcPr>
            <w:tcW w:w="1696" w:type="pct"/>
            <w:vAlign w:val="center"/>
          </w:tcPr>
          <w:p>
            <w:pPr>
              <w:widowControl/>
              <w:adjustRightInd w:val="0"/>
              <w:snapToGrid w:val="0"/>
              <w:spacing w:line="300" w:lineRule="exact"/>
              <w:ind w:firstLine="56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adjustRightInd w:val="0"/>
              <w:snapToGrid w:val="0"/>
              <w:spacing w:line="240" w:lineRule="auto"/>
              <w:ind w:firstLine="0" w:firstLineChars="0"/>
              <w:jc w:val="center"/>
              <w:rPr>
                <w:rFonts w:ascii="宋体" w:hAnsi="宋体" w:cs="宋体"/>
                <w:kern w:val="0"/>
              </w:rPr>
            </w:pPr>
            <w:r>
              <w:rPr>
                <w:rFonts w:hint="eastAsia" w:ascii="宋体" w:hAnsi="宋体" w:cs="宋体"/>
                <w:kern w:val="0"/>
              </w:rPr>
              <w:t>项目名称</w:t>
            </w:r>
          </w:p>
        </w:tc>
        <w:tc>
          <w:tcPr>
            <w:tcW w:w="3923" w:type="pct"/>
            <w:gridSpan w:val="3"/>
            <w:vAlign w:val="center"/>
          </w:tcPr>
          <w:p>
            <w:pPr>
              <w:widowControl/>
              <w:adjustRightInd w:val="0"/>
              <w:snapToGrid w:val="0"/>
              <w:spacing w:line="240" w:lineRule="auto"/>
              <w:ind w:firstLine="0" w:firstLineChars="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adjustRightInd w:val="0"/>
              <w:snapToGrid w:val="0"/>
              <w:spacing w:line="240" w:lineRule="auto"/>
              <w:ind w:firstLine="0" w:firstLineChars="0"/>
              <w:jc w:val="center"/>
              <w:rPr>
                <w:rFonts w:ascii="宋体" w:hAnsi="宋体" w:cs="宋体"/>
                <w:kern w:val="0"/>
              </w:rPr>
            </w:pPr>
            <w:r>
              <w:rPr>
                <w:rFonts w:hint="eastAsia" w:ascii="宋体" w:hAnsi="宋体" w:cs="宋体"/>
                <w:kern w:val="0"/>
              </w:rPr>
              <w:t>审批方式</w:t>
            </w:r>
          </w:p>
        </w:tc>
        <w:tc>
          <w:tcPr>
            <w:tcW w:w="2227" w:type="pct"/>
            <w:gridSpan w:val="2"/>
            <w:vAlign w:val="center"/>
          </w:tcPr>
          <w:p>
            <w:pPr>
              <w:widowControl/>
              <w:adjustRightInd w:val="0"/>
              <w:snapToGrid w:val="0"/>
              <w:spacing w:line="240" w:lineRule="auto"/>
              <w:ind w:firstLine="0" w:firstLineChars="0"/>
              <w:jc w:val="center"/>
              <w:rPr>
                <w:rFonts w:ascii="宋体" w:hAnsi="宋体" w:cs="宋体"/>
                <w:kern w:val="0"/>
              </w:rPr>
            </w:pPr>
            <w:r>
              <w:rPr>
                <w:rFonts w:hint="eastAsia" w:ascii="宋体" w:hAnsi="宋体" w:cs="宋体"/>
                <w:kern w:val="0"/>
              </w:rPr>
              <w:t>审批告知承诺</w:t>
            </w:r>
            <w:r>
              <w:rPr>
                <w:rFonts w:hint="eastAsia" w:ascii="宋体" w:hAnsi="宋体"/>
                <w:kern w:val="0"/>
              </w:rPr>
              <w:t>□</w:t>
            </w:r>
          </w:p>
        </w:tc>
        <w:tc>
          <w:tcPr>
            <w:tcW w:w="1696" w:type="pct"/>
            <w:vAlign w:val="center"/>
          </w:tcPr>
          <w:p>
            <w:pPr>
              <w:widowControl/>
              <w:adjustRightInd w:val="0"/>
              <w:snapToGrid w:val="0"/>
              <w:spacing w:line="300" w:lineRule="exact"/>
              <w:ind w:firstLine="560"/>
              <w:jc w:val="center"/>
              <w:rPr>
                <w:rFonts w:ascii="宋体"/>
                <w:kern w:val="0"/>
              </w:rPr>
            </w:pPr>
            <w:r>
              <w:rPr>
                <w:rFonts w:hint="eastAsia" w:ascii="宋体"/>
                <w:kern w:val="0"/>
              </w:rPr>
              <w:t>正常审批</w:t>
            </w:r>
            <w:r>
              <w:rPr>
                <w:rFonts w:hint="eastAsia" w:ascii="宋体" w:hAnsi="宋体"/>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0" w:hRule="atLeast"/>
          <w:jc w:val="center"/>
        </w:trPr>
        <w:tc>
          <w:tcPr>
            <w:tcW w:w="10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组织机构统一</w:t>
            </w:r>
          </w:p>
          <w:p>
            <w:pPr>
              <w:widowControl/>
              <w:adjustRightInd w:val="0"/>
              <w:snapToGrid w:val="0"/>
              <w:spacing w:line="240" w:lineRule="auto"/>
              <w:ind w:firstLine="0" w:firstLineChars="0"/>
              <w:jc w:val="center"/>
              <w:rPr>
                <w:rFonts w:ascii="宋体"/>
                <w:kern w:val="0"/>
              </w:rPr>
            </w:pPr>
            <w:r>
              <w:rPr>
                <w:rFonts w:hint="eastAsia" w:ascii="宋体" w:hAnsi="宋体" w:cs="宋体"/>
                <w:kern w:val="0"/>
              </w:rPr>
              <w:t>社会信用代码</w:t>
            </w:r>
          </w:p>
          <w:p>
            <w:pPr>
              <w:widowControl/>
              <w:adjustRightInd w:val="0"/>
              <w:snapToGrid w:val="0"/>
              <w:spacing w:line="240" w:lineRule="auto"/>
              <w:ind w:firstLine="0" w:firstLineChars="0"/>
              <w:jc w:val="center"/>
              <w:rPr>
                <w:rFonts w:ascii="宋体"/>
                <w:kern w:val="0"/>
              </w:rPr>
            </w:pPr>
            <w:r>
              <w:rPr>
                <w:rFonts w:ascii="宋体" w:hAnsi="宋体" w:cs="宋体"/>
                <w:kern w:val="0"/>
              </w:rPr>
              <w:t>/</w:t>
            </w:r>
            <w:r>
              <w:rPr>
                <w:rFonts w:hint="eastAsia" w:ascii="宋体" w:hAnsi="宋体" w:cs="宋体"/>
              </w:rPr>
              <w:t>居民</w:t>
            </w:r>
            <w:r>
              <w:rPr>
                <w:rFonts w:hint="eastAsia" w:ascii="宋体" w:hAnsi="宋体" w:cs="宋体"/>
                <w:kern w:val="0"/>
              </w:rPr>
              <w:t>身份证号</w:t>
            </w:r>
          </w:p>
        </w:tc>
        <w:tc>
          <w:tcPr>
            <w:tcW w:w="3923" w:type="pct"/>
            <w:gridSpan w:val="3"/>
            <w:vAlign w:val="center"/>
          </w:tcPr>
          <w:p>
            <w:pPr>
              <w:adjustRightInd w:val="0"/>
              <w:snapToGrid w:val="0"/>
              <w:spacing w:line="240" w:lineRule="auto"/>
              <w:ind w:firstLine="0" w:firstLineChars="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10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联系人</w:t>
            </w:r>
          </w:p>
        </w:tc>
        <w:tc>
          <w:tcPr>
            <w:tcW w:w="1350" w:type="pct"/>
            <w:vAlign w:val="center"/>
          </w:tcPr>
          <w:p>
            <w:pPr>
              <w:widowControl/>
              <w:adjustRightInd w:val="0"/>
              <w:snapToGrid w:val="0"/>
              <w:spacing w:line="240" w:lineRule="auto"/>
              <w:ind w:firstLine="0" w:firstLineChars="0"/>
              <w:jc w:val="center"/>
              <w:rPr>
                <w:rFonts w:ascii="宋体"/>
                <w:kern w:val="0"/>
              </w:rPr>
            </w:pPr>
          </w:p>
        </w:tc>
        <w:tc>
          <w:tcPr>
            <w:tcW w:w="8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联系电话</w:t>
            </w:r>
          </w:p>
        </w:tc>
        <w:tc>
          <w:tcPr>
            <w:tcW w:w="1696" w:type="pct"/>
            <w:vAlign w:val="center"/>
          </w:tcPr>
          <w:p>
            <w:pPr>
              <w:widowControl/>
              <w:adjustRightInd w:val="0"/>
              <w:snapToGrid w:val="0"/>
              <w:spacing w:line="300" w:lineRule="exact"/>
              <w:ind w:firstLine="56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5" w:hRule="atLeast"/>
          <w:jc w:val="center"/>
        </w:trPr>
        <w:tc>
          <w:tcPr>
            <w:tcW w:w="1077" w:type="pct"/>
            <w:vAlign w:val="center"/>
          </w:tcPr>
          <w:p>
            <w:pPr>
              <w:adjustRightInd w:val="0"/>
              <w:snapToGrid w:val="0"/>
              <w:spacing w:line="240" w:lineRule="auto"/>
              <w:ind w:firstLine="0" w:firstLineChars="0"/>
              <w:jc w:val="center"/>
              <w:rPr>
                <w:rFonts w:ascii="宋体"/>
              </w:rPr>
            </w:pPr>
            <w:r>
              <w:rPr>
                <w:rFonts w:hint="eastAsia" w:ascii="宋体" w:hAnsi="宋体" w:cs="宋体"/>
              </w:rPr>
              <w:t>受理意见</w:t>
            </w:r>
          </w:p>
        </w:tc>
        <w:tc>
          <w:tcPr>
            <w:tcW w:w="3923" w:type="pct"/>
            <w:gridSpan w:val="3"/>
            <w:vAlign w:val="center"/>
          </w:tcPr>
          <w:p>
            <w:pPr>
              <w:adjustRightInd w:val="0"/>
              <w:snapToGrid w:val="0"/>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5" w:hRule="atLeast"/>
          <w:jc w:val="center"/>
        </w:trPr>
        <w:tc>
          <w:tcPr>
            <w:tcW w:w="1077" w:type="pct"/>
            <w:vAlign w:val="center"/>
          </w:tcPr>
          <w:p>
            <w:pPr>
              <w:adjustRightInd w:val="0"/>
              <w:snapToGrid w:val="0"/>
              <w:spacing w:line="240" w:lineRule="auto"/>
              <w:ind w:firstLine="0" w:firstLineChars="0"/>
              <w:jc w:val="center"/>
              <w:rPr>
                <w:rFonts w:ascii="宋体"/>
              </w:rPr>
            </w:pPr>
            <w:r>
              <w:rPr>
                <w:rFonts w:hint="eastAsia" w:ascii="宋体" w:hAnsi="宋体" w:cs="宋体"/>
                <w:kern w:val="0"/>
              </w:rPr>
              <w:t>承诺办理时限</w:t>
            </w:r>
          </w:p>
        </w:tc>
        <w:tc>
          <w:tcPr>
            <w:tcW w:w="3923" w:type="pct"/>
            <w:gridSpan w:val="3"/>
            <w:vAlign w:val="center"/>
          </w:tcPr>
          <w:p>
            <w:pPr>
              <w:adjustRightInd w:val="0"/>
              <w:snapToGrid w:val="0"/>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7" w:hRule="atLeast"/>
          <w:jc w:val="center"/>
        </w:trPr>
        <w:tc>
          <w:tcPr>
            <w:tcW w:w="1077" w:type="pct"/>
            <w:vAlign w:val="center"/>
          </w:tcPr>
          <w:p>
            <w:pPr>
              <w:adjustRightInd w:val="0"/>
              <w:snapToGrid w:val="0"/>
              <w:spacing w:line="240" w:lineRule="auto"/>
              <w:ind w:firstLine="0" w:firstLineChars="0"/>
              <w:jc w:val="center"/>
              <w:rPr>
                <w:rFonts w:ascii="宋体"/>
              </w:rPr>
            </w:pPr>
            <w:r>
              <w:rPr>
                <w:rFonts w:hint="eastAsia" w:ascii="宋体" w:hAnsi="宋体" w:cs="宋体"/>
              </w:rPr>
              <w:t>受理经办人及</w:t>
            </w:r>
          </w:p>
          <w:p>
            <w:pPr>
              <w:adjustRightInd w:val="0"/>
              <w:snapToGrid w:val="0"/>
              <w:spacing w:line="240" w:lineRule="auto"/>
              <w:ind w:firstLine="0" w:firstLineChars="0"/>
              <w:jc w:val="center"/>
              <w:rPr>
                <w:rFonts w:ascii="宋体"/>
              </w:rPr>
            </w:pPr>
            <w:r>
              <w:rPr>
                <w:rFonts w:hint="eastAsia" w:ascii="宋体" w:hAnsi="宋体" w:cs="宋体"/>
              </w:rPr>
              <w:t>执法证号</w:t>
            </w:r>
          </w:p>
        </w:tc>
        <w:tc>
          <w:tcPr>
            <w:tcW w:w="1350" w:type="pct"/>
            <w:vAlign w:val="center"/>
          </w:tcPr>
          <w:p>
            <w:pPr>
              <w:adjustRightInd w:val="0"/>
              <w:snapToGrid w:val="0"/>
              <w:spacing w:line="240" w:lineRule="auto"/>
              <w:ind w:firstLine="0" w:firstLineChars="0"/>
              <w:jc w:val="center"/>
              <w:rPr>
                <w:rFonts w:ascii="宋体"/>
              </w:rPr>
            </w:pPr>
          </w:p>
        </w:tc>
        <w:tc>
          <w:tcPr>
            <w:tcW w:w="877" w:type="pct"/>
            <w:vAlign w:val="center"/>
          </w:tcPr>
          <w:p>
            <w:pPr>
              <w:adjustRightInd w:val="0"/>
              <w:snapToGrid w:val="0"/>
              <w:spacing w:line="240" w:lineRule="auto"/>
              <w:ind w:firstLine="0" w:firstLineChars="0"/>
              <w:jc w:val="center"/>
              <w:rPr>
                <w:rFonts w:ascii="宋体"/>
              </w:rPr>
            </w:pPr>
            <w:r>
              <w:rPr>
                <w:rFonts w:hint="eastAsia" w:ascii="宋体" w:hAnsi="宋体" w:cs="宋体"/>
              </w:rPr>
              <w:t>联系电话</w:t>
            </w:r>
          </w:p>
        </w:tc>
        <w:tc>
          <w:tcPr>
            <w:tcW w:w="1696" w:type="pct"/>
            <w:vAlign w:val="center"/>
          </w:tcPr>
          <w:p>
            <w:pPr>
              <w:adjustRightInd w:val="0"/>
              <w:snapToGrid w:val="0"/>
              <w:ind w:firstLine="700" w:firstLineChars="250"/>
              <w:jc w:val="center"/>
              <w:rPr>
                <w:rFonts w:ascii="宋体"/>
              </w:rPr>
            </w:pPr>
          </w:p>
        </w:tc>
      </w:tr>
    </w:tbl>
    <w:p>
      <w:pPr>
        <w:adjustRightInd w:val="0"/>
        <w:snapToGrid w:val="0"/>
        <w:ind w:firstLine="0" w:firstLineChars="0"/>
        <w:rPr>
          <w:rFonts w:ascii="宋体" w:hAnsi="宋体" w:cs="宋体"/>
          <w:sz w:val="24"/>
          <w:szCs w:val="20"/>
        </w:rPr>
      </w:pPr>
      <w:r>
        <w:rPr>
          <w:rFonts w:hint="eastAsia" w:ascii="宋体" w:hAnsi="宋体" w:cs="宋体"/>
          <w:sz w:val="24"/>
          <w:szCs w:val="20"/>
        </w:rPr>
        <w:t>注：本受理通知单一式二份，受理机关、建设单位各留存一份。</w:t>
      </w:r>
    </w:p>
    <w:p>
      <w:pPr>
        <w:adjustRightInd w:val="0"/>
        <w:snapToGrid w:val="0"/>
        <w:ind w:firstLine="560"/>
        <w:rPr>
          <w:rFonts w:ascii="宋体" w:cs="宋体"/>
        </w:rPr>
      </w:pPr>
    </w:p>
    <w:p>
      <w:pPr>
        <w:adjustRightInd w:val="0"/>
        <w:snapToGrid w:val="0"/>
        <w:ind w:firstLine="560"/>
        <w:rPr>
          <w:rFonts w:ascii="宋体" w:cs="宋体"/>
        </w:rPr>
      </w:pPr>
    </w:p>
    <w:p>
      <w:pPr>
        <w:adjustRightInd w:val="0"/>
        <w:snapToGrid w:val="0"/>
        <w:ind w:firstLine="7000" w:firstLineChars="2500"/>
        <w:rPr>
          <w:rFonts w:ascii="宋体"/>
        </w:rPr>
      </w:pPr>
      <w:r>
        <w:rPr>
          <w:rFonts w:hint="eastAsia" w:ascii="宋体" w:hAnsi="宋体" w:cs="宋体"/>
        </w:rPr>
        <w:t>（单位公章）</w:t>
      </w:r>
    </w:p>
    <w:p>
      <w:pPr>
        <w:adjustRightInd w:val="0"/>
        <w:snapToGrid w:val="0"/>
        <w:ind w:firstLine="6720" w:firstLineChars="2400"/>
        <w:rPr>
          <w:rFonts w:ascii="黑体" w:hAnsi="黑体" w:eastAsia="黑体"/>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adjustRightInd w:val="0"/>
        <w:snapToGrid w:val="0"/>
        <w:ind w:firstLine="560"/>
        <w:jc w:val="left"/>
        <w:rPr>
          <w:rFonts w:ascii="黑体" w:hAnsi="黑体" w:eastAsia="黑体" w:cs="黑体"/>
          <w:szCs w:val="28"/>
        </w:rPr>
        <w:sectPr>
          <w:footerReference r:id="rId20" w:type="default"/>
          <w:pgSz w:w="11906" w:h="16838"/>
          <w:pgMar w:top="1418" w:right="1134" w:bottom="1134" w:left="1418" w:header="851" w:footer="992" w:gutter="0"/>
          <w:pgNumType w:fmt="decimal"/>
          <w:cols w:space="425" w:num="1"/>
          <w:docGrid w:type="linesAndChars" w:linePitch="312" w:charSpace="0"/>
        </w:sectPr>
      </w:pPr>
    </w:p>
    <w:p>
      <w:pPr>
        <w:keepNext/>
        <w:keepLines/>
        <w:widowControl/>
        <w:ind w:firstLine="0" w:firstLineChars="0"/>
        <w:outlineLvl w:val="0"/>
        <w:rPr>
          <w:rFonts w:eastAsia="黑体"/>
          <w:kern w:val="44"/>
          <w:szCs w:val="32"/>
        </w:rPr>
      </w:pPr>
      <w:bookmarkStart w:id="295" w:name="_Toc30658"/>
      <w:bookmarkStart w:id="296" w:name="_Toc130124953"/>
      <w:bookmarkStart w:id="297" w:name="_Toc130125914"/>
      <w:bookmarkStart w:id="298" w:name="_Toc14448"/>
      <w:r>
        <w:rPr>
          <w:rFonts w:hint="eastAsia" w:eastAsia="黑体"/>
          <w:kern w:val="44"/>
          <w:szCs w:val="32"/>
        </w:rPr>
        <w:t>附件6：</w:t>
      </w:r>
      <w:bookmarkEnd w:id="295"/>
      <w:bookmarkEnd w:id="296"/>
      <w:bookmarkEnd w:id="297"/>
      <w:bookmarkEnd w:id="298"/>
    </w:p>
    <w:p>
      <w:pPr>
        <w:adjustRightInd w:val="0"/>
        <w:snapToGrid w:val="0"/>
        <w:spacing w:line="400" w:lineRule="exact"/>
        <w:ind w:firstLine="0" w:firstLineChars="0"/>
        <w:jc w:val="center"/>
        <w:rPr>
          <w:rFonts w:ascii="方正小标宋_GBK" w:hAnsi="方正小标宋_GBK" w:eastAsia="方正小标宋_GBK" w:cs="方正小标宋_GBK"/>
          <w:bCs/>
          <w:sz w:val="32"/>
          <w:szCs w:val="32"/>
        </w:rPr>
      </w:pPr>
      <w:r>
        <w:rPr>
          <w:rFonts w:hint="eastAsia" w:ascii="方正小标宋_GBK" w:hAnsi="方正小标宋_GBK" w:eastAsia="方正小标宋_GBK" w:cs="方正小标宋_GBK"/>
          <w:bCs/>
          <w:sz w:val="32"/>
          <w:szCs w:val="32"/>
        </w:rPr>
        <w:t>昆明市生态环境局行政许可不予受理通知单</w:t>
      </w:r>
    </w:p>
    <w:p>
      <w:pPr>
        <w:adjustRightInd w:val="0"/>
        <w:snapToGrid w:val="0"/>
        <w:ind w:firstLine="0" w:firstLineChars="0"/>
      </w:pPr>
      <w:r>
        <w:rPr>
          <w:rFonts w:hint="eastAsia"/>
        </w:rPr>
        <w:t>编号：</w:t>
      </w:r>
      <w:r>
        <w:t>20</w:t>
      </w:r>
      <w:r>
        <w:rPr>
          <w:rFonts w:hint="eastAsia"/>
          <w:lang w:val="en-US" w:eastAsia="zh-CN"/>
        </w:rPr>
        <w:t>xx</w:t>
      </w:r>
      <w:r>
        <w:t xml:space="preserve"> </w:t>
      </w:r>
      <w:r>
        <w:rPr>
          <w:rFonts w:ascii="宋体" w:cs="宋体"/>
          <w:kern w:val="0"/>
        </w:rPr>
        <w:t>-</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61"/>
        <w:gridCol w:w="2584"/>
        <w:gridCol w:w="1679"/>
        <w:gridCol w:w="32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0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申请行政许可</w:t>
            </w:r>
          </w:p>
          <w:p>
            <w:pPr>
              <w:widowControl/>
              <w:adjustRightInd w:val="0"/>
              <w:snapToGrid w:val="0"/>
              <w:spacing w:line="240" w:lineRule="auto"/>
              <w:ind w:firstLine="0" w:firstLineChars="0"/>
              <w:jc w:val="center"/>
              <w:rPr>
                <w:rFonts w:ascii="宋体"/>
                <w:kern w:val="0"/>
              </w:rPr>
            </w:pPr>
            <w:r>
              <w:rPr>
                <w:rFonts w:hint="eastAsia" w:ascii="宋体" w:hAnsi="宋体" w:cs="宋体"/>
                <w:kern w:val="0"/>
              </w:rPr>
              <w:t>事项名称</w:t>
            </w:r>
          </w:p>
        </w:tc>
        <w:tc>
          <w:tcPr>
            <w:tcW w:w="3923" w:type="pct"/>
            <w:gridSpan w:val="3"/>
            <w:vAlign w:val="center"/>
          </w:tcPr>
          <w:p>
            <w:pPr>
              <w:widowControl/>
              <w:adjustRightInd w:val="0"/>
              <w:snapToGrid w:val="0"/>
              <w:spacing w:line="240" w:lineRule="auto"/>
              <w:ind w:firstLine="0" w:firstLineChars="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申请单位</w:t>
            </w:r>
            <w:r>
              <w:rPr>
                <w:rFonts w:ascii="宋体" w:hAnsi="宋体" w:cs="宋体"/>
                <w:kern w:val="0"/>
              </w:rPr>
              <w:t>/</w:t>
            </w:r>
            <w:r>
              <w:rPr>
                <w:rFonts w:hint="eastAsia" w:ascii="宋体" w:hAnsi="宋体" w:cs="宋体"/>
                <w:kern w:val="0"/>
              </w:rPr>
              <w:t>申请人</w:t>
            </w:r>
          </w:p>
        </w:tc>
        <w:tc>
          <w:tcPr>
            <w:tcW w:w="1350" w:type="pct"/>
            <w:vAlign w:val="center"/>
          </w:tcPr>
          <w:p>
            <w:pPr>
              <w:widowControl/>
              <w:adjustRightInd w:val="0"/>
              <w:snapToGrid w:val="0"/>
              <w:spacing w:line="240" w:lineRule="auto"/>
              <w:ind w:firstLine="0" w:firstLineChars="0"/>
              <w:jc w:val="center"/>
              <w:rPr>
                <w:rFonts w:ascii="宋体"/>
                <w:kern w:val="0"/>
              </w:rPr>
            </w:pPr>
          </w:p>
        </w:tc>
        <w:tc>
          <w:tcPr>
            <w:tcW w:w="8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法人代表</w:t>
            </w:r>
          </w:p>
        </w:tc>
        <w:tc>
          <w:tcPr>
            <w:tcW w:w="1696" w:type="pct"/>
            <w:vAlign w:val="center"/>
          </w:tcPr>
          <w:p>
            <w:pPr>
              <w:widowControl/>
              <w:adjustRightInd w:val="0"/>
              <w:snapToGrid w:val="0"/>
              <w:spacing w:line="300" w:lineRule="exact"/>
              <w:ind w:firstLine="56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adjustRightInd w:val="0"/>
              <w:snapToGrid w:val="0"/>
              <w:spacing w:line="240" w:lineRule="auto"/>
              <w:ind w:firstLine="0" w:firstLineChars="0"/>
              <w:jc w:val="center"/>
              <w:rPr>
                <w:rFonts w:ascii="宋体" w:hAnsi="宋体" w:cs="宋体"/>
                <w:kern w:val="0"/>
              </w:rPr>
            </w:pPr>
            <w:r>
              <w:rPr>
                <w:rFonts w:hint="eastAsia" w:ascii="宋体" w:hAnsi="宋体" w:cs="宋体"/>
                <w:kern w:val="0"/>
              </w:rPr>
              <w:t>项目名称</w:t>
            </w:r>
          </w:p>
        </w:tc>
        <w:tc>
          <w:tcPr>
            <w:tcW w:w="3923" w:type="pct"/>
            <w:gridSpan w:val="3"/>
            <w:vAlign w:val="center"/>
          </w:tcPr>
          <w:p>
            <w:pPr>
              <w:widowControl/>
              <w:adjustRightInd w:val="0"/>
              <w:snapToGrid w:val="0"/>
              <w:spacing w:line="240" w:lineRule="auto"/>
              <w:ind w:firstLine="0" w:firstLineChars="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adjustRightInd w:val="0"/>
              <w:snapToGrid w:val="0"/>
              <w:spacing w:line="240" w:lineRule="auto"/>
              <w:ind w:firstLine="0" w:firstLineChars="0"/>
              <w:jc w:val="center"/>
              <w:rPr>
                <w:rFonts w:ascii="宋体" w:hAnsi="宋体" w:cs="宋体"/>
                <w:kern w:val="0"/>
              </w:rPr>
            </w:pPr>
            <w:r>
              <w:rPr>
                <w:rFonts w:hint="eastAsia" w:ascii="宋体" w:hAnsi="宋体" w:cs="宋体"/>
                <w:kern w:val="0"/>
              </w:rPr>
              <w:t>审批方式</w:t>
            </w:r>
          </w:p>
        </w:tc>
        <w:tc>
          <w:tcPr>
            <w:tcW w:w="2227" w:type="pct"/>
            <w:gridSpan w:val="2"/>
            <w:vAlign w:val="center"/>
          </w:tcPr>
          <w:p>
            <w:pPr>
              <w:widowControl/>
              <w:adjustRightInd w:val="0"/>
              <w:snapToGrid w:val="0"/>
              <w:spacing w:line="240" w:lineRule="auto"/>
              <w:ind w:firstLine="0" w:firstLineChars="0"/>
              <w:jc w:val="center"/>
              <w:rPr>
                <w:rFonts w:ascii="宋体" w:hAnsi="宋体" w:cs="宋体"/>
                <w:kern w:val="0"/>
              </w:rPr>
            </w:pPr>
            <w:r>
              <w:rPr>
                <w:rFonts w:hint="eastAsia" w:ascii="宋体" w:hAnsi="宋体" w:cs="宋体"/>
                <w:kern w:val="0"/>
              </w:rPr>
              <w:t>审批告知承诺</w:t>
            </w:r>
            <w:r>
              <w:rPr>
                <w:rFonts w:hint="eastAsia" w:ascii="宋体" w:hAnsi="宋体"/>
                <w:kern w:val="0"/>
              </w:rPr>
              <w:t>□</w:t>
            </w:r>
          </w:p>
        </w:tc>
        <w:tc>
          <w:tcPr>
            <w:tcW w:w="1696" w:type="pct"/>
            <w:vAlign w:val="center"/>
          </w:tcPr>
          <w:p>
            <w:pPr>
              <w:widowControl/>
              <w:adjustRightInd w:val="0"/>
              <w:snapToGrid w:val="0"/>
              <w:spacing w:line="300" w:lineRule="exact"/>
              <w:ind w:firstLine="560"/>
              <w:jc w:val="center"/>
              <w:rPr>
                <w:rFonts w:ascii="宋体"/>
                <w:kern w:val="0"/>
              </w:rPr>
            </w:pPr>
            <w:r>
              <w:rPr>
                <w:rFonts w:hint="eastAsia" w:ascii="宋体"/>
                <w:kern w:val="0"/>
              </w:rPr>
              <w:t>正常审批</w:t>
            </w:r>
            <w:r>
              <w:rPr>
                <w:rFonts w:hint="eastAsia" w:ascii="宋体" w:hAnsi="宋体"/>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0" w:hRule="atLeast"/>
          <w:jc w:val="center"/>
        </w:trPr>
        <w:tc>
          <w:tcPr>
            <w:tcW w:w="10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组织机构统一</w:t>
            </w:r>
          </w:p>
          <w:p>
            <w:pPr>
              <w:widowControl/>
              <w:adjustRightInd w:val="0"/>
              <w:snapToGrid w:val="0"/>
              <w:spacing w:line="240" w:lineRule="auto"/>
              <w:ind w:firstLine="0" w:firstLineChars="0"/>
              <w:jc w:val="center"/>
              <w:rPr>
                <w:rFonts w:ascii="宋体"/>
                <w:kern w:val="0"/>
              </w:rPr>
            </w:pPr>
            <w:r>
              <w:rPr>
                <w:rFonts w:hint="eastAsia" w:ascii="宋体" w:hAnsi="宋体" w:cs="宋体"/>
                <w:kern w:val="0"/>
              </w:rPr>
              <w:t>社会信用代码</w:t>
            </w:r>
          </w:p>
          <w:p>
            <w:pPr>
              <w:widowControl/>
              <w:adjustRightInd w:val="0"/>
              <w:snapToGrid w:val="0"/>
              <w:spacing w:line="240" w:lineRule="auto"/>
              <w:ind w:firstLine="0" w:firstLineChars="0"/>
              <w:jc w:val="center"/>
              <w:rPr>
                <w:rFonts w:ascii="宋体"/>
                <w:kern w:val="0"/>
              </w:rPr>
            </w:pPr>
            <w:r>
              <w:rPr>
                <w:rFonts w:ascii="宋体" w:hAnsi="宋体" w:cs="宋体"/>
                <w:kern w:val="0"/>
              </w:rPr>
              <w:t>/</w:t>
            </w:r>
            <w:r>
              <w:rPr>
                <w:rFonts w:hint="eastAsia" w:ascii="宋体" w:hAnsi="宋体" w:cs="宋体"/>
              </w:rPr>
              <w:t>居民</w:t>
            </w:r>
            <w:r>
              <w:rPr>
                <w:rFonts w:hint="eastAsia" w:ascii="宋体" w:hAnsi="宋体" w:cs="宋体"/>
                <w:kern w:val="0"/>
              </w:rPr>
              <w:t>身份证号</w:t>
            </w:r>
          </w:p>
        </w:tc>
        <w:tc>
          <w:tcPr>
            <w:tcW w:w="3923" w:type="pct"/>
            <w:gridSpan w:val="3"/>
            <w:vAlign w:val="center"/>
          </w:tcPr>
          <w:p>
            <w:pPr>
              <w:adjustRightInd w:val="0"/>
              <w:snapToGrid w:val="0"/>
              <w:spacing w:line="240" w:lineRule="auto"/>
              <w:ind w:firstLine="0" w:firstLineChars="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10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联系人</w:t>
            </w:r>
          </w:p>
        </w:tc>
        <w:tc>
          <w:tcPr>
            <w:tcW w:w="1350" w:type="pct"/>
            <w:vAlign w:val="center"/>
          </w:tcPr>
          <w:p>
            <w:pPr>
              <w:widowControl/>
              <w:adjustRightInd w:val="0"/>
              <w:snapToGrid w:val="0"/>
              <w:spacing w:line="240" w:lineRule="auto"/>
              <w:ind w:firstLine="0" w:firstLineChars="0"/>
              <w:jc w:val="center"/>
              <w:rPr>
                <w:rFonts w:ascii="宋体"/>
                <w:kern w:val="0"/>
              </w:rPr>
            </w:pPr>
          </w:p>
        </w:tc>
        <w:tc>
          <w:tcPr>
            <w:tcW w:w="8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联系电话</w:t>
            </w:r>
          </w:p>
        </w:tc>
        <w:tc>
          <w:tcPr>
            <w:tcW w:w="1696" w:type="pct"/>
            <w:vAlign w:val="center"/>
          </w:tcPr>
          <w:p>
            <w:pPr>
              <w:widowControl/>
              <w:adjustRightInd w:val="0"/>
              <w:snapToGrid w:val="0"/>
              <w:spacing w:line="300" w:lineRule="exact"/>
              <w:ind w:firstLine="56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2" w:hRule="atLeast"/>
          <w:jc w:val="center"/>
        </w:trPr>
        <w:tc>
          <w:tcPr>
            <w:tcW w:w="1077" w:type="pct"/>
            <w:vAlign w:val="center"/>
          </w:tcPr>
          <w:p>
            <w:pPr>
              <w:adjustRightInd w:val="0"/>
              <w:snapToGrid w:val="0"/>
              <w:spacing w:line="240" w:lineRule="auto"/>
              <w:ind w:firstLine="0" w:firstLineChars="0"/>
              <w:jc w:val="center"/>
              <w:rPr>
                <w:rFonts w:ascii="宋体" w:hAnsi="宋体" w:cs="宋体"/>
              </w:rPr>
            </w:pPr>
            <w:r>
              <w:rPr>
                <w:rFonts w:hint="eastAsia" w:ascii="宋体" w:hAnsi="宋体" w:cs="宋体"/>
              </w:rPr>
              <w:t>不予受理意见</w:t>
            </w:r>
          </w:p>
          <w:p>
            <w:pPr>
              <w:adjustRightInd w:val="0"/>
              <w:snapToGrid w:val="0"/>
              <w:spacing w:line="240" w:lineRule="auto"/>
              <w:ind w:firstLine="0" w:firstLineChars="0"/>
              <w:jc w:val="center"/>
              <w:rPr>
                <w:rFonts w:ascii="宋体" w:hAnsi="宋体" w:cs="宋体"/>
              </w:rPr>
            </w:pPr>
            <w:r>
              <w:rPr>
                <w:rFonts w:hint="eastAsia" w:ascii="宋体" w:hAnsi="宋体" w:cs="宋体"/>
              </w:rPr>
              <w:t>及原因</w:t>
            </w:r>
          </w:p>
        </w:tc>
        <w:tc>
          <w:tcPr>
            <w:tcW w:w="3923" w:type="pct"/>
            <w:gridSpan w:val="3"/>
            <w:vAlign w:val="center"/>
          </w:tcPr>
          <w:p>
            <w:pPr>
              <w:adjustRightInd w:val="0"/>
              <w:snapToGrid w:val="0"/>
              <w:spacing w:line="240" w:lineRule="auto"/>
              <w:ind w:firstLine="560"/>
            </w:pPr>
            <w:r>
              <w:rPr>
                <w:rFonts w:hint="eastAsia"/>
              </w:rPr>
              <w:t>经审查，你单位向我局提出的（行政许可事项名称）申请及提交的申请材料，经审查，存在《中华人民共和国行政许可法》（及其他有关法律、法规、规章）规定的下列不予受理的情形：</w:t>
            </w:r>
          </w:p>
          <w:p>
            <w:pPr>
              <w:adjustRightInd w:val="0"/>
              <w:snapToGrid w:val="0"/>
              <w:spacing w:line="240" w:lineRule="auto"/>
              <w:ind w:firstLine="560"/>
            </w:pPr>
            <w:r>
              <w:rPr>
                <w:rFonts w:hint="eastAsia"/>
              </w:rPr>
              <w:t xml:space="preserve">根据《中华人民共和国行政许可法》第三十二条第一款第（二）项的规定，我局决定不予受理。 </w:t>
            </w:r>
          </w:p>
          <w:p>
            <w:pPr>
              <w:adjustRightInd w:val="0"/>
              <w:snapToGrid w:val="0"/>
              <w:spacing w:line="240" w:lineRule="auto"/>
              <w:ind w:firstLine="560"/>
            </w:pPr>
            <w:r>
              <w:rPr>
                <w:rFonts w:hint="eastAsia"/>
              </w:rPr>
              <w:t>如你（单位）不服本通知的决定，可以在接到本通知之日起六十日内向昆明市人民政府提起行政复议，也可以在六个月内向呈贡区人民法院提起行政诉讼。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077" w:type="pct"/>
            <w:vAlign w:val="center"/>
          </w:tcPr>
          <w:p>
            <w:pPr>
              <w:adjustRightInd w:val="0"/>
              <w:snapToGrid w:val="0"/>
              <w:spacing w:line="240" w:lineRule="auto"/>
              <w:ind w:firstLine="0" w:firstLineChars="0"/>
              <w:jc w:val="center"/>
              <w:rPr>
                <w:rFonts w:ascii="宋体"/>
              </w:rPr>
            </w:pPr>
            <w:r>
              <w:rPr>
                <w:rFonts w:hint="eastAsia" w:ascii="宋体" w:hAnsi="宋体" w:cs="宋体"/>
                <w:kern w:val="0"/>
              </w:rPr>
              <w:t>承诺办理时限</w:t>
            </w:r>
          </w:p>
        </w:tc>
        <w:tc>
          <w:tcPr>
            <w:tcW w:w="3923" w:type="pct"/>
            <w:gridSpan w:val="3"/>
            <w:vAlign w:val="center"/>
          </w:tcPr>
          <w:p>
            <w:pPr>
              <w:adjustRightInd w:val="0"/>
              <w:snapToGrid w:val="0"/>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2" w:hRule="atLeast"/>
          <w:jc w:val="center"/>
        </w:trPr>
        <w:tc>
          <w:tcPr>
            <w:tcW w:w="1077" w:type="pct"/>
            <w:vAlign w:val="center"/>
          </w:tcPr>
          <w:p>
            <w:pPr>
              <w:adjustRightInd w:val="0"/>
              <w:snapToGrid w:val="0"/>
              <w:spacing w:line="240" w:lineRule="auto"/>
              <w:ind w:firstLine="0" w:firstLineChars="0"/>
              <w:jc w:val="center"/>
              <w:rPr>
                <w:rFonts w:ascii="宋体"/>
              </w:rPr>
            </w:pPr>
            <w:r>
              <w:rPr>
                <w:rFonts w:hint="eastAsia" w:ascii="宋体" w:hAnsi="宋体" w:cs="宋体"/>
              </w:rPr>
              <w:t>受理经办人及</w:t>
            </w:r>
          </w:p>
          <w:p>
            <w:pPr>
              <w:adjustRightInd w:val="0"/>
              <w:snapToGrid w:val="0"/>
              <w:spacing w:line="240" w:lineRule="auto"/>
              <w:ind w:firstLine="0" w:firstLineChars="0"/>
              <w:jc w:val="center"/>
              <w:rPr>
                <w:rFonts w:ascii="宋体"/>
              </w:rPr>
            </w:pPr>
            <w:r>
              <w:rPr>
                <w:rFonts w:hint="eastAsia" w:ascii="宋体" w:hAnsi="宋体" w:cs="宋体"/>
              </w:rPr>
              <w:t>执法证号</w:t>
            </w:r>
          </w:p>
        </w:tc>
        <w:tc>
          <w:tcPr>
            <w:tcW w:w="1350" w:type="pct"/>
            <w:vAlign w:val="center"/>
          </w:tcPr>
          <w:p>
            <w:pPr>
              <w:adjustRightInd w:val="0"/>
              <w:snapToGrid w:val="0"/>
              <w:spacing w:line="240" w:lineRule="auto"/>
              <w:ind w:firstLine="0" w:firstLineChars="0"/>
              <w:jc w:val="center"/>
              <w:rPr>
                <w:rFonts w:ascii="宋体"/>
              </w:rPr>
            </w:pPr>
          </w:p>
        </w:tc>
        <w:tc>
          <w:tcPr>
            <w:tcW w:w="877" w:type="pct"/>
            <w:vAlign w:val="center"/>
          </w:tcPr>
          <w:p>
            <w:pPr>
              <w:adjustRightInd w:val="0"/>
              <w:snapToGrid w:val="0"/>
              <w:spacing w:line="240" w:lineRule="auto"/>
              <w:ind w:firstLine="0" w:firstLineChars="0"/>
              <w:jc w:val="center"/>
              <w:rPr>
                <w:rFonts w:ascii="宋体"/>
              </w:rPr>
            </w:pPr>
            <w:r>
              <w:rPr>
                <w:rFonts w:hint="eastAsia" w:ascii="宋体" w:hAnsi="宋体" w:cs="宋体"/>
              </w:rPr>
              <w:t>联系电话</w:t>
            </w:r>
          </w:p>
        </w:tc>
        <w:tc>
          <w:tcPr>
            <w:tcW w:w="1696" w:type="pct"/>
            <w:vAlign w:val="center"/>
          </w:tcPr>
          <w:p>
            <w:pPr>
              <w:adjustRightInd w:val="0"/>
              <w:snapToGrid w:val="0"/>
              <w:ind w:firstLine="700" w:firstLineChars="250"/>
              <w:jc w:val="center"/>
              <w:rPr>
                <w:rFonts w:ascii="宋体"/>
              </w:rPr>
            </w:pPr>
          </w:p>
        </w:tc>
      </w:tr>
    </w:tbl>
    <w:p>
      <w:pPr>
        <w:adjustRightInd w:val="0"/>
        <w:snapToGrid w:val="0"/>
        <w:ind w:firstLine="0" w:firstLineChars="0"/>
        <w:rPr>
          <w:rFonts w:ascii="宋体" w:hAnsi="宋体" w:cs="宋体"/>
          <w:sz w:val="24"/>
          <w:szCs w:val="20"/>
        </w:rPr>
      </w:pPr>
      <w:r>
        <w:rPr>
          <w:rFonts w:hint="eastAsia" w:ascii="宋体" w:hAnsi="宋体" w:cs="宋体"/>
          <w:sz w:val="24"/>
          <w:szCs w:val="20"/>
        </w:rPr>
        <w:t>注：本不予受理通知单一式二份，审批机关、建设单位各留存一份。</w:t>
      </w:r>
    </w:p>
    <w:p>
      <w:pPr>
        <w:adjustRightInd w:val="0"/>
        <w:snapToGrid w:val="0"/>
        <w:ind w:firstLine="7000" w:firstLineChars="2500"/>
        <w:rPr>
          <w:rFonts w:ascii="宋体" w:hAnsi="宋体" w:cs="宋体"/>
        </w:rPr>
      </w:pPr>
    </w:p>
    <w:p>
      <w:pPr>
        <w:adjustRightInd w:val="0"/>
        <w:snapToGrid w:val="0"/>
        <w:ind w:firstLine="7000" w:firstLineChars="2500"/>
        <w:rPr>
          <w:rFonts w:ascii="宋体"/>
        </w:rPr>
      </w:pPr>
      <w:r>
        <w:rPr>
          <w:rFonts w:hint="eastAsia" w:ascii="宋体" w:hAnsi="宋体" w:cs="宋体"/>
        </w:rPr>
        <w:t>（单位公章）</w:t>
      </w:r>
    </w:p>
    <w:p>
      <w:pPr>
        <w:adjustRightInd w:val="0"/>
        <w:snapToGrid w:val="0"/>
        <w:ind w:firstLine="6720" w:firstLineChars="2400"/>
        <w:rPr>
          <w:rFonts w:ascii="宋体" w:hAnsi="宋体" w:cs="宋体"/>
        </w:rPr>
        <w:sectPr>
          <w:pgSz w:w="11906" w:h="16838"/>
          <w:pgMar w:top="1418" w:right="1134" w:bottom="1134" w:left="1418" w:header="851" w:footer="992" w:gutter="0"/>
          <w:pgNumType w:fmt="decimal"/>
          <w:cols w:space="425" w:num="1"/>
          <w:docGrid w:type="linesAndChars" w:linePitch="312" w:charSpace="0"/>
        </w:sect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keepNext/>
        <w:keepLines/>
        <w:widowControl/>
        <w:ind w:firstLine="0" w:firstLineChars="0"/>
        <w:outlineLvl w:val="0"/>
        <w:rPr>
          <w:rFonts w:eastAsia="黑体"/>
          <w:kern w:val="44"/>
          <w:szCs w:val="32"/>
        </w:rPr>
      </w:pPr>
      <w:bookmarkStart w:id="299" w:name="_Toc130124954"/>
      <w:bookmarkStart w:id="300" w:name="_Toc130125915"/>
      <w:bookmarkStart w:id="301" w:name="_Toc3367"/>
      <w:bookmarkStart w:id="302" w:name="_Toc668"/>
      <w:r>
        <w:rPr>
          <w:rFonts w:hint="eastAsia" w:eastAsia="黑体"/>
          <w:kern w:val="44"/>
          <w:szCs w:val="32"/>
        </w:rPr>
        <w:t>附件7：</w:t>
      </w:r>
      <w:bookmarkEnd w:id="299"/>
      <w:bookmarkEnd w:id="300"/>
      <w:bookmarkEnd w:id="301"/>
      <w:bookmarkEnd w:id="302"/>
    </w:p>
    <w:p>
      <w:pPr>
        <w:adjustRightInd w:val="0"/>
        <w:snapToGrid w:val="0"/>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昆明市生态环境局行政许可申请材料补正通知单</w:t>
      </w:r>
    </w:p>
    <w:p>
      <w:pPr>
        <w:adjustRightInd w:val="0"/>
        <w:snapToGrid w:val="0"/>
        <w:ind w:firstLine="0" w:firstLineChars="0"/>
      </w:pPr>
      <w:r>
        <w:rPr>
          <w:rFonts w:hint="eastAsia"/>
        </w:rPr>
        <w:t>编号：</w:t>
      </w:r>
      <w:r>
        <w:t>20</w:t>
      </w:r>
      <w:r>
        <w:rPr>
          <w:rFonts w:hint="eastAsia"/>
          <w:lang w:val="en-US" w:eastAsia="zh-CN"/>
        </w:rPr>
        <w:t>xx</w:t>
      </w:r>
      <w:r>
        <w:t xml:space="preserve"> </w:t>
      </w:r>
      <w:r>
        <w:rPr>
          <w:rFonts w:ascii="宋体" w:cs="宋体"/>
          <w:kern w:val="0"/>
        </w:rPr>
        <w:t>-</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61"/>
        <w:gridCol w:w="1966"/>
        <w:gridCol w:w="593"/>
        <w:gridCol w:w="274"/>
        <w:gridCol w:w="1426"/>
        <w:gridCol w:w="32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0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申请行政许可</w:t>
            </w:r>
          </w:p>
          <w:p>
            <w:pPr>
              <w:widowControl/>
              <w:adjustRightInd w:val="0"/>
              <w:snapToGrid w:val="0"/>
              <w:spacing w:line="240" w:lineRule="auto"/>
              <w:ind w:firstLine="0" w:firstLineChars="0"/>
              <w:jc w:val="center"/>
              <w:rPr>
                <w:rFonts w:ascii="宋体"/>
                <w:kern w:val="0"/>
              </w:rPr>
            </w:pPr>
            <w:r>
              <w:rPr>
                <w:rFonts w:hint="eastAsia" w:ascii="宋体" w:hAnsi="宋体" w:cs="宋体"/>
                <w:kern w:val="0"/>
              </w:rPr>
              <w:t>事项名称</w:t>
            </w:r>
          </w:p>
        </w:tc>
        <w:tc>
          <w:tcPr>
            <w:tcW w:w="3923" w:type="pct"/>
            <w:gridSpan w:val="5"/>
            <w:vAlign w:val="center"/>
          </w:tcPr>
          <w:p>
            <w:pPr>
              <w:widowControl/>
              <w:adjustRightInd w:val="0"/>
              <w:snapToGrid w:val="0"/>
              <w:spacing w:line="240" w:lineRule="auto"/>
              <w:ind w:firstLine="0" w:firstLineChars="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申请单位</w:t>
            </w:r>
            <w:r>
              <w:rPr>
                <w:rFonts w:ascii="宋体" w:hAnsi="宋体" w:cs="宋体"/>
                <w:kern w:val="0"/>
              </w:rPr>
              <w:t>/</w:t>
            </w:r>
            <w:r>
              <w:rPr>
                <w:rFonts w:hint="eastAsia" w:ascii="宋体" w:hAnsi="宋体" w:cs="宋体"/>
                <w:kern w:val="0"/>
              </w:rPr>
              <w:t>申请人</w:t>
            </w:r>
          </w:p>
        </w:tc>
        <w:tc>
          <w:tcPr>
            <w:tcW w:w="1337" w:type="pct"/>
            <w:gridSpan w:val="2"/>
            <w:vAlign w:val="center"/>
          </w:tcPr>
          <w:p>
            <w:pPr>
              <w:widowControl/>
              <w:adjustRightInd w:val="0"/>
              <w:snapToGrid w:val="0"/>
              <w:spacing w:line="240" w:lineRule="auto"/>
              <w:ind w:firstLine="0" w:firstLineChars="0"/>
              <w:jc w:val="center"/>
              <w:rPr>
                <w:rFonts w:ascii="宋体"/>
                <w:kern w:val="0"/>
              </w:rPr>
            </w:pPr>
          </w:p>
        </w:tc>
        <w:tc>
          <w:tcPr>
            <w:tcW w:w="888" w:type="pct"/>
            <w:gridSpan w:val="2"/>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法人代表</w:t>
            </w:r>
          </w:p>
        </w:tc>
        <w:tc>
          <w:tcPr>
            <w:tcW w:w="1698" w:type="pct"/>
            <w:vAlign w:val="center"/>
          </w:tcPr>
          <w:p>
            <w:pPr>
              <w:widowControl/>
              <w:adjustRightInd w:val="0"/>
              <w:snapToGrid w:val="0"/>
              <w:spacing w:line="300" w:lineRule="exact"/>
              <w:ind w:firstLine="56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0" w:hRule="atLeast"/>
          <w:jc w:val="center"/>
        </w:trPr>
        <w:tc>
          <w:tcPr>
            <w:tcW w:w="10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组织机构统一</w:t>
            </w:r>
          </w:p>
          <w:p>
            <w:pPr>
              <w:widowControl/>
              <w:adjustRightInd w:val="0"/>
              <w:snapToGrid w:val="0"/>
              <w:spacing w:line="240" w:lineRule="auto"/>
              <w:ind w:firstLine="0" w:firstLineChars="0"/>
              <w:jc w:val="center"/>
              <w:rPr>
                <w:rFonts w:ascii="宋体"/>
                <w:kern w:val="0"/>
              </w:rPr>
            </w:pPr>
            <w:r>
              <w:rPr>
                <w:rFonts w:hint="eastAsia" w:ascii="宋体" w:hAnsi="宋体" w:cs="宋体"/>
                <w:kern w:val="0"/>
              </w:rPr>
              <w:t>社会信用代码</w:t>
            </w:r>
          </w:p>
          <w:p>
            <w:pPr>
              <w:widowControl/>
              <w:adjustRightInd w:val="0"/>
              <w:snapToGrid w:val="0"/>
              <w:spacing w:line="240" w:lineRule="auto"/>
              <w:ind w:firstLine="0" w:firstLineChars="0"/>
              <w:jc w:val="center"/>
              <w:rPr>
                <w:rFonts w:ascii="宋体"/>
                <w:kern w:val="0"/>
              </w:rPr>
            </w:pPr>
            <w:r>
              <w:rPr>
                <w:rFonts w:ascii="宋体" w:hAnsi="宋体" w:cs="宋体"/>
                <w:kern w:val="0"/>
              </w:rPr>
              <w:t>/</w:t>
            </w:r>
            <w:r>
              <w:rPr>
                <w:rFonts w:hint="eastAsia" w:ascii="宋体" w:hAnsi="宋体" w:cs="宋体"/>
              </w:rPr>
              <w:t>居民</w:t>
            </w:r>
            <w:r>
              <w:rPr>
                <w:rFonts w:hint="eastAsia" w:ascii="宋体" w:hAnsi="宋体" w:cs="宋体"/>
                <w:kern w:val="0"/>
              </w:rPr>
              <w:t>身份证号</w:t>
            </w:r>
          </w:p>
        </w:tc>
        <w:tc>
          <w:tcPr>
            <w:tcW w:w="3923" w:type="pct"/>
            <w:gridSpan w:val="5"/>
            <w:vAlign w:val="center"/>
          </w:tcPr>
          <w:p>
            <w:pPr>
              <w:adjustRightInd w:val="0"/>
              <w:snapToGrid w:val="0"/>
              <w:spacing w:line="240" w:lineRule="auto"/>
              <w:ind w:firstLine="0" w:firstLineChars="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1077" w:type="pct"/>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联系人</w:t>
            </w:r>
          </w:p>
        </w:tc>
        <w:tc>
          <w:tcPr>
            <w:tcW w:w="1027" w:type="pct"/>
            <w:vAlign w:val="center"/>
          </w:tcPr>
          <w:p>
            <w:pPr>
              <w:widowControl/>
              <w:adjustRightInd w:val="0"/>
              <w:snapToGrid w:val="0"/>
              <w:spacing w:line="240" w:lineRule="auto"/>
              <w:ind w:firstLine="0" w:firstLineChars="0"/>
              <w:jc w:val="center"/>
              <w:rPr>
                <w:rFonts w:ascii="宋体"/>
                <w:kern w:val="0"/>
              </w:rPr>
            </w:pPr>
          </w:p>
        </w:tc>
        <w:tc>
          <w:tcPr>
            <w:tcW w:w="1198" w:type="pct"/>
            <w:gridSpan w:val="3"/>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kern w:val="0"/>
              </w:rPr>
              <w:t>联系电话</w:t>
            </w:r>
          </w:p>
        </w:tc>
        <w:tc>
          <w:tcPr>
            <w:tcW w:w="1698" w:type="pct"/>
            <w:vAlign w:val="center"/>
          </w:tcPr>
          <w:p>
            <w:pPr>
              <w:widowControl/>
              <w:adjustRightInd w:val="0"/>
              <w:snapToGrid w:val="0"/>
              <w:spacing w:line="300" w:lineRule="exact"/>
              <w:ind w:firstLine="56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2" w:hRule="atLeast"/>
          <w:jc w:val="center"/>
        </w:trPr>
        <w:tc>
          <w:tcPr>
            <w:tcW w:w="1077" w:type="pct"/>
            <w:vAlign w:val="center"/>
          </w:tcPr>
          <w:p>
            <w:pPr>
              <w:adjustRightInd w:val="0"/>
              <w:snapToGrid w:val="0"/>
              <w:spacing w:line="240" w:lineRule="auto"/>
              <w:ind w:firstLine="0" w:firstLineChars="0"/>
              <w:jc w:val="center"/>
              <w:rPr>
                <w:rFonts w:ascii="宋体" w:hAnsi="宋体" w:cs="宋体"/>
              </w:rPr>
            </w:pPr>
            <w:r>
              <w:rPr>
                <w:rFonts w:hint="eastAsia" w:ascii="宋体" w:hAnsi="宋体" w:cs="宋体"/>
              </w:rPr>
              <w:t>补正意见</w:t>
            </w:r>
          </w:p>
        </w:tc>
        <w:tc>
          <w:tcPr>
            <w:tcW w:w="3923" w:type="pct"/>
            <w:gridSpan w:val="5"/>
          </w:tcPr>
          <w:p>
            <w:pPr>
              <w:adjustRightInd w:val="0"/>
              <w:snapToGrid w:val="0"/>
              <w:ind w:firstLine="560"/>
            </w:pPr>
          </w:p>
          <w:p>
            <w:pPr>
              <w:adjustRightInd w:val="0"/>
              <w:snapToGrid w:val="0"/>
              <w:ind w:firstLine="560"/>
            </w:pPr>
            <w:r>
              <w:rPr>
                <w:rFonts w:hint="eastAsia"/>
              </w:rPr>
              <w:t>经审查，你（单位）提交的申请材料不齐全/不符合法定形式，请你（单位）补正下列材料后重新申请：</w:t>
            </w:r>
          </w:p>
          <w:p>
            <w:pPr>
              <w:adjustRightInd w:val="0"/>
              <w:snapToGrid w:val="0"/>
              <w:ind w:firstLine="560"/>
            </w:pPr>
            <w:r>
              <w:t>1.</w:t>
            </w:r>
          </w:p>
          <w:p>
            <w:pPr>
              <w:adjustRightInd w:val="0"/>
              <w:snapToGrid w:val="0"/>
              <w:ind w:firstLine="560"/>
            </w:pPr>
            <w:r>
              <w:t>2.</w:t>
            </w:r>
          </w:p>
          <w:p>
            <w:pPr>
              <w:adjustRightInd w:val="0"/>
              <w:snapToGrid w:val="0"/>
              <w:ind w:firstLine="560"/>
            </w:pPr>
            <w:r>
              <w:t>3.</w:t>
            </w:r>
          </w:p>
          <w:p>
            <w:pPr>
              <w:adjustRightInd w:val="0"/>
              <w:snapToGrid w:val="0"/>
              <w:ind w:firstLine="560"/>
            </w:pPr>
            <w:r>
              <w:t>4.</w:t>
            </w:r>
          </w:p>
          <w:p>
            <w:pPr>
              <w:adjustRightInd w:val="0"/>
              <w:snapToGrid w:val="0"/>
              <w:ind w:firstLine="56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7" w:hRule="atLeast"/>
          <w:jc w:val="center"/>
        </w:trPr>
        <w:tc>
          <w:tcPr>
            <w:tcW w:w="1077" w:type="pct"/>
            <w:vAlign w:val="center"/>
          </w:tcPr>
          <w:p>
            <w:pPr>
              <w:adjustRightInd w:val="0"/>
              <w:snapToGrid w:val="0"/>
              <w:spacing w:line="240" w:lineRule="auto"/>
              <w:ind w:firstLine="0" w:firstLineChars="0"/>
              <w:jc w:val="center"/>
              <w:rPr>
                <w:rFonts w:ascii="宋体"/>
              </w:rPr>
            </w:pPr>
            <w:r>
              <w:rPr>
                <w:rFonts w:hint="eastAsia" w:ascii="宋体" w:hAnsi="宋体" w:cs="宋体"/>
              </w:rPr>
              <w:t>补正经办人及</w:t>
            </w:r>
          </w:p>
          <w:p>
            <w:pPr>
              <w:adjustRightInd w:val="0"/>
              <w:snapToGrid w:val="0"/>
              <w:spacing w:line="240" w:lineRule="auto"/>
              <w:ind w:firstLine="0" w:firstLineChars="0"/>
              <w:jc w:val="center"/>
              <w:rPr>
                <w:rFonts w:ascii="宋体"/>
              </w:rPr>
            </w:pPr>
            <w:r>
              <w:rPr>
                <w:rFonts w:hint="eastAsia" w:ascii="宋体" w:hAnsi="宋体" w:cs="宋体"/>
              </w:rPr>
              <w:t>执法证号</w:t>
            </w:r>
          </w:p>
        </w:tc>
        <w:tc>
          <w:tcPr>
            <w:tcW w:w="1480" w:type="pct"/>
            <w:gridSpan w:val="3"/>
            <w:vAlign w:val="center"/>
          </w:tcPr>
          <w:p>
            <w:pPr>
              <w:adjustRightInd w:val="0"/>
              <w:snapToGrid w:val="0"/>
              <w:spacing w:line="240" w:lineRule="auto"/>
              <w:ind w:firstLine="0" w:firstLineChars="0"/>
              <w:jc w:val="center"/>
              <w:rPr>
                <w:rFonts w:ascii="宋体"/>
              </w:rPr>
            </w:pPr>
          </w:p>
        </w:tc>
        <w:tc>
          <w:tcPr>
            <w:tcW w:w="745" w:type="pct"/>
            <w:vAlign w:val="center"/>
          </w:tcPr>
          <w:p>
            <w:pPr>
              <w:adjustRightInd w:val="0"/>
              <w:snapToGrid w:val="0"/>
              <w:spacing w:line="240" w:lineRule="auto"/>
              <w:ind w:firstLine="0" w:firstLineChars="0"/>
              <w:jc w:val="center"/>
              <w:rPr>
                <w:rFonts w:ascii="宋体"/>
              </w:rPr>
            </w:pPr>
            <w:r>
              <w:rPr>
                <w:rFonts w:hint="eastAsia" w:ascii="宋体" w:hAnsi="宋体" w:cs="宋体"/>
              </w:rPr>
              <w:t>联系电话</w:t>
            </w:r>
          </w:p>
        </w:tc>
        <w:tc>
          <w:tcPr>
            <w:tcW w:w="1698" w:type="pct"/>
            <w:vAlign w:val="center"/>
          </w:tcPr>
          <w:p>
            <w:pPr>
              <w:adjustRightInd w:val="0"/>
              <w:snapToGrid w:val="0"/>
              <w:ind w:firstLine="700" w:firstLineChars="250"/>
              <w:jc w:val="center"/>
              <w:rPr>
                <w:rFonts w:ascii="宋体"/>
              </w:rPr>
            </w:pPr>
          </w:p>
        </w:tc>
      </w:tr>
    </w:tbl>
    <w:p>
      <w:pPr>
        <w:adjustRightInd w:val="0"/>
        <w:snapToGrid w:val="0"/>
        <w:ind w:firstLine="0" w:firstLineChars="0"/>
        <w:rPr>
          <w:rFonts w:ascii="宋体" w:hAnsi="宋体" w:cs="宋体"/>
          <w:sz w:val="24"/>
          <w:szCs w:val="20"/>
        </w:rPr>
      </w:pPr>
      <w:r>
        <w:rPr>
          <w:rFonts w:hint="eastAsia" w:ascii="宋体" w:hAnsi="宋体" w:cs="宋体"/>
          <w:sz w:val="24"/>
          <w:szCs w:val="20"/>
        </w:rPr>
        <w:t>注：本补正通知单一式二份，补正机关、建设单位各留存一份。</w:t>
      </w:r>
    </w:p>
    <w:p>
      <w:pPr>
        <w:adjustRightInd w:val="0"/>
        <w:snapToGrid w:val="0"/>
        <w:ind w:firstLine="560"/>
        <w:rPr>
          <w:rFonts w:ascii="宋体" w:cs="宋体"/>
        </w:rPr>
      </w:pPr>
    </w:p>
    <w:p>
      <w:pPr>
        <w:adjustRightInd w:val="0"/>
        <w:snapToGrid w:val="0"/>
        <w:ind w:firstLine="560"/>
        <w:rPr>
          <w:rFonts w:ascii="宋体" w:cs="宋体"/>
        </w:rPr>
      </w:pPr>
    </w:p>
    <w:p>
      <w:pPr>
        <w:adjustRightInd w:val="0"/>
        <w:snapToGrid w:val="0"/>
        <w:ind w:firstLine="7000" w:firstLineChars="2500"/>
        <w:rPr>
          <w:rFonts w:ascii="宋体"/>
        </w:rPr>
      </w:pPr>
      <w:r>
        <w:rPr>
          <w:rFonts w:hint="eastAsia" w:ascii="宋体" w:hAnsi="宋体" w:cs="宋体"/>
        </w:rPr>
        <w:t>（单位公章）</w:t>
      </w:r>
    </w:p>
    <w:p>
      <w:pPr>
        <w:adjustRightInd w:val="0"/>
        <w:snapToGrid w:val="0"/>
        <w:ind w:firstLine="6720" w:firstLineChars="2400"/>
        <w:rPr>
          <w:rFonts w:ascii="宋体" w:hAnsi="宋体" w:cs="宋体"/>
        </w:rPr>
        <w:sectPr>
          <w:pgSz w:w="11906" w:h="16838"/>
          <w:pgMar w:top="1418" w:right="1134" w:bottom="1134" w:left="1418" w:header="851" w:footer="992" w:gutter="0"/>
          <w:pgNumType w:fmt="decimal"/>
          <w:cols w:space="425" w:num="1"/>
          <w:docGrid w:type="linesAndChars" w:linePitch="312" w:charSpace="0"/>
        </w:sect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keepNext/>
        <w:keepLines/>
        <w:widowControl/>
        <w:ind w:firstLine="0" w:firstLineChars="0"/>
        <w:outlineLvl w:val="0"/>
        <w:rPr>
          <w:rFonts w:eastAsia="黑体"/>
          <w:kern w:val="44"/>
          <w:szCs w:val="32"/>
        </w:rPr>
      </w:pPr>
      <w:bookmarkStart w:id="303" w:name="_Toc130125916"/>
      <w:bookmarkStart w:id="304" w:name="_Toc130124955"/>
      <w:bookmarkStart w:id="305" w:name="_Toc15916"/>
      <w:bookmarkStart w:id="306" w:name="_Toc27536"/>
      <w:r>
        <w:rPr>
          <w:rFonts w:hint="eastAsia" w:eastAsia="黑体"/>
          <w:kern w:val="44"/>
          <w:szCs w:val="32"/>
        </w:rPr>
        <w:t>附件8：</w:t>
      </w:r>
      <w:bookmarkEnd w:id="303"/>
      <w:bookmarkEnd w:id="304"/>
      <w:bookmarkEnd w:id="305"/>
      <w:bookmarkEnd w:id="306"/>
    </w:p>
    <w:p>
      <w:pPr>
        <w:adjustRightInd w:val="0"/>
        <w:snapToGrid w:val="0"/>
        <w:ind w:firstLine="0" w:firstLineChars="0"/>
        <w:jc w:val="center"/>
        <w:rPr>
          <w:rFonts w:ascii="方正小标宋_GBK" w:hAnsi="方正小标宋_GBK" w:eastAsia="方正小标宋_GBK" w:cs="方正小标宋_GBK"/>
          <w:bCs/>
          <w:sz w:val="32"/>
          <w:szCs w:val="32"/>
        </w:rPr>
      </w:pPr>
      <w:r>
        <w:rPr>
          <w:rFonts w:hint="eastAsia" w:ascii="方正小标宋_GBK" w:hAnsi="方正小标宋_GBK" w:eastAsia="方正小标宋_GBK" w:cs="方正小标宋_GBK"/>
          <w:bCs/>
          <w:sz w:val="32"/>
          <w:szCs w:val="32"/>
        </w:rPr>
        <w:t>昆明市生态环境局行政许可送达回证</w:t>
      </w:r>
    </w:p>
    <w:p>
      <w:pPr>
        <w:adjustRightInd w:val="0"/>
        <w:snapToGrid w:val="0"/>
        <w:ind w:firstLine="0" w:firstLineChars="0"/>
      </w:pPr>
      <w:r>
        <w:rPr>
          <w:rFonts w:hint="eastAsia"/>
        </w:rPr>
        <w:t>编号：</w:t>
      </w:r>
      <w:r>
        <w:t>20</w:t>
      </w:r>
      <w:r>
        <w:rPr>
          <w:rFonts w:hint="eastAsia"/>
          <w:lang w:val="en-US" w:eastAsia="zh-CN"/>
        </w:rPr>
        <w:t>xx</w:t>
      </w:r>
      <w:r>
        <w:t xml:space="preserve"> </w:t>
      </w:r>
      <w:r>
        <w:rPr>
          <w:rFonts w:ascii="宋体" w:cs="宋体"/>
          <w:kern w:val="0"/>
        </w:rPr>
        <w:t>-</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76"/>
        <w:gridCol w:w="3235"/>
        <w:gridCol w:w="1727"/>
        <w:gridCol w:w="22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jc w:val="center"/>
        </w:trPr>
        <w:tc>
          <w:tcPr>
            <w:tcW w:w="2376" w:type="dxa"/>
            <w:vAlign w:val="center"/>
          </w:tcPr>
          <w:p>
            <w:pPr>
              <w:widowControl/>
              <w:adjustRightInd w:val="0"/>
              <w:snapToGrid w:val="0"/>
              <w:spacing w:line="240" w:lineRule="auto"/>
              <w:ind w:firstLine="0" w:firstLineChars="0"/>
              <w:jc w:val="center"/>
              <w:rPr>
                <w:rFonts w:ascii="宋体"/>
              </w:rPr>
            </w:pPr>
            <w:r>
              <w:rPr>
                <w:rFonts w:hint="eastAsia" w:ascii="宋体" w:hAnsi="宋体" w:cs="宋体"/>
              </w:rPr>
              <w:t>受送达人</w:t>
            </w:r>
          </w:p>
        </w:tc>
        <w:tc>
          <w:tcPr>
            <w:tcW w:w="7194" w:type="dxa"/>
            <w:gridSpan w:val="3"/>
            <w:vAlign w:val="center"/>
          </w:tcPr>
          <w:p>
            <w:pPr>
              <w:widowControl/>
              <w:adjustRightInd w:val="0"/>
              <w:snapToGrid w:val="0"/>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376" w:type="dxa"/>
            <w:vAlign w:val="center"/>
          </w:tcPr>
          <w:p>
            <w:pPr>
              <w:widowControl/>
              <w:adjustRightInd w:val="0"/>
              <w:snapToGrid w:val="0"/>
              <w:spacing w:line="240" w:lineRule="auto"/>
              <w:ind w:firstLine="0" w:firstLineChars="0"/>
              <w:jc w:val="center"/>
              <w:rPr>
                <w:rFonts w:ascii="宋体"/>
              </w:rPr>
            </w:pPr>
            <w:r>
              <w:rPr>
                <w:rFonts w:hint="eastAsia" w:ascii="宋体" w:hAnsi="宋体" w:cs="宋体"/>
              </w:rPr>
              <w:t>送达地点</w:t>
            </w:r>
          </w:p>
        </w:tc>
        <w:tc>
          <w:tcPr>
            <w:tcW w:w="3235" w:type="dxa"/>
            <w:vAlign w:val="center"/>
          </w:tcPr>
          <w:p>
            <w:pPr>
              <w:widowControl/>
              <w:adjustRightInd w:val="0"/>
              <w:snapToGrid w:val="0"/>
              <w:spacing w:line="240" w:lineRule="auto"/>
              <w:ind w:firstLine="0" w:firstLineChars="0"/>
              <w:jc w:val="center"/>
              <w:rPr>
                <w:rFonts w:ascii="宋体"/>
              </w:rPr>
            </w:pPr>
            <w:r>
              <w:rPr>
                <w:rFonts w:hint="eastAsia" w:ascii="宋体" w:hAnsi="宋体" w:cs="宋体"/>
              </w:rPr>
              <w:t>申请人直接到昆明市政务服务中心综合窗口领取</w:t>
            </w:r>
          </w:p>
        </w:tc>
        <w:tc>
          <w:tcPr>
            <w:tcW w:w="1727" w:type="dxa"/>
            <w:vAlign w:val="center"/>
          </w:tcPr>
          <w:p>
            <w:pPr>
              <w:widowControl/>
              <w:adjustRightInd w:val="0"/>
              <w:snapToGrid w:val="0"/>
              <w:spacing w:line="240" w:lineRule="auto"/>
              <w:ind w:firstLine="0" w:firstLineChars="0"/>
              <w:jc w:val="center"/>
              <w:rPr>
                <w:rFonts w:ascii="宋体"/>
              </w:rPr>
            </w:pPr>
            <w:r>
              <w:rPr>
                <w:rFonts w:hint="eastAsia" w:ascii="宋体" w:hAnsi="宋体" w:cs="宋体"/>
              </w:rPr>
              <w:t>送达方式</w:t>
            </w:r>
          </w:p>
        </w:tc>
        <w:tc>
          <w:tcPr>
            <w:tcW w:w="2232" w:type="dxa"/>
            <w:vAlign w:val="center"/>
          </w:tcPr>
          <w:p>
            <w:pPr>
              <w:widowControl/>
              <w:adjustRightInd w:val="0"/>
              <w:snapToGrid w:val="0"/>
              <w:spacing w:line="240" w:lineRule="auto"/>
              <w:ind w:firstLine="0" w:firstLineChars="0"/>
              <w:jc w:val="center"/>
              <w:rPr>
                <w:rFonts w:ascii="宋体"/>
              </w:rPr>
            </w:pPr>
            <w:r>
              <w:rPr>
                <w:rFonts w:hint="eastAsia" w:ascii="宋体" w:hAnsi="宋体" w:cs="宋体"/>
              </w:rPr>
              <w:t>直接送达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376" w:type="dxa"/>
            <w:vAlign w:val="center"/>
          </w:tcPr>
          <w:p>
            <w:pPr>
              <w:widowControl/>
              <w:adjustRightInd w:val="0"/>
              <w:snapToGrid w:val="0"/>
              <w:spacing w:line="240" w:lineRule="auto"/>
              <w:ind w:firstLine="0" w:firstLineChars="0"/>
              <w:jc w:val="center"/>
              <w:rPr>
                <w:rFonts w:ascii="宋体"/>
                <w:kern w:val="0"/>
              </w:rPr>
            </w:pPr>
            <w:r>
              <w:rPr>
                <w:rFonts w:hint="eastAsia" w:ascii="宋体" w:hAnsi="宋体" w:cs="宋体"/>
              </w:rPr>
              <w:t>送达时间</w:t>
            </w:r>
          </w:p>
        </w:tc>
        <w:tc>
          <w:tcPr>
            <w:tcW w:w="7194" w:type="dxa"/>
            <w:gridSpan w:val="3"/>
            <w:vAlign w:val="center"/>
          </w:tcPr>
          <w:p>
            <w:pPr>
              <w:widowControl/>
              <w:adjustRightInd w:val="0"/>
              <w:snapToGrid w:val="0"/>
              <w:spacing w:line="240" w:lineRule="auto"/>
              <w:ind w:firstLine="0" w:firstLineChars="0"/>
              <w:jc w:val="center"/>
              <w:rPr>
                <w:rFonts w:asci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2376" w:type="dxa"/>
            <w:vAlign w:val="center"/>
          </w:tcPr>
          <w:p>
            <w:pPr>
              <w:widowControl/>
              <w:adjustRightInd w:val="0"/>
              <w:snapToGrid w:val="0"/>
              <w:spacing w:line="240" w:lineRule="auto"/>
              <w:ind w:firstLine="0" w:firstLineChars="0"/>
              <w:jc w:val="center"/>
              <w:rPr>
                <w:rFonts w:ascii="宋体"/>
              </w:rPr>
            </w:pPr>
            <w:r>
              <w:rPr>
                <w:rFonts w:hint="eastAsia" w:ascii="宋体" w:hAnsi="宋体" w:cs="宋体"/>
              </w:rPr>
              <w:t>送达文书名称</w:t>
            </w:r>
          </w:p>
          <w:p>
            <w:pPr>
              <w:widowControl/>
              <w:adjustRightInd w:val="0"/>
              <w:snapToGrid w:val="0"/>
              <w:spacing w:line="240" w:lineRule="auto"/>
              <w:ind w:firstLine="0" w:firstLineChars="0"/>
              <w:jc w:val="center"/>
              <w:rPr>
                <w:rFonts w:ascii="宋体"/>
              </w:rPr>
            </w:pPr>
            <w:r>
              <w:rPr>
                <w:rFonts w:hint="eastAsia" w:ascii="宋体" w:hAnsi="宋体" w:cs="宋体"/>
              </w:rPr>
              <w:t>及文号</w:t>
            </w:r>
          </w:p>
        </w:tc>
        <w:tc>
          <w:tcPr>
            <w:tcW w:w="7194" w:type="dxa"/>
            <w:gridSpan w:val="3"/>
            <w:vAlign w:val="center"/>
          </w:tcPr>
          <w:p>
            <w:pPr>
              <w:adjustRightInd w:val="0"/>
              <w:snapToGrid w:val="0"/>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376" w:type="dxa"/>
            <w:vAlign w:val="center"/>
          </w:tcPr>
          <w:p>
            <w:pPr>
              <w:widowControl/>
              <w:adjustRightInd w:val="0"/>
              <w:snapToGrid w:val="0"/>
              <w:spacing w:line="240" w:lineRule="auto"/>
              <w:ind w:firstLine="0" w:firstLineChars="0"/>
              <w:jc w:val="center"/>
              <w:rPr>
                <w:rFonts w:ascii="宋体"/>
              </w:rPr>
            </w:pPr>
            <w:r>
              <w:rPr>
                <w:rFonts w:hint="eastAsia" w:ascii="宋体" w:hAnsi="宋体" w:cs="宋体"/>
              </w:rPr>
              <w:t>受送达人签名或盖章</w:t>
            </w:r>
          </w:p>
        </w:tc>
        <w:tc>
          <w:tcPr>
            <w:tcW w:w="7194" w:type="dxa"/>
            <w:gridSpan w:val="3"/>
            <w:vAlign w:val="center"/>
          </w:tcPr>
          <w:p>
            <w:pPr>
              <w:adjustRightInd w:val="0"/>
              <w:snapToGrid w:val="0"/>
              <w:spacing w:line="240" w:lineRule="auto"/>
              <w:ind w:right="720" w:firstLine="0" w:firstLineChars="0"/>
              <w:jc w:val="right"/>
              <w:rPr>
                <w:rFonts w:ascii="宋体" w:hAnsi="宋体" w:cs="宋体"/>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gridSpan w:val="4"/>
            <w:vAlign w:val="center"/>
          </w:tcPr>
          <w:p>
            <w:pPr>
              <w:adjustRightInd w:val="0"/>
              <w:snapToGrid w:val="0"/>
              <w:spacing w:line="240" w:lineRule="auto"/>
              <w:ind w:firstLine="0" w:firstLineChars="0"/>
              <w:jc w:val="left"/>
              <w:rPr>
                <w:rFonts w:ascii="宋体"/>
              </w:rPr>
            </w:pPr>
            <w:r>
              <w:rPr>
                <w:rFonts w:hint="eastAsia" w:ascii="宋体" w:hAnsi="宋体" w:cs="宋体"/>
              </w:rPr>
              <w:t>代收人签名及身份证号：</w:t>
            </w:r>
          </w:p>
          <w:p>
            <w:pPr>
              <w:adjustRightInd w:val="0"/>
              <w:snapToGrid w:val="0"/>
              <w:spacing w:line="240" w:lineRule="auto"/>
              <w:ind w:firstLine="0" w:firstLineChars="0"/>
              <w:jc w:val="center"/>
              <w:rPr>
                <w:rFonts w:ascii="宋体"/>
              </w:rPr>
            </w:pPr>
          </w:p>
          <w:p>
            <w:pPr>
              <w:adjustRightInd w:val="0"/>
              <w:snapToGrid w:val="0"/>
              <w:spacing w:line="240" w:lineRule="auto"/>
              <w:ind w:firstLine="0" w:firstLineChars="0"/>
              <w:jc w:val="center"/>
              <w:rPr>
                <w:rFonts w:ascii="宋体"/>
              </w:rPr>
            </w:pPr>
          </w:p>
          <w:p>
            <w:pPr>
              <w:adjustRightInd w:val="0"/>
              <w:snapToGrid w:val="0"/>
              <w:spacing w:line="240" w:lineRule="auto"/>
              <w:ind w:right="720" w:firstLine="0" w:firstLineChars="0"/>
              <w:jc w:val="right"/>
              <w:rPr>
                <w:rFonts w:ascii="宋体" w:hAnsi="宋体" w:cs="宋体"/>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adjustRightInd w:val="0"/>
              <w:snapToGrid w:val="0"/>
              <w:spacing w:line="240" w:lineRule="auto"/>
              <w:ind w:right="1920" w:firstLine="0" w:firstLineChars="0"/>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gridSpan w:val="4"/>
            <w:vAlign w:val="center"/>
          </w:tcPr>
          <w:p>
            <w:pPr>
              <w:adjustRightInd w:val="0"/>
              <w:snapToGrid w:val="0"/>
              <w:spacing w:line="240" w:lineRule="auto"/>
              <w:ind w:firstLine="0" w:firstLineChars="0"/>
              <w:jc w:val="left"/>
              <w:rPr>
                <w:rFonts w:ascii="宋体" w:hAnsi="宋体" w:cs="宋体"/>
              </w:rPr>
            </w:pPr>
            <w:r>
              <w:rPr>
                <w:rFonts w:hint="eastAsia" w:ascii="宋体" w:hAnsi="宋体" w:cs="宋体"/>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7" w:hRule="atLeast"/>
          <w:jc w:val="center"/>
        </w:trPr>
        <w:tc>
          <w:tcPr>
            <w:tcW w:w="2376" w:type="dxa"/>
            <w:vAlign w:val="center"/>
          </w:tcPr>
          <w:p>
            <w:pPr>
              <w:widowControl/>
              <w:adjustRightInd w:val="0"/>
              <w:snapToGrid w:val="0"/>
              <w:spacing w:line="240" w:lineRule="auto"/>
              <w:ind w:firstLine="0" w:firstLineChars="0"/>
              <w:jc w:val="center"/>
              <w:rPr>
                <w:rFonts w:ascii="宋体"/>
              </w:rPr>
            </w:pPr>
            <w:r>
              <w:rPr>
                <w:rFonts w:hint="eastAsia" w:ascii="宋体" w:hAnsi="宋体" w:cs="宋体"/>
              </w:rPr>
              <w:t>送达机关</w:t>
            </w:r>
          </w:p>
        </w:tc>
        <w:tc>
          <w:tcPr>
            <w:tcW w:w="3235" w:type="dxa"/>
            <w:vAlign w:val="center"/>
          </w:tcPr>
          <w:p>
            <w:pPr>
              <w:widowControl/>
              <w:adjustRightInd w:val="0"/>
              <w:snapToGrid w:val="0"/>
              <w:spacing w:line="240" w:lineRule="auto"/>
              <w:ind w:firstLine="0" w:firstLineChars="0"/>
              <w:jc w:val="center"/>
              <w:rPr>
                <w:rFonts w:ascii="宋体"/>
              </w:rPr>
            </w:pPr>
            <w:r>
              <w:rPr>
                <w:rFonts w:hint="eastAsia" w:ascii="宋体" w:hAnsi="宋体" w:cs="宋体"/>
              </w:rPr>
              <w:t>昆明市生态环境局</w:t>
            </w:r>
            <w:r>
              <w:rPr>
                <w:rFonts w:hint="eastAsia" w:ascii="宋体" w:hAnsi="宋体" w:cs="宋体"/>
                <w:lang w:eastAsia="zh-CN"/>
              </w:rPr>
              <w:t>经开分局</w:t>
            </w:r>
            <w:bookmarkStart w:id="307" w:name="_GoBack"/>
            <w:bookmarkEnd w:id="307"/>
            <w:r>
              <w:rPr>
                <w:rFonts w:hint="eastAsia" w:ascii="宋体" w:hAnsi="宋体" w:cs="宋体"/>
              </w:rPr>
              <w:t>（盖章）</w:t>
            </w:r>
          </w:p>
        </w:tc>
        <w:tc>
          <w:tcPr>
            <w:tcW w:w="1727" w:type="dxa"/>
            <w:vAlign w:val="center"/>
          </w:tcPr>
          <w:p>
            <w:pPr>
              <w:widowControl/>
              <w:adjustRightInd w:val="0"/>
              <w:snapToGrid w:val="0"/>
              <w:spacing w:line="240" w:lineRule="auto"/>
              <w:ind w:firstLine="0" w:firstLineChars="0"/>
              <w:jc w:val="center"/>
              <w:rPr>
                <w:rFonts w:ascii="宋体"/>
              </w:rPr>
            </w:pPr>
            <w:r>
              <w:rPr>
                <w:rFonts w:hint="eastAsia" w:ascii="宋体" w:hAnsi="宋体" w:cs="宋体"/>
              </w:rPr>
              <w:t>送达人及执法证号</w:t>
            </w:r>
          </w:p>
        </w:tc>
        <w:tc>
          <w:tcPr>
            <w:tcW w:w="2232" w:type="dxa"/>
            <w:vAlign w:val="center"/>
          </w:tcPr>
          <w:p>
            <w:pPr>
              <w:widowControl/>
              <w:adjustRightInd w:val="0"/>
              <w:snapToGrid w:val="0"/>
              <w:spacing w:line="240" w:lineRule="auto"/>
              <w:ind w:firstLine="0" w:firstLineChars="0"/>
              <w:jc w:val="center"/>
              <w:rPr>
                <w:rFonts w:ascii="宋体"/>
              </w:rPr>
            </w:pPr>
          </w:p>
        </w:tc>
      </w:tr>
    </w:tbl>
    <w:p>
      <w:pPr>
        <w:adjustRightInd w:val="0"/>
        <w:snapToGrid w:val="0"/>
        <w:ind w:firstLine="0" w:firstLineChars="0"/>
        <w:rPr>
          <w:rFonts w:ascii="宋体" w:hAnsi="宋体" w:cs="宋体"/>
          <w:sz w:val="24"/>
          <w:szCs w:val="20"/>
        </w:rPr>
      </w:pPr>
      <w:r>
        <w:rPr>
          <w:rFonts w:hint="eastAsia" w:ascii="宋体" w:hAnsi="宋体" w:cs="宋体"/>
          <w:sz w:val="24"/>
          <w:szCs w:val="20"/>
        </w:rPr>
        <w:t>注：本送达回证一式二份，审批机关、建设单位各留存一份。</w:t>
      </w:r>
    </w:p>
    <w:sectPr>
      <w:pgSz w:w="11906" w:h="16838"/>
      <w:pgMar w:top="1418" w:right="1134" w:bottom="1134" w:left="1418" w:header="851" w:footer="992" w:gutter="0"/>
      <w:pgNumType w:fmt="decimal"/>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华文新魏">
    <w:panose1 w:val="02010800040101010101"/>
    <w:charset w:val="86"/>
    <w:family w:val="auto"/>
    <w:pitch w:val="default"/>
    <w:sig w:usb0="00000001" w:usb1="080F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left" w:pos="3045"/>
        <w:tab w:val="clear" w:pos="4153"/>
      </w:tabs>
      <w:spacing w:line="240" w:lineRule="auto"/>
      <w:ind w:firstLine="0" w:firstLineChars="0"/>
      <w:jc w:val="center"/>
      <w:rPr>
        <w:spacing w:val="20"/>
      </w:rPr>
    </w:pPr>
    <w:r>
      <w:rPr>
        <w:rFonts w:hint="eastAsia" w:ascii="黑体" w:hAnsi="黑体" w:eastAsia="黑体" w:cs="黑体"/>
        <w:spacing w:val="20"/>
        <w:sz w:val="28"/>
        <w:szCs w:val="28"/>
      </w:rPr>
      <w:t>昆明市生态环境局</w:t>
    </w:r>
    <w:r>
      <w:rPr>
        <w:rFonts w:hint="eastAsia" w:ascii="黑体" w:hAnsi="黑体" w:eastAsia="黑体" w:cs="黑体"/>
        <w:spacing w:val="20"/>
        <w:sz w:val="28"/>
        <w:szCs w:val="28"/>
        <w:lang w:eastAsia="zh-CN"/>
      </w:rPr>
      <w:t>经开分局</w:t>
    </w:r>
    <w:r>
      <w:rPr>
        <w:rFonts w:hint="eastAsia" w:ascii="黑体" w:hAnsi="黑体" w:eastAsia="黑体" w:cs="黑体"/>
        <w:spacing w:val="20"/>
        <w:sz w:val="28"/>
        <w:szCs w:val="28"/>
      </w:rPr>
      <w:t xml:space="preserve">   发布</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ind w:firstLine="0" w:firstLineChars="0"/>
      <w:jc w:val="right"/>
      <w:rPr>
        <w:rFonts w:ascii="宋体" w:hAnsi="宋体"/>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ind w:firstLine="0" w:firstLineChars="0"/>
      <w:jc w:val="right"/>
      <w:rPr>
        <w:rFonts w:ascii="宋体" w:hAnsi="宋体"/>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240" w:lineRule="auto"/>
      <w:ind w:firstLine="0" w:firstLineChars="0"/>
      <w:jc w:val="left"/>
      <w:rPr>
        <w:rFonts w:ascii="宋体" w:hAnsi="宋体"/>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ind w:firstLine="0" w:firstLineChars="0"/>
      <w:jc w:val="right"/>
      <w:rPr>
        <w:rFonts w:ascii="宋体" w:hAnsi="宋体"/>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rPr>
        <w:rFonts w:ascii="宋体" w:hAnsi="宋体"/>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0" w:firstLineChars="0"/>
      <w:jc w:val="center"/>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0" w:firstLineChars="0"/>
      <w:jc w:val="center"/>
      <w:rPr>
        <w:sz w:val="24"/>
        <w:szCs w:val="24"/>
      </w:rPr>
    </w:pPr>
    <w:r>
      <w:rPr>
        <w:sz w:val="24"/>
        <w:szCs w:val="24"/>
      </w:rPr>
      <w:fldChar w:fldCharType="begin"/>
    </w:r>
    <w:r>
      <w:rPr>
        <w:sz w:val="24"/>
        <w:szCs w:val="24"/>
      </w:rPr>
      <w:instrText xml:space="preserve"> </w:instrText>
    </w:r>
    <w:r>
      <w:rPr>
        <w:rFonts w:hint="eastAsia"/>
        <w:sz w:val="24"/>
        <w:szCs w:val="24"/>
      </w:rPr>
      <w:instrText xml:space="preserve">PAGE  \* ROMAN  \* MERGEFORMAT</w:instrText>
    </w:r>
    <w:r>
      <w:rPr>
        <w:sz w:val="24"/>
        <w:szCs w:val="24"/>
      </w:rPr>
      <w:instrText xml:space="preserve"> </w:instrText>
    </w:r>
    <w:r>
      <w:rPr>
        <w:sz w:val="24"/>
        <w:szCs w:val="24"/>
      </w:rPr>
      <w:fldChar w:fldCharType="separate"/>
    </w:r>
    <w:r>
      <w:rPr>
        <w:sz w:val="24"/>
        <w:szCs w:val="24"/>
      </w:rPr>
      <w:t>I</w:t>
    </w:r>
    <w:r>
      <w:rPr>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left" w:pos="3045"/>
        <w:tab w:val="clear" w:pos="4153"/>
      </w:tabs>
      <w:spacing w:line="240" w:lineRule="auto"/>
      <w:ind w:firstLine="0" w:firstLineChars="0"/>
      <w:jc w:val="center"/>
      <w:rPr>
        <w:spacing w:val="20"/>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0" w:firstLineChars="0"/>
      <w:jc w:val="center"/>
      <w:rPr>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425"/>
      </w:tabs>
      <w:ind w:firstLine="0" w:firstLineChars="0"/>
      <w:jc w:val="center"/>
      <w:rPr>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tabs>
                              <w:tab w:val="left" w:pos="3425"/>
                            </w:tabs>
                            <w:ind w:firstLine="0" w:firstLineChars="0"/>
                            <w:jc w:val="center"/>
                          </w:pPr>
                          <w:r>
                            <w:rPr>
                              <w:szCs w:val="28"/>
                            </w:rPr>
                            <w:fldChar w:fldCharType="begin"/>
                          </w:r>
                          <w:r>
                            <w:rPr>
                              <w:szCs w:val="28"/>
                            </w:rPr>
                            <w:instrText xml:space="preserve"> PAGE  \* ROMAN  \* MERGEFORMAT </w:instrText>
                          </w:r>
                          <w:r>
                            <w:rPr>
                              <w:szCs w:val="28"/>
                            </w:rPr>
                            <w:fldChar w:fldCharType="separate"/>
                          </w:r>
                          <w:r>
                            <w:rPr>
                              <w:szCs w:val="28"/>
                            </w:rPr>
                            <w:t>I</w:t>
                          </w:r>
                          <w:r>
                            <w:rPr>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pPr>
                      <w:tabs>
                        <w:tab w:val="left" w:pos="3425"/>
                      </w:tabs>
                      <w:ind w:firstLine="0" w:firstLineChars="0"/>
                      <w:jc w:val="center"/>
                    </w:pPr>
                    <w:r>
                      <w:rPr>
                        <w:szCs w:val="28"/>
                      </w:rPr>
                      <w:fldChar w:fldCharType="begin"/>
                    </w:r>
                    <w:r>
                      <w:rPr>
                        <w:szCs w:val="28"/>
                      </w:rPr>
                      <w:instrText xml:space="preserve"> PAGE  \* ROMAN  \* MERGEFORMAT </w:instrText>
                    </w:r>
                    <w:r>
                      <w:rPr>
                        <w:szCs w:val="28"/>
                      </w:rPr>
                      <w:fldChar w:fldCharType="separate"/>
                    </w:r>
                    <w:r>
                      <w:rPr>
                        <w:szCs w:val="28"/>
                      </w:rPr>
                      <w:t>I</w:t>
                    </w:r>
                    <w:r>
                      <w:rPr>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0" w:firstLineChars="0"/>
      <w:jc w:val="center"/>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ind w:firstLine="0" w:firstLineChars="0"/>
                            <w:jc w:val="center"/>
                          </w:pPr>
                          <w:r>
                            <w:rPr>
                              <w:sz w:val="28"/>
                              <w:szCs w:val="28"/>
                            </w:rPr>
                            <w:fldChar w:fldCharType="begin"/>
                          </w:r>
                          <w:r>
                            <w:rPr>
                              <w:sz w:val="28"/>
                              <w:szCs w:val="28"/>
                            </w:rPr>
                            <w:instrText xml:space="preserve"> PAGE  \* ROMAN  \* MERGEFORMAT </w:instrText>
                          </w:r>
                          <w:r>
                            <w:rPr>
                              <w:sz w:val="28"/>
                              <w:szCs w:val="28"/>
                            </w:rPr>
                            <w:fldChar w:fldCharType="separate"/>
                          </w:r>
                          <w:r>
                            <w:rPr>
                              <w:sz w:val="28"/>
                              <w:szCs w:val="28"/>
                            </w:rPr>
                            <w:t>XVII</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30"/>
                      <w:ind w:firstLine="0" w:firstLineChars="0"/>
                      <w:jc w:val="center"/>
                    </w:pPr>
                    <w:r>
                      <w:rPr>
                        <w:sz w:val="28"/>
                        <w:szCs w:val="28"/>
                      </w:rPr>
                      <w:fldChar w:fldCharType="begin"/>
                    </w:r>
                    <w:r>
                      <w:rPr>
                        <w:sz w:val="28"/>
                        <w:szCs w:val="28"/>
                      </w:rPr>
                      <w:instrText xml:space="preserve"> PAGE  \* ROMAN  \* MERGEFORMAT </w:instrText>
                    </w:r>
                    <w:r>
                      <w:rPr>
                        <w:sz w:val="28"/>
                        <w:szCs w:val="28"/>
                      </w:rPr>
                      <w:fldChar w:fldCharType="separate"/>
                    </w:r>
                    <w:r>
                      <w:rPr>
                        <w:sz w:val="28"/>
                        <w:szCs w:val="28"/>
                      </w:rPr>
                      <w:t>XVII</w:t>
                    </w:r>
                    <w:r>
                      <w:rPr>
                        <w:sz w:val="28"/>
                        <w:szCs w:val="2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ind w:firstLine="0" w:firstLineChars="0"/>
      <w:jc w:val="right"/>
      <w:rPr>
        <w:rFonts w:ascii="宋体" w:hAnsi="宋体"/>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9" w:lineRule="exact"/>
      <w:ind w:firstLine="0" w:firstLineChars="0"/>
      <w:jc w:val="left"/>
      <w:rPr>
        <w:rFonts w:ascii="仿宋_GB2312" w:hAnsi="仿宋_GB2312" w:cs="仿宋_GB2312"/>
        <w:sz w:val="32"/>
        <w:szCs w:val="32"/>
      </w:rPr>
    </w:pPr>
    <w:r>
      <w:rPr>
        <w:sz w:val="32"/>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5917C3"/>
    <w:multiLevelType w:val="multilevel"/>
    <w:tmpl w:val="2C5917C3"/>
    <w:lvl w:ilvl="0" w:tentative="0">
      <w:start w:val="1"/>
      <w:numFmt w:val="none"/>
      <w:pStyle w:val="88"/>
      <w:suff w:val="nothing"/>
      <w:lvlText w:val="%1——"/>
      <w:lvlJc w:val="left"/>
      <w:pPr>
        <w:ind w:left="833" w:hanging="408"/>
      </w:pPr>
      <w:rPr>
        <w:rFonts w:hint="eastAsia"/>
      </w:rPr>
    </w:lvl>
    <w:lvl w:ilvl="1" w:tentative="0">
      <w:start w:val="1"/>
      <w:numFmt w:val="bullet"/>
      <w:pStyle w:val="89"/>
      <w:lvlText w:val=""/>
      <w:lvlJc w:val="left"/>
      <w:pPr>
        <w:tabs>
          <w:tab w:val="left" w:pos="760"/>
        </w:tabs>
        <w:ind w:left="1264" w:hanging="413"/>
      </w:pPr>
      <w:rPr>
        <w:rFonts w:hint="default" w:ascii="Symbol" w:hAnsi="Symbol" w:cs="Symbol"/>
        <w:color w:val="auto"/>
      </w:rPr>
    </w:lvl>
    <w:lvl w:ilvl="2" w:tentative="0">
      <w:start w:val="1"/>
      <w:numFmt w:val="bullet"/>
      <w:pStyle w:val="90"/>
      <w:lvlText w:val=""/>
      <w:lvlJc w:val="left"/>
      <w:pPr>
        <w:tabs>
          <w:tab w:val="left" w:pos="1678"/>
        </w:tabs>
        <w:ind w:left="1678" w:hanging="414"/>
      </w:pPr>
      <w:rPr>
        <w:rFonts w:hint="default" w:ascii="Symbol" w:hAnsi="Symbol" w:cs="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
    <w:nsid w:val="495342C2"/>
    <w:multiLevelType w:val="multilevel"/>
    <w:tmpl w:val="495342C2"/>
    <w:lvl w:ilvl="0" w:tentative="0">
      <w:start w:val="0"/>
      <w:numFmt w:val="ideographDigital"/>
      <w:suff w:val="nothing"/>
      <w:lvlText w:val="%1、"/>
      <w:lvlJc w:val="left"/>
      <w:rPr>
        <w:rFonts w:hint="eastAsia" w:eastAsia="黑体"/>
        <w:sz w:val="28"/>
        <w:szCs w:val="28"/>
      </w:rPr>
    </w:lvl>
    <w:lvl w:ilvl="1" w:tentative="0">
      <w:start w:val="1"/>
      <w:numFmt w:val="japaneseCounting"/>
      <w:pStyle w:val="87"/>
      <w:suff w:val="nothing"/>
      <w:lvlText w:val="（%2）"/>
      <w:lvlJc w:val="left"/>
      <w:rPr>
        <w:rFonts w:hint="eastAsia" w:ascii="黑体" w:hAnsi="黑体" w:eastAsia="黑体"/>
      </w:rPr>
    </w:lvl>
    <w:lvl w:ilvl="2" w:tentative="0">
      <w:start w:val="1"/>
      <w:numFmt w:val="lowerLetter"/>
      <w:lvlText w:val="(%3)"/>
      <w:lvlJc w:val="left"/>
      <w:pPr>
        <w:tabs>
          <w:tab w:val="left" w:pos="0"/>
        </w:tabs>
        <w:ind w:left="-288" w:hanging="432"/>
      </w:pPr>
      <w:rPr>
        <w:rFonts w:hint="eastAsia"/>
      </w:rPr>
    </w:lvl>
    <w:lvl w:ilvl="3" w:tentative="0">
      <w:start w:val="1"/>
      <w:numFmt w:val="lowerRoman"/>
      <w:lvlText w:val="(%4)"/>
      <w:lvlJc w:val="right"/>
      <w:pPr>
        <w:tabs>
          <w:tab w:val="left" w:pos="-144"/>
        </w:tabs>
        <w:ind w:left="-144" w:hanging="144"/>
      </w:pPr>
      <w:rPr>
        <w:rFonts w:hint="eastAsia"/>
      </w:rPr>
    </w:lvl>
    <w:lvl w:ilvl="4" w:tentative="0">
      <w:start w:val="1"/>
      <w:numFmt w:val="decimal"/>
      <w:lvlText w:val="%5)"/>
      <w:lvlJc w:val="left"/>
      <w:pPr>
        <w:tabs>
          <w:tab w:val="left" w:pos="0"/>
        </w:tabs>
        <w:ind w:hanging="432"/>
      </w:pPr>
      <w:rPr>
        <w:rFonts w:hint="eastAsia"/>
      </w:rPr>
    </w:lvl>
    <w:lvl w:ilvl="5" w:tentative="0">
      <w:start w:val="1"/>
      <w:numFmt w:val="decimal"/>
      <w:lvlRestart w:val="0"/>
      <w:suff w:val="nothing"/>
      <w:lvlText w:val="1%6　"/>
      <w:lvlJc w:val="left"/>
      <w:pPr>
        <w:ind w:left="-1008"/>
      </w:pPr>
      <w:rPr>
        <w:rFonts w:hint="eastAsia" w:ascii="黑体" w:eastAsia="黑体"/>
      </w:rPr>
    </w:lvl>
    <w:lvl w:ilvl="6" w:tentative="0">
      <w:start w:val="1"/>
      <w:numFmt w:val="decimal"/>
      <w:suff w:val="nothing"/>
      <w:lvlText w:val="2%6%7　"/>
      <w:lvlJc w:val="left"/>
      <w:rPr>
        <w:rFonts w:hint="eastAsia" w:ascii="黑体" w:eastAsia="黑体"/>
      </w:rPr>
    </w:lvl>
    <w:lvl w:ilvl="7" w:tentative="0">
      <w:start w:val="1"/>
      <w:numFmt w:val="decimal"/>
      <w:suff w:val="nothing"/>
      <w:lvlText w:val="3%6%7%8"/>
      <w:lvlJc w:val="left"/>
      <w:rPr>
        <w:rFonts w:hint="eastAsia"/>
      </w:rPr>
    </w:lvl>
    <w:lvl w:ilvl="8" w:tentative="0">
      <w:start w:val="1"/>
      <w:numFmt w:val="lowerRoman"/>
      <w:lvlText w:val="%9."/>
      <w:lvlJc w:val="right"/>
      <w:pPr>
        <w:tabs>
          <w:tab w:val="left" w:pos="576"/>
        </w:tabs>
        <w:ind w:left="576" w:hanging="144"/>
      </w:pPr>
      <w:rPr>
        <w:rFonts w:hint="eastAsia"/>
      </w:rPr>
    </w:lvl>
  </w:abstractNum>
  <w:abstractNum w:abstractNumId="2">
    <w:nsid w:val="4B733A5F"/>
    <w:multiLevelType w:val="multilevel"/>
    <w:tmpl w:val="4B733A5F"/>
    <w:lvl w:ilvl="0" w:tentative="0">
      <w:start w:val="1"/>
      <w:numFmt w:val="decimal"/>
      <w:pStyle w:val="98"/>
      <w:suff w:val="nothing"/>
      <w:lvlText w:val="示例%1："/>
      <w:lvlJc w:val="left"/>
      <w:pPr>
        <w:ind w:firstLine="363"/>
      </w:pPr>
      <w:rPr>
        <w:rFonts w:hint="eastAsia" w:ascii="黑体" w:hAnsi="Times New Roman" w:eastAsia="黑体"/>
        <w:b w:val="0"/>
        <w:bCs w:val="0"/>
        <w:i w:val="0"/>
        <w:iCs w:val="0"/>
        <w:color w:val="auto"/>
        <w:sz w:val="18"/>
        <w:szCs w:val="18"/>
        <w:vertAlign w:val="baseline"/>
      </w:rPr>
    </w:lvl>
    <w:lvl w:ilvl="1" w:tentative="0">
      <w:start w:val="1"/>
      <w:numFmt w:val="none"/>
      <w:suff w:val="space"/>
      <w:lvlText w:val=""/>
      <w:lvlJc w:val="left"/>
      <w:rPr>
        <w:rFonts w:hint="eastAsia"/>
        <w:vertAlign w:val="baseline"/>
      </w:rPr>
    </w:lvl>
    <w:lvl w:ilvl="2" w:tentative="0">
      <w:start w:val="1"/>
      <w:numFmt w:val="decimal"/>
      <w:suff w:val="space"/>
      <w:lvlText w:val="2.2.%3"/>
      <w:lvlJc w:val="left"/>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3"/>
  <w:doNotHyphenateCaps/>
  <w:evenAndOddHeaders w:val="1"/>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mMGZlNmNiNzI0MWFjODcwMTdiM2FkMjA5YTJkMzQifQ=="/>
  </w:docVars>
  <w:rsids>
    <w:rsidRoot w:val="008B110D"/>
    <w:rsid w:val="00000436"/>
    <w:rsid w:val="0000139F"/>
    <w:rsid w:val="000040E8"/>
    <w:rsid w:val="0000519A"/>
    <w:rsid w:val="00010F07"/>
    <w:rsid w:val="00012B06"/>
    <w:rsid w:val="000159A5"/>
    <w:rsid w:val="00026332"/>
    <w:rsid w:val="00027456"/>
    <w:rsid w:val="000302A6"/>
    <w:rsid w:val="00033EFF"/>
    <w:rsid w:val="0004675D"/>
    <w:rsid w:val="00053FF4"/>
    <w:rsid w:val="000571AE"/>
    <w:rsid w:val="00061A49"/>
    <w:rsid w:val="000623D8"/>
    <w:rsid w:val="0006517E"/>
    <w:rsid w:val="00070330"/>
    <w:rsid w:val="00070372"/>
    <w:rsid w:val="00070929"/>
    <w:rsid w:val="00080412"/>
    <w:rsid w:val="000816CA"/>
    <w:rsid w:val="0008535B"/>
    <w:rsid w:val="00085CEA"/>
    <w:rsid w:val="00087D99"/>
    <w:rsid w:val="00090B28"/>
    <w:rsid w:val="0009187C"/>
    <w:rsid w:val="00092317"/>
    <w:rsid w:val="0009366C"/>
    <w:rsid w:val="00097881"/>
    <w:rsid w:val="000A1220"/>
    <w:rsid w:val="000A5E8A"/>
    <w:rsid w:val="000A5FB7"/>
    <w:rsid w:val="000A6D56"/>
    <w:rsid w:val="000B1D97"/>
    <w:rsid w:val="000B36AE"/>
    <w:rsid w:val="000B3833"/>
    <w:rsid w:val="000B519B"/>
    <w:rsid w:val="000C0562"/>
    <w:rsid w:val="000C0939"/>
    <w:rsid w:val="000C183B"/>
    <w:rsid w:val="000C6C34"/>
    <w:rsid w:val="000C6FFF"/>
    <w:rsid w:val="000C70F7"/>
    <w:rsid w:val="000D32DD"/>
    <w:rsid w:val="000D3637"/>
    <w:rsid w:val="000E3B38"/>
    <w:rsid w:val="000E6797"/>
    <w:rsid w:val="000F0AB5"/>
    <w:rsid w:val="000F1680"/>
    <w:rsid w:val="000F2ACE"/>
    <w:rsid w:val="000F4F2B"/>
    <w:rsid w:val="000F7D67"/>
    <w:rsid w:val="001001F7"/>
    <w:rsid w:val="001004DA"/>
    <w:rsid w:val="001019AF"/>
    <w:rsid w:val="00103467"/>
    <w:rsid w:val="001043E7"/>
    <w:rsid w:val="00112FD1"/>
    <w:rsid w:val="00115D9D"/>
    <w:rsid w:val="001179F5"/>
    <w:rsid w:val="0012049C"/>
    <w:rsid w:val="00120D8D"/>
    <w:rsid w:val="00122A4C"/>
    <w:rsid w:val="001243CD"/>
    <w:rsid w:val="001244FA"/>
    <w:rsid w:val="00125605"/>
    <w:rsid w:val="00131740"/>
    <w:rsid w:val="00132593"/>
    <w:rsid w:val="0013275E"/>
    <w:rsid w:val="001349DC"/>
    <w:rsid w:val="00135346"/>
    <w:rsid w:val="00136A71"/>
    <w:rsid w:val="00136CD3"/>
    <w:rsid w:val="001430BB"/>
    <w:rsid w:val="001440D1"/>
    <w:rsid w:val="001458B9"/>
    <w:rsid w:val="00150A9A"/>
    <w:rsid w:val="00156F6B"/>
    <w:rsid w:val="001712BB"/>
    <w:rsid w:val="001925C1"/>
    <w:rsid w:val="00195E95"/>
    <w:rsid w:val="00196BDE"/>
    <w:rsid w:val="00197F4F"/>
    <w:rsid w:val="001A7014"/>
    <w:rsid w:val="001B012D"/>
    <w:rsid w:val="001B180E"/>
    <w:rsid w:val="001B1BCB"/>
    <w:rsid w:val="001B2DC7"/>
    <w:rsid w:val="001B2FD0"/>
    <w:rsid w:val="001B48E1"/>
    <w:rsid w:val="001B7015"/>
    <w:rsid w:val="001C3794"/>
    <w:rsid w:val="001C549A"/>
    <w:rsid w:val="001D0002"/>
    <w:rsid w:val="001D021F"/>
    <w:rsid w:val="001D48D3"/>
    <w:rsid w:val="001D7A78"/>
    <w:rsid w:val="001E393D"/>
    <w:rsid w:val="001F3CF0"/>
    <w:rsid w:val="001F5E8D"/>
    <w:rsid w:val="001F66C7"/>
    <w:rsid w:val="001F6DD5"/>
    <w:rsid w:val="001F7669"/>
    <w:rsid w:val="0021064D"/>
    <w:rsid w:val="00211372"/>
    <w:rsid w:val="00212AA7"/>
    <w:rsid w:val="00213BC4"/>
    <w:rsid w:val="00214F5C"/>
    <w:rsid w:val="00215068"/>
    <w:rsid w:val="00231230"/>
    <w:rsid w:val="002344C9"/>
    <w:rsid w:val="002356C4"/>
    <w:rsid w:val="0024031E"/>
    <w:rsid w:val="002409BB"/>
    <w:rsid w:val="00247A3F"/>
    <w:rsid w:val="002534BE"/>
    <w:rsid w:val="0025624C"/>
    <w:rsid w:val="00256472"/>
    <w:rsid w:val="0025760E"/>
    <w:rsid w:val="0026034F"/>
    <w:rsid w:val="00261121"/>
    <w:rsid w:val="00262D93"/>
    <w:rsid w:val="00265943"/>
    <w:rsid w:val="00270965"/>
    <w:rsid w:val="00270C75"/>
    <w:rsid w:val="00276700"/>
    <w:rsid w:val="0028060C"/>
    <w:rsid w:val="00282405"/>
    <w:rsid w:val="0028437C"/>
    <w:rsid w:val="00284BE1"/>
    <w:rsid w:val="0028678B"/>
    <w:rsid w:val="0029396E"/>
    <w:rsid w:val="00295703"/>
    <w:rsid w:val="00297D3C"/>
    <w:rsid w:val="002A2D9E"/>
    <w:rsid w:val="002A3301"/>
    <w:rsid w:val="002A4554"/>
    <w:rsid w:val="002A4DE3"/>
    <w:rsid w:val="002A5DB2"/>
    <w:rsid w:val="002B1EE2"/>
    <w:rsid w:val="002B4385"/>
    <w:rsid w:val="002B658E"/>
    <w:rsid w:val="002B7376"/>
    <w:rsid w:val="002B7A4A"/>
    <w:rsid w:val="002C1D01"/>
    <w:rsid w:val="002C60EE"/>
    <w:rsid w:val="002C7CD5"/>
    <w:rsid w:val="002D2BC9"/>
    <w:rsid w:val="002D3A03"/>
    <w:rsid w:val="002D590A"/>
    <w:rsid w:val="002E0413"/>
    <w:rsid w:val="002E5352"/>
    <w:rsid w:val="002E7A3E"/>
    <w:rsid w:val="002F39CE"/>
    <w:rsid w:val="002F4B06"/>
    <w:rsid w:val="002F57C4"/>
    <w:rsid w:val="003038FD"/>
    <w:rsid w:val="0030410E"/>
    <w:rsid w:val="003050DD"/>
    <w:rsid w:val="0030697F"/>
    <w:rsid w:val="00310CA9"/>
    <w:rsid w:val="003125C7"/>
    <w:rsid w:val="00312A56"/>
    <w:rsid w:val="00314B58"/>
    <w:rsid w:val="00315BB5"/>
    <w:rsid w:val="00316B54"/>
    <w:rsid w:val="00320963"/>
    <w:rsid w:val="00324574"/>
    <w:rsid w:val="00325D8B"/>
    <w:rsid w:val="003342F1"/>
    <w:rsid w:val="0033592A"/>
    <w:rsid w:val="00336666"/>
    <w:rsid w:val="003460E5"/>
    <w:rsid w:val="003474F3"/>
    <w:rsid w:val="0034771B"/>
    <w:rsid w:val="00351233"/>
    <w:rsid w:val="0035483B"/>
    <w:rsid w:val="0035637C"/>
    <w:rsid w:val="0036010B"/>
    <w:rsid w:val="00363085"/>
    <w:rsid w:val="00373D03"/>
    <w:rsid w:val="003829C2"/>
    <w:rsid w:val="00386BE3"/>
    <w:rsid w:val="00390A14"/>
    <w:rsid w:val="00390CDE"/>
    <w:rsid w:val="0039288E"/>
    <w:rsid w:val="00395DA0"/>
    <w:rsid w:val="0039623F"/>
    <w:rsid w:val="00397E7A"/>
    <w:rsid w:val="003A46DA"/>
    <w:rsid w:val="003B1015"/>
    <w:rsid w:val="003B558E"/>
    <w:rsid w:val="003B6618"/>
    <w:rsid w:val="003C3064"/>
    <w:rsid w:val="003C740E"/>
    <w:rsid w:val="003D0D7F"/>
    <w:rsid w:val="003D15CC"/>
    <w:rsid w:val="003E3A1B"/>
    <w:rsid w:val="003E62EF"/>
    <w:rsid w:val="003F19CA"/>
    <w:rsid w:val="003F1ED7"/>
    <w:rsid w:val="003F2418"/>
    <w:rsid w:val="003F4189"/>
    <w:rsid w:val="003F61A4"/>
    <w:rsid w:val="003F6F36"/>
    <w:rsid w:val="003F760C"/>
    <w:rsid w:val="00403745"/>
    <w:rsid w:val="00404B1B"/>
    <w:rsid w:val="00412CBC"/>
    <w:rsid w:val="00414731"/>
    <w:rsid w:val="00416AAA"/>
    <w:rsid w:val="00416D28"/>
    <w:rsid w:val="0041765A"/>
    <w:rsid w:val="0042129B"/>
    <w:rsid w:val="00422F6B"/>
    <w:rsid w:val="0042509C"/>
    <w:rsid w:val="00425C3D"/>
    <w:rsid w:val="00434DC7"/>
    <w:rsid w:val="00450AD2"/>
    <w:rsid w:val="004512CE"/>
    <w:rsid w:val="004534F6"/>
    <w:rsid w:val="00454137"/>
    <w:rsid w:val="00456FED"/>
    <w:rsid w:val="004600C1"/>
    <w:rsid w:val="004609DE"/>
    <w:rsid w:val="0046133B"/>
    <w:rsid w:val="00471672"/>
    <w:rsid w:val="00472600"/>
    <w:rsid w:val="004763FC"/>
    <w:rsid w:val="004812E0"/>
    <w:rsid w:val="0048285C"/>
    <w:rsid w:val="004841C1"/>
    <w:rsid w:val="00486A12"/>
    <w:rsid w:val="00492979"/>
    <w:rsid w:val="00493AA3"/>
    <w:rsid w:val="0049444C"/>
    <w:rsid w:val="0049519D"/>
    <w:rsid w:val="00497090"/>
    <w:rsid w:val="004C05DD"/>
    <w:rsid w:val="004C0E86"/>
    <w:rsid w:val="004C2559"/>
    <w:rsid w:val="004C55C2"/>
    <w:rsid w:val="004C56D4"/>
    <w:rsid w:val="004D06D5"/>
    <w:rsid w:val="004D497A"/>
    <w:rsid w:val="004D57B7"/>
    <w:rsid w:val="004D637E"/>
    <w:rsid w:val="004E0BEF"/>
    <w:rsid w:val="004E513E"/>
    <w:rsid w:val="004F6781"/>
    <w:rsid w:val="004F7D11"/>
    <w:rsid w:val="005106ED"/>
    <w:rsid w:val="00517E62"/>
    <w:rsid w:val="00520C0F"/>
    <w:rsid w:val="00525CBE"/>
    <w:rsid w:val="005316D3"/>
    <w:rsid w:val="005317D2"/>
    <w:rsid w:val="0053203A"/>
    <w:rsid w:val="00533F12"/>
    <w:rsid w:val="005351AD"/>
    <w:rsid w:val="005540B0"/>
    <w:rsid w:val="00554593"/>
    <w:rsid w:val="005567B1"/>
    <w:rsid w:val="00556BD3"/>
    <w:rsid w:val="00561443"/>
    <w:rsid w:val="00564FD3"/>
    <w:rsid w:val="00565244"/>
    <w:rsid w:val="005670AA"/>
    <w:rsid w:val="005702DA"/>
    <w:rsid w:val="005739C3"/>
    <w:rsid w:val="0057557F"/>
    <w:rsid w:val="00575D4A"/>
    <w:rsid w:val="00580BF8"/>
    <w:rsid w:val="0058613F"/>
    <w:rsid w:val="0059112E"/>
    <w:rsid w:val="005A0326"/>
    <w:rsid w:val="005B07AB"/>
    <w:rsid w:val="005B0E17"/>
    <w:rsid w:val="005B4067"/>
    <w:rsid w:val="005B4EA7"/>
    <w:rsid w:val="005B535A"/>
    <w:rsid w:val="005C151E"/>
    <w:rsid w:val="005D4525"/>
    <w:rsid w:val="005D5D3D"/>
    <w:rsid w:val="005D66E3"/>
    <w:rsid w:val="005E1E52"/>
    <w:rsid w:val="005E2517"/>
    <w:rsid w:val="005E6E81"/>
    <w:rsid w:val="005F16EE"/>
    <w:rsid w:val="005F337E"/>
    <w:rsid w:val="005F46D9"/>
    <w:rsid w:val="005F6529"/>
    <w:rsid w:val="00605916"/>
    <w:rsid w:val="00607904"/>
    <w:rsid w:val="00622EFD"/>
    <w:rsid w:val="006306F1"/>
    <w:rsid w:val="00631B12"/>
    <w:rsid w:val="00640B85"/>
    <w:rsid w:val="00646AB6"/>
    <w:rsid w:val="0064765C"/>
    <w:rsid w:val="0064776C"/>
    <w:rsid w:val="00657133"/>
    <w:rsid w:val="00660E86"/>
    <w:rsid w:val="00663436"/>
    <w:rsid w:val="006641E9"/>
    <w:rsid w:val="00673D22"/>
    <w:rsid w:val="00685498"/>
    <w:rsid w:val="006859C3"/>
    <w:rsid w:val="00686AF8"/>
    <w:rsid w:val="00686D72"/>
    <w:rsid w:val="00687239"/>
    <w:rsid w:val="00691C29"/>
    <w:rsid w:val="00692772"/>
    <w:rsid w:val="00692CA3"/>
    <w:rsid w:val="00693B9C"/>
    <w:rsid w:val="00694067"/>
    <w:rsid w:val="006942D1"/>
    <w:rsid w:val="00694370"/>
    <w:rsid w:val="00696861"/>
    <w:rsid w:val="006972BD"/>
    <w:rsid w:val="006A0BCA"/>
    <w:rsid w:val="006A7626"/>
    <w:rsid w:val="006A7B6B"/>
    <w:rsid w:val="006B02BB"/>
    <w:rsid w:val="006B393D"/>
    <w:rsid w:val="006B4198"/>
    <w:rsid w:val="006B58CD"/>
    <w:rsid w:val="006B5A95"/>
    <w:rsid w:val="006C0EA3"/>
    <w:rsid w:val="006C2112"/>
    <w:rsid w:val="006C5039"/>
    <w:rsid w:val="006C73D4"/>
    <w:rsid w:val="006D00FB"/>
    <w:rsid w:val="006D2C1A"/>
    <w:rsid w:val="006D68C2"/>
    <w:rsid w:val="006D7024"/>
    <w:rsid w:val="006E17E0"/>
    <w:rsid w:val="006E442E"/>
    <w:rsid w:val="006F0101"/>
    <w:rsid w:val="007029D4"/>
    <w:rsid w:val="00702F2D"/>
    <w:rsid w:val="00710AB0"/>
    <w:rsid w:val="0071212C"/>
    <w:rsid w:val="00716004"/>
    <w:rsid w:val="00723512"/>
    <w:rsid w:val="007237E8"/>
    <w:rsid w:val="00723E7E"/>
    <w:rsid w:val="0072471B"/>
    <w:rsid w:val="007305CA"/>
    <w:rsid w:val="0073680B"/>
    <w:rsid w:val="00741546"/>
    <w:rsid w:val="007420AB"/>
    <w:rsid w:val="00744F0A"/>
    <w:rsid w:val="00750417"/>
    <w:rsid w:val="00750D56"/>
    <w:rsid w:val="007511EC"/>
    <w:rsid w:val="00752F16"/>
    <w:rsid w:val="007530CE"/>
    <w:rsid w:val="00753959"/>
    <w:rsid w:val="00755991"/>
    <w:rsid w:val="007641FD"/>
    <w:rsid w:val="007646BE"/>
    <w:rsid w:val="00766EBC"/>
    <w:rsid w:val="00771E18"/>
    <w:rsid w:val="00772038"/>
    <w:rsid w:val="00774611"/>
    <w:rsid w:val="007833B4"/>
    <w:rsid w:val="00790D1F"/>
    <w:rsid w:val="007913FB"/>
    <w:rsid w:val="007A0288"/>
    <w:rsid w:val="007B078D"/>
    <w:rsid w:val="007B1FB4"/>
    <w:rsid w:val="007C592F"/>
    <w:rsid w:val="007C5DBE"/>
    <w:rsid w:val="007C7F73"/>
    <w:rsid w:val="007D1936"/>
    <w:rsid w:val="007D1F2A"/>
    <w:rsid w:val="007D204A"/>
    <w:rsid w:val="007D25FB"/>
    <w:rsid w:val="007D3FF2"/>
    <w:rsid w:val="007D49EF"/>
    <w:rsid w:val="007D4A3F"/>
    <w:rsid w:val="007D4A8E"/>
    <w:rsid w:val="007E1197"/>
    <w:rsid w:val="007E1212"/>
    <w:rsid w:val="007E15D7"/>
    <w:rsid w:val="007E36E6"/>
    <w:rsid w:val="007E6425"/>
    <w:rsid w:val="007F09B0"/>
    <w:rsid w:val="007F14F2"/>
    <w:rsid w:val="007F27D7"/>
    <w:rsid w:val="007F3C81"/>
    <w:rsid w:val="00801EA4"/>
    <w:rsid w:val="00804AE1"/>
    <w:rsid w:val="008101F8"/>
    <w:rsid w:val="00812A17"/>
    <w:rsid w:val="00814D60"/>
    <w:rsid w:val="008300B8"/>
    <w:rsid w:val="00830AA4"/>
    <w:rsid w:val="00831467"/>
    <w:rsid w:val="00836059"/>
    <w:rsid w:val="0083639B"/>
    <w:rsid w:val="0084052E"/>
    <w:rsid w:val="0084094B"/>
    <w:rsid w:val="00853756"/>
    <w:rsid w:val="00857D21"/>
    <w:rsid w:val="00862774"/>
    <w:rsid w:val="00863DED"/>
    <w:rsid w:val="00866577"/>
    <w:rsid w:val="008722AF"/>
    <w:rsid w:val="00872EED"/>
    <w:rsid w:val="00875763"/>
    <w:rsid w:val="008768F8"/>
    <w:rsid w:val="00876E2E"/>
    <w:rsid w:val="0088458A"/>
    <w:rsid w:val="0088735B"/>
    <w:rsid w:val="00892005"/>
    <w:rsid w:val="0089400D"/>
    <w:rsid w:val="008958FE"/>
    <w:rsid w:val="0089667F"/>
    <w:rsid w:val="008A7268"/>
    <w:rsid w:val="008B110D"/>
    <w:rsid w:val="008B1BD2"/>
    <w:rsid w:val="008B1EEC"/>
    <w:rsid w:val="008B3073"/>
    <w:rsid w:val="008B7914"/>
    <w:rsid w:val="008C1DBB"/>
    <w:rsid w:val="008C3E73"/>
    <w:rsid w:val="008C5109"/>
    <w:rsid w:val="008C5ED4"/>
    <w:rsid w:val="008D32DE"/>
    <w:rsid w:val="008D4556"/>
    <w:rsid w:val="008D5C55"/>
    <w:rsid w:val="008D70A0"/>
    <w:rsid w:val="008E3B43"/>
    <w:rsid w:val="008E3CC1"/>
    <w:rsid w:val="008E4146"/>
    <w:rsid w:val="008E57EF"/>
    <w:rsid w:val="008E5FD5"/>
    <w:rsid w:val="008F074D"/>
    <w:rsid w:val="008F07B2"/>
    <w:rsid w:val="008F1522"/>
    <w:rsid w:val="008F1BF5"/>
    <w:rsid w:val="008F3B21"/>
    <w:rsid w:val="008F6D2D"/>
    <w:rsid w:val="008F7135"/>
    <w:rsid w:val="00903DCD"/>
    <w:rsid w:val="00904744"/>
    <w:rsid w:val="00906577"/>
    <w:rsid w:val="0091222D"/>
    <w:rsid w:val="00917403"/>
    <w:rsid w:val="00917AD5"/>
    <w:rsid w:val="009214BF"/>
    <w:rsid w:val="009221AE"/>
    <w:rsid w:val="00924D4E"/>
    <w:rsid w:val="00935CD8"/>
    <w:rsid w:val="00940FB5"/>
    <w:rsid w:val="00943EA4"/>
    <w:rsid w:val="009446E5"/>
    <w:rsid w:val="009453CB"/>
    <w:rsid w:val="009506CC"/>
    <w:rsid w:val="00950EFE"/>
    <w:rsid w:val="009519DD"/>
    <w:rsid w:val="00952E9A"/>
    <w:rsid w:val="009566A6"/>
    <w:rsid w:val="009570A9"/>
    <w:rsid w:val="00960F0F"/>
    <w:rsid w:val="0096172A"/>
    <w:rsid w:val="00962502"/>
    <w:rsid w:val="009626FE"/>
    <w:rsid w:val="009678FD"/>
    <w:rsid w:val="0096791E"/>
    <w:rsid w:val="0097576E"/>
    <w:rsid w:val="009806FF"/>
    <w:rsid w:val="00981524"/>
    <w:rsid w:val="00981F1F"/>
    <w:rsid w:val="009821D3"/>
    <w:rsid w:val="00985B36"/>
    <w:rsid w:val="00990BC5"/>
    <w:rsid w:val="00990D01"/>
    <w:rsid w:val="00995CA6"/>
    <w:rsid w:val="00995FC0"/>
    <w:rsid w:val="009A45BD"/>
    <w:rsid w:val="009A5910"/>
    <w:rsid w:val="009A6420"/>
    <w:rsid w:val="009A7D36"/>
    <w:rsid w:val="009A7F98"/>
    <w:rsid w:val="009B00B5"/>
    <w:rsid w:val="009B0BE3"/>
    <w:rsid w:val="009B362C"/>
    <w:rsid w:val="009B43B5"/>
    <w:rsid w:val="009B48B0"/>
    <w:rsid w:val="009B6122"/>
    <w:rsid w:val="009C053B"/>
    <w:rsid w:val="009C0A1B"/>
    <w:rsid w:val="009C287E"/>
    <w:rsid w:val="009D4044"/>
    <w:rsid w:val="009D498E"/>
    <w:rsid w:val="009D49F6"/>
    <w:rsid w:val="009D4F58"/>
    <w:rsid w:val="009E1368"/>
    <w:rsid w:val="009E1FAF"/>
    <w:rsid w:val="009E2FDD"/>
    <w:rsid w:val="009E4383"/>
    <w:rsid w:val="009E4804"/>
    <w:rsid w:val="009E5E74"/>
    <w:rsid w:val="009E6BA7"/>
    <w:rsid w:val="00A055FF"/>
    <w:rsid w:val="00A0660A"/>
    <w:rsid w:val="00A11B7F"/>
    <w:rsid w:val="00A12BE8"/>
    <w:rsid w:val="00A14935"/>
    <w:rsid w:val="00A149DC"/>
    <w:rsid w:val="00A162ED"/>
    <w:rsid w:val="00A168E0"/>
    <w:rsid w:val="00A233F6"/>
    <w:rsid w:val="00A30971"/>
    <w:rsid w:val="00A33F71"/>
    <w:rsid w:val="00A34087"/>
    <w:rsid w:val="00A3774F"/>
    <w:rsid w:val="00A40DD9"/>
    <w:rsid w:val="00A42C00"/>
    <w:rsid w:val="00A430B3"/>
    <w:rsid w:val="00A434ED"/>
    <w:rsid w:val="00A45E8E"/>
    <w:rsid w:val="00A51CBC"/>
    <w:rsid w:val="00A51DDB"/>
    <w:rsid w:val="00A54EF7"/>
    <w:rsid w:val="00A63E09"/>
    <w:rsid w:val="00A65F16"/>
    <w:rsid w:val="00A70F9C"/>
    <w:rsid w:val="00A71C31"/>
    <w:rsid w:val="00A74714"/>
    <w:rsid w:val="00A8144E"/>
    <w:rsid w:val="00A83557"/>
    <w:rsid w:val="00A90D8F"/>
    <w:rsid w:val="00A926A1"/>
    <w:rsid w:val="00AA089B"/>
    <w:rsid w:val="00AB0B5F"/>
    <w:rsid w:val="00AB68AE"/>
    <w:rsid w:val="00AB6930"/>
    <w:rsid w:val="00AB7FC7"/>
    <w:rsid w:val="00AC01AF"/>
    <w:rsid w:val="00AC0B04"/>
    <w:rsid w:val="00AC1129"/>
    <w:rsid w:val="00AC6568"/>
    <w:rsid w:val="00AE1B8B"/>
    <w:rsid w:val="00AE26DC"/>
    <w:rsid w:val="00AF0592"/>
    <w:rsid w:val="00AF3398"/>
    <w:rsid w:val="00AF5614"/>
    <w:rsid w:val="00AF5C3A"/>
    <w:rsid w:val="00AF7A72"/>
    <w:rsid w:val="00B05E0C"/>
    <w:rsid w:val="00B07184"/>
    <w:rsid w:val="00B0779F"/>
    <w:rsid w:val="00B11BE0"/>
    <w:rsid w:val="00B143F6"/>
    <w:rsid w:val="00B14C4D"/>
    <w:rsid w:val="00B32EAC"/>
    <w:rsid w:val="00B336F5"/>
    <w:rsid w:val="00B36A62"/>
    <w:rsid w:val="00B40426"/>
    <w:rsid w:val="00B567D1"/>
    <w:rsid w:val="00B62154"/>
    <w:rsid w:val="00B63D6B"/>
    <w:rsid w:val="00B64BF3"/>
    <w:rsid w:val="00B717FA"/>
    <w:rsid w:val="00B7708A"/>
    <w:rsid w:val="00B77FB7"/>
    <w:rsid w:val="00B80BD0"/>
    <w:rsid w:val="00B81CCB"/>
    <w:rsid w:val="00B835E6"/>
    <w:rsid w:val="00B838ED"/>
    <w:rsid w:val="00B8470F"/>
    <w:rsid w:val="00B91667"/>
    <w:rsid w:val="00B9794A"/>
    <w:rsid w:val="00BA2032"/>
    <w:rsid w:val="00BA377D"/>
    <w:rsid w:val="00BB09DE"/>
    <w:rsid w:val="00BB0DC1"/>
    <w:rsid w:val="00BB61A1"/>
    <w:rsid w:val="00BC0EB5"/>
    <w:rsid w:val="00BD07A7"/>
    <w:rsid w:val="00BD4AB5"/>
    <w:rsid w:val="00BD5A86"/>
    <w:rsid w:val="00BD7830"/>
    <w:rsid w:val="00BE38F0"/>
    <w:rsid w:val="00BE7AAE"/>
    <w:rsid w:val="00BF4D84"/>
    <w:rsid w:val="00BF60D6"/>
    <w:rsid w:val="00C00B19"/>
    <w:rsid w:val="00C048C2"/>
    <w:rsid w:val="00C0628F"/>
    <w:rsid w:val="00C06AD8"/>
    <w:rsid w:val="00C1114F"/>
    <w:rsid w:val="00C11444"/>
    <w:rsid w:val="00C122DE"/>
    <w:rsid w:val="00C12A5C"/>
    <w:rsid w:val="00C1557B"/>
    <w:rsid w:val="00C17313"/>
    <w:rsid w:val="00C2019D"/>
    <w:rsid w:val="00C254E9"/>
    <w:rsid w:val="00C30A57"/>
    <w:rsid w:val="00C3105A"/>
    <w:rsid w:val="00C31678"/>
    <w:rsid w:val="00C31751"/>
    <w:rsid w:val="00C36E99"/>
    <w:rsid w:val="00C52AA4"/>
    <w:rsid w:val="00C54597"/>
    <w:rsid w:val="00C55A53"/>
    <w:rsid w:val="00C60190"/>
    <w:rsid w:val="00C63A0E"/>
    <w:rsid w:val="00C64466"/>
    <w:rsid w:val="00C65ADE"/>
    <w:rsid w:val="00C6689C"/>
    <w:rsid w:val="00C722E5"/>
    <w:rsid w:val="00C74014"/>
    <w:rsid w:val="00C761DF"/>
    <w:rsid w:val="00C76CFC"/>
    <w:rsid w:val="00C87C10"/>
    <w:rsid w:val="00C940D8"/>
    <w:rsid w:val="00C95159"/>
    <w:rsid w:val="00C96526"/>
    <w:rsid w:val="00C96939"/>
    <w:rsid w:val="00CA4BB6"/>
    <w:rsid w:val="00CA6734"/>
    <w:rsid w:val="00CB386D"/>
    <w:rsid w:val="00CB43A5"/>
    <w:rsid w:val="00CB7E8E"/>
    <w:rsid w:val="00CC0B3A"/>
    <w:rsid w:val="00CC52D6"/>
    <w:rsid w:val="00CD6231"/>
    <w:rsid w:val="00CE14CB"/>
    <w:rsid w:val="00CE1C3F"/>
    <w:rsid w:val="00CE1DD0"/>
    <w:rsid w:val="00CE2E71"/>
    <w:rsid w:val="00CE4296"/>
    <w:rsid w:val="00CE65B6"/>
    <w:rsid w:val="00CF006A"/>
    <w:rsid w:val="00CF1EBF"/>
    <w:rsid w:val="00CF6C59"/>
    <w:rsid w:val="00D02A36"/>
    <w:rsid w:val="00D04069"/>
    <w:rsid w:val="00D0724C"/>
    <w:rsid w:val="00D147A4"/>
    <w:rsid w:val="00D169F6"/>
    <w:rsid w:val="00D24972"/>
    <w:rsid w:val="00D30474"/>
    <w:rsid w:val="00D31099"/>
    <w:rsid w:val="00D33C64"/>
    <w:rsid w:val="00D371A4"/>
    <w:rsid w:val="00D37E6E"/>
    <w:rsid w:val="00D41D1A"/>
    <w:rsid w:val="00D42D59"/>
    <w:rsid w:val="00D438D9"/>
    <w:rsid w:val="00D449A6"/>
    <w:rsid w:val="00D53293"/>
    <w:rsid w:val="00D55DE6"/>
    <w:rsid w:val="00D57D36"/>
    <w:rsid w:val="00D6104A"/>
    <w:rsid w:val="00D62A1F"/>
    <w:rsid w:val="00D64969"/>
    <w:rsid w:val="00D705B9"/>
    <w:rsid w:val="00D7540F"/>
    <w:rsid w:val="00D77AB5"/>
    <w:rsid w:val="00D823E9"/>
    <w:rsid w:val="00D84087"/>
    <w:rsid w:val="00D857A5"/>
    <w:rsid w:val="00D94946"/>
    <w:rsid w:val="00DA1D80"/>
    <w:rsid w:val="00DA218C"/>
    <w:rsid w:val="00DA3AFA"/>
    <w:rsid w:val="00DA4988"/>
    <w:rsid w:val="00DA5C22"/>
    <w:rsid w:val="00DA6557"/>
    <w:rsid w:val="00DB0EB1"/>
    <w:rsid w:val="00DB38D6"/>
    <w:rsid w:val="00DB67D7"/>
    <w:rsid w:val="00DC341A"/>
    <w:rsid w:val="00DC4C52"/>
    <w:rsid w:val="00DC73EF"/>
    <w:rsid w:val="00DE1121"/>
    <w:rsid w:val="00DF3133"/>
    <w:rsid w:val="00E00EA8"/>
    <w:rsid w:val="00E01623"/>
    <w:rsid w:val="00E02C23"/>
    <w:rsid w:val="00E042C0"/>
    <w:rsid w:val="00E075DD"/>
    <w:rsid w:val="00E1203C"/>
    <w:rsid w:val="00E20046"/>
    <w:rsid w:val="00E207EE"/>
    <w:rsid w:val="00E255FD"/>
    <w:rsid w:val="00E262F0"/>
    <w:rsid w:val="00E27F97"/>
    <w:rsid w:val="00E32574"/>
    <w:rsid w:val="00E33A46"/>
    <w:rsid w:val="00E34524"/>
    <w:rsid w:val="00E351D4"/>
    <w:rsid w:val="00E40C6C"/>
    <w:rsid w:val="00E512FA"/>
    <w:rsid w:val="00E51A88"/>
    <w:rsid w:val="00E51B99"/>
    <w:rsid w:val="00E5261B"/>
    <w:rsid w:val="00E543CA"/>
    <w:rsid w:val="00E55FF8"/>
    <w:rsid w:val="00E6034B"/>
    <w:rsid w:val="00E628C2"/>
    <w:rsid w:val="00E62B9A"/>
    <w:rsid w:val="00E6410C"/>
    <w:rsid w:val="00E7111D"/>
    <w:rsid w:val="00E73213"/>
    <w:rsid w:val="00E73BBE"/>
    <w:rsid w:val="00E814AD"/>
    <w:rsid w:val="00E92BAA"/>
    <w:rsid w:val="00E94816"/>
    <w:rsid w:val="00EA168A"/>
    <w:rsid w:val="00EA202D"/>
    <w:rsid w:val="00EA29C9"/>
    <w:rsid w:val="00EA4F66"/>
    <w:rsid w:val="00EB5FFD"/>
    <w:rsid w:val="00EC07F2"/>
    <w:rsid w:val="00EC386A"/>
    <w:rsid w:val="00EC7B24"/>
    <w:rsid w:val="00ED1FFA"/>
    <w:rsid w:val="00ED2487"/>
    <w:rsid w:val="00ED582A"/>
    <w:rsid w:val="00EF14EC"/>
    <w:rsid w:val="00EF4F47"/>
    <w:rsid w:val="00F048F5"/>
    <w:rsid w:val="00F05DA5"/>
    <w:rsid w:val="00F10C09"/>
    <w:rsid w:val="00F120F8"/>
    <w:rsid w:val="00F13BF2"/>
    <w:rsid w:val="00F23452"/>
    <w:rsid w:val="00F254D9"/>
    <w:rsid w:val="00F258A2"/>
    <w:rsid w:val="00F3039F"/>
    <w:rsid w:val="00F455BB"/>
    <w:rsid w:val="00F4687B"/>
    <w:rsid w:val="00F529C3"/>
    <w:rsid w:val="00F56F75"/>
    <w:rsid w:val="00F60188"/>
    <w:rsid w:val="00F61B43"/>
    <w:rsid w:val="00F628B1"/>
    <w:rsid w:val="00F62C5A"/>
    <w:rsid w:val="00F654F2"/>
    <w:rsid w:val="00F6694E"/>
    <w:rsid w:val="00F67184"/>
    <w:rsid w:val="00F75CC2"/>
    <w:rsid w:val="00F83791"/>
    <w:rsid w:val="00F8399E"/>
    <w:rsid w:val="00F87092"/>
    <w:rsid w:val="00FA177D"/>
    <w:rsid w:val="00FA197A"/>
    <w:rsid w:val="00FA3030"/>
    <w:rsid w:val="00FA3773"/>
    <w:rsid w:val="00FA3842"/>
    <w:rsid w:val="00FB3977"/>
    <w:rsid w:val="00FB3B3D"/>
    <w:rsid w:val="00FB492B"/>
    <w:rsid w:val="00FB498A"/>
    <w:rsid w:val="00FB560F"/>
    <w:rsid w:val="00FB6468"/>
    <w:rsid w:val="00FB7AFA"/>
    <w:rsid w:val="00FC01D4"/>
    <w:rsid w:val="00FC1828"/>
    <w:rsid w:val="00FC28BE"/>
    <w:rsid w:val="00FC36C5"/>
    <w:rsid w:val="00FC7563"/>
    <w:rsid w:val="00FC767B"/>
    <w:rsid w:val="00FD10E8"/>
    <w:rsid w:val="00FD2A16"/>
    <w:rsid w:val="00FD6470"/>
    <w:rsid w:val="00FD6942"/>
    <w:rsid w:val="00FD6BC3"/>
    <w:rsid w:val="00FE0C8F"/>
    <w:rsid w:val="00FE1C2C"/>
    <w:rsid w:val="00FE3F18"/>
    <w:rsid w:val="00FE5566"/>
    <w:rsid w:val="00FF3176"/>
    <w:rsid w:val="028E7027"/>
    <w:rsid w:val="02AD7E59"/>
    <w:rsid w:val="02F37385"/>
    <w:rsid w:val="05F256B3"/>
    <w:rsid w:val="07433066"/>
    <w:rsid w:val="07D556A6"/>
    <w:rsid w:val="08E74CBE"/>
    <w:rsid w:val="09D6419B"/>
    <w:rsid w:val="0A05429D"/>
    <w:rsid w:val="0B3B610A"/>
    <w:rsid w:val="0CFD27E8"/>
    <w:rsid w:val="0D612F20"/>
    <w:rsid w:val="10012E44"/>
    <w:rsid w:val="117613D0"/>
    <w:rsid w:val="12283F31"/>
    <w:rsid w:val="1255108C"/>
    <w:rsid w:val="12F747C9"/>
    <w:rsid w:val="15AD7634"/>
    <w:rsid w:val="185A499F"/>
    <w:rsid w:val="18C26509"/>
    <w:rsid w:val="1A244EB3"/>
    <w:rsid w:val="1C074034"/>
    <w:rsid w:val="1C345765"/>
    <w:rsid w:val="1C403414"/>
    <w:rsid w:val="1F4E3D1C"/>
    <w:rsid w:val="21474E95"/>
    <w:rsid w:val="22430583"/>
    <w:rsid w:val="237D649E"/>
    <w:rsid w:val="25366057"/>
    <w:rsid w:val="25D25D77"/>
    <w:rsid w:val="283E6653"/>
    <w:rsid w:val="2AD73C3A"/>
    <w:rsid w:val="2C1A1D33"/>
    <w:rsid w:val="2C206735"/>
    <w:rsid w:val="2CDF696A"/>
    <w:rsid w:val="2E787324"/>
    <w:rsid w:val="2F727147"/>
    <w:rsid w:val="307327E4"/>
    <w:rsid w:val="308361EE"/>
    <w:rsid w:val="31A959AB"/>
    <w:rsid w:val="326A2747"/>
    <w:rsid w:val="332337C6"/>
    <w:rsid w:val="33A974DE"/>
    <w:rsid w:val="34E32C7F"/>
    <w:rsid w:val="351F1785"/>
    <w:rsid w:val="36015C9A"/>
    <w:rsid w:val="36F04E60"/>
    <w:rsid w:val="3720206B"/>
    <w:rsid w:val="39154760"/>
    <w:rsid w:val="39CA6607"/>
    <w:rsid w:val="3A593AF8"/>
    <w:rsid w:val="3AA7790C"/>
    <w:rsid w:val="3C1C3655"/>
    <w:rsid w:val="3CB70BDA"/>
    <w:rsid w:val="3F8B39F7"/>
    <w:rsid w:val="41581CB8"/>
    <w:rsid w:val="423D0142"/>
    <w:rsid w:val="43AF6BFE"/>
    <w:rsid w:val="44C42008"/>
    <w:rsid w:val="451D449B"/>
    <w:rsid w:val="45537BF1"/>
    <w:rsid w:val="45592A2F"/>
    <w:rsid w:val="467E7D40"/>
    <w:rsid w:val="47BD1EFF"/>
    <w:rsid w:val="490F25BE"/>
    <w:rsid w:val="4B9747FB"/>
    <w:rsid w:val="4CC6143F"/>
    <w:rsid w:val="4E8A4E12"/>
    <w:rsid w:val="4EAB3EF0"/>
    <w:rsid w:val="4F6D6FB9"/>
    <w:rsid w:val="4F951627"/>
    <w:rsid w:val="509C7558"/>
    <w:rsid w:val="51A006B6"/>
    <w:rsid w:val="52515A6F"/>
    <w:rsid w:val="53706DB4"/>
    <w:rsid w:val="55516D91"/>
    <w:rsid w:val="55853886"/>
    <w:rsid w:val="57CB3FB9"/>
    <w:rsid w:val="57E1063E"/>
    <w:rsid w:val="593B4CD0"/>
    <w:rsid w:val="5A7B4D5D"/>
    <w:rsid w:val="5C8D38FC"/>
    <w:rsid w:val="5E906F6D"/>
    <w:rsid w:val="5F407EF4"/>
    <w:rsid w:val="61307A93"/>
    <w:rsid w:val="61B17EED"/>
    <w:rsid w:val="633964F2"/>
    <w:rsid w:val="635F67C1"/>
    <w:rsid w:val="64EF47CA"/>
    <w:rsid w:val="66660F6A"/>
    <w:rsid w:val="674913E9"/>
    <w:rsid w:val="680B06FB"/>
    <w:rsid w:val="68767769"/>
    <w:rsid w:val="689730D9"/>
    <w:rsid w:val="69372342"/>
    <w:rsid w:val="6D7229F1"/>
    <w:rsid w:val="6E215C68"/>
    <w:rsid w:val="6E612127"/>
    <w:rsid w:val="6EFD4CA4"/>
    <w:rsid w:val="7064316F"/>
    <w:rsid w:val="713F37FD"/>
    <w:rsid w:val="717811E6"/>
    <w:rsid w:val="720B17ED"/>
    <w:rsid w:val="723D3FCE"/>
    <w:rsid w:val="76FC2343"/>
    <w:rsid w:val="7739270C"/>
    <w:rsid w:val="78832B7F"/>
    <w:rsid w:val="79F87511"/>
    <w:rsid w:val="7A706E49"/>
    <w:rsid w:val="7B0336C5"/>
    <w:rsid w:val="7B04303A"/>
    <w:rsid w:val="7CBE3145"/>
    <w:rsid w:val="7D1E57A9"/>
    <w:rsid w:val="7E0934E3"/>
    <w:rsid w:val="7E0F7CD7"/>
    <w:rsid w:val="7E545B9D"/>
    <w:rsid w:val="7EB717E3"/>
    <w:rsid w:val="7FAF0C1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qFormat="1" w:unhideWhenUsed="0" w:uiPriority="99" w:name="index 2"/>
    <w:lsdException w:qFormat="1" w:unhideWhenUsed="0" w:uiPriority="99" w:name="index 3"/>
    <w:lsdException w:qFormat="1" w:unhideWhenUsed="0" w:uiPriority="99" w:name="index 4"/>
    <w:lsdException w:qFormat="1" w:unhideWhenUsed="0" w:uiPriority="99" w:name="index 5"/>
    <w:lsdException w:qFormat="1" w:unhideWhenUsed="0" w:uiPriority="99" w:name="index 6"/>
    <w:lsdException w:qFormat="1" w:unhideWhenUsed="0" w:uiPriority="99" w:name="index 7"/>
    <w:lsdException w:qFormat="1" w:unhideWhenUsed="0" w:uiPriority="99" w:name="index 8"/>
    <w:lsdException w:qFormat="1" w:unhideWhenUsed="0"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0" w:semiHidden="0" w:name="header"/>
    <w:lsdException w:qFormat="1" w:unhideWhenUsed="0" w:uiPriority="99" w:semiHidden="0" w:name="footer"/>
    <w:lsdException w:qFormat="1" w:unhideWhenUsed="0" w:uiPriority="99" w:name="index heading"/>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unhideWhenUsed="0" w:uiPriority="20" w:semiHidden="0" w:name="Emphasis" w:locked="1"/>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仿宋_GB2312" w:cs="Times New Roman"/>
      <w:kern w:val="2"/>
      <w:sz w:val="28"/>
      <w:szCs w:val="21"/>
      <w:lang w:val="en-US" w:eastAsia="zh-CN" w:bidi="ar-SA"/>
    </w:rPr>
  </w:style>
  <w:style w:type="paragraph" w:styleId="2">
    <w:name w:val="heading 1"/>
    <w:next w:val="1"/>
    <w:link w:val="54"/>
    <w:qFormat/>
    <w:uiPriority w:val="99"/>
    <w:pPr>
      <w:keepNext/>
      <w:keepLines/>
      <w:spacing w:line="560" w:lineRule="exact"/>
      <w:ind w:firstLine="560" w:firstLineChars="200"/>
      <w:jc w:val="both"/>
      <w:outlineLvl w:val="0"/>
    </w:pPr>
    <w:rPr>
      <w:rFonts w:ascii="Times New Roman" w:hAnsi="Times New Roman" w:eastAsia="黑体" w:cs="Times New Roman"/>
      <w:kern w:val="44"/>
      <w:sz w:val="28"/>
      <w:szCs w:val="32"/>
      <w:lang w:val="en-US" w:eastAsia="zh-CN" w:bidi="ar-SA"/>
    </w:rPr>
  </w:style>
  <w:style w:type="paragraph" w:styleId="3">
    <w:name w:val="heading 2"/>
    <w:next w:val="1"/>
    <w:link w:val="55"/>
    <w:qFormat/>
    <w:uiPriority w:val="99"/>
    <w:pPr>
      <w:widowControl w:val="0"/>
      <w:spacing w:before="120" w:after="120" w:line="560" w:lineRule="exact"/>
      <w:ind w:firstLine="560" w:firstLineChars="200"/>
      <w:jc w:val="both"/>
      <w:outlineLvl w:val="1"/>
    </w:pPr>
    <w:rPr>
      <w:rFonts w:ascii="Times New Roman" w:hAnsi="Times New Roman" w:eastAsia="楷体_GB2312" w:cs="Times New Roman"/>
      <w:kern w:val="2"/>
      <w:sz w:val="28"/>
      <w:szCs w:val="32"/>
      <w:lang w:val="en-US" w:eastAsia="zh-CN" w:bidi="ar-SA"/>
    </w:rPr>
  </w:style>
  <w:style w:type="paragraph" w:styleId="4">
    <w:name w:val="heading 3"/>
    <w:next w:val="1"/>
    <w:link w:val="56"/>
    <w:qFormat/>
    <w:uiPriority w:val="99"/>
    <w:pPr>
      <w:keepNext/>
      <w:keepLines/>
      <w:spacing w:line="560" w:lineRule="exact"/>
      <w:ind w:firstLine="562" w:firstLineChars="200"/>
      <w:jc w:val="both"/>
      <w:outlineLvl w:val="2"/>
    </w:pPr>
    <w:rPr>
      <w:rFonts w:ascii="Times New Roman" w:hAnsi="Times New Roman" w:eastAsia="仿宋_GB2312" w:cs="Times New Roman"/>
      <w:b/>
      <w:kern w:val="2"/>
      <w:sz w:val="28"/>
      <w:szCs w:val="32"/>
      <w:lang w:val="en-US" w:eastAsia="zh-CN" w:bidi="ar-SA"/>
    </w:rPr>
  </w:style>
  <w:style w:type="paragraph" w:styleId="5">
    <w:name w:val="heading 4"/>
    <w:next w:val="1"/>
    <w:link w:val="57"/>
    <w:qFormat/>
    <w:uiPriority w:val="99"/>
    <w:pPr>
      <w:keepNext/>
      <w:keepLines/>
      <w:spacing w:line="560" w:lineRule="exact"/>
      <w:ind w:firstLine="200" w:firstLineChars="200"/>
      <w:jc w:val="both"/>
      <w:outlineLvl w:val="3"/>
    </w:pPr>
    <w:rPr>
      <w:rFonts w:ascii="Times New Roman" w:hAnsi="Times New Roman" w:eastAsia="仿宋_GB2312" w:cs="Arial"/>
      <w:b/>
      <w:bCs/>
      <w:kern w:val="2"/>
      <w:sz w:val="32"/>
      <w:szCs w:val="28"/>
      <w:lang w:val="en-US" w:eastAsia="zh-CN" w:bidi="ar-SA"/>
    </w:rPr>
  </w:style>
  <w:style w:type="paragraph" w:styleId="6">
    <w:name w:val="heading 5"/>
    <w:basedOn w:val="1"/>
    <w:next w:val="1"/>
    <w:link w:val="58"/>
    <w:qFormat/>
    <w:uiPriority w:val="99"/>
    <w:pPr>
      <w:keepNext/>
      <w:keepLines/>
      <w:spacing w:before="280" w:after="290" w:line="376" w:lineRule="auto"/>
      <w:outlineLvl w:val="4"/>
    </w:pPr>
    <w:rPr>
      <w:b/>
      <w:bCs/>
      <w:szCs w:val="28"/>
    </w:rPr>
  </w:style>
  <w:style w:type="paragraph" w:styleId="7">
    <w:name w:val="heading 6"/>
    <w:basedOn w:val="1"/>
    <w:next w:val="1"/>
    <w:link w:val="59"/>
    <w:qFormat/>
    <w:uiPriority w:val="99"/>
    <w:pPr>
      <w:keepNext/>
      <w:keepLines/>
      <w:spacing w:before="240" w:after="64" w:line="320" w:lineRule="auto"/>
      <w:outlineLvl w:val="5"/>
    </w:pPr>
    <w:rPr>
      <w:rFonts w:ascii="Arial" w:hAnsi="Arial" w:eastAsia="黑体" w:cs="Arial"/>
      <w:b/>
      <w:bCs/>
      <w:sz w:val="24"/>
      <w:szCs w:val="24"/>
    </w:rPr>
  </w:style>
  <w:style w:type="paragraph" w:styleId="8">
    <w:name w:val="heading 7"/>
    <w:basedOn w:val="1"/>
    <w:next w:val="1"/>
    <w:link w:val="60"/>
    <w:qFormat/>
    <w:uiPriority w:val="99"/>
    <w:pPr>
      <w:keepNext/>
      <w:keepLines/>
      <w:spacing w:before="240" w:after="64" w:line="320" w:lineRule="auto"/>
      <w:outlineLvl w:val="6"/>
    </w:pPr>
    <w:rPr>
      <w:b/>
      <w:bCs/>
      <w:sz w:val="24"/>
      <w:szCs w:val="24"/>
    </w:rPr>
  </w:style>
  <w:style w:type="paragraph" w:styleId="9">
    <w:name w:val="heading 8"/>
    <w:basedOn w:val="1"/>
    <w:next w:val="1"/>
    <w:link w:val="61"/>
    <w:qFormat/>
    <w:uiPriority w:val="99"/>
    <w:pPr>
      <w:keepNext/>
      <w:keepLines/>
      <w:spacing w:before="240" w:after="64" w:line="320" w:lineRule="auto"/>
      <w:outlineLvl w:val="7"/>
    </w:pPr>
    <w:rPr>
      <w:rFonts w:ascii="Arial" w:hAnsi="Arial" w:eastAsia="黑体" w:cs="Arial"/>
      <w:sz w:val="24"/>
      <w:szCs w:val="24"/>
    </w:rPr>
  </w:style>
  <w:style w:type="paragraph" w:styleId="10">
    <w:name w:val="heading 9"/>
    <w:basedOn w:val="1"/>
    <w:next w:val="1"/>
    <w:link w:val="62"/>
    <w:qFormat/>
    <w:uiPriority w:val="99"/>
    <w:pPr>
      <w:keepNext/>
      <w:keepLines/>
      <w:spacing w:before="240" w:after="64" w:line="320" w:lineRule="auto"/>
      <w:outlineLvl w:val="8"/>
    </w:pPr>
    <w:rPr>
      <w:rFonts w:ascii="Arial" w:hAnsi="Arial" w:eastAsia="黑体" w:cs="Arial"/>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semiHidden/>
    <w:qFormat/>
    <w:uiPriority w:val="99"/>
    <w:pPr>
      <w:ind w:left="1260"/>
      <w:jc w:val="left"/>
    </w:pPr>
    <w:rPr>
      <w:rFonts w:asciiTheme="minorHAnsi" w:hAnsiTheme="minorHAnsi" w:cstheme="minorHAnsi"/>
      <w:sz w:val="18"/>
      <w:szCs w:val="18"/>
    </w:rPr>
  </w:style>
  <w:style w:type="paragraph" w:styleId="12">
    <w:name w:val="index 8"/>
    <w:basedOn w:val="1"/>
    <w:next w:val="1"/>
    <w:semiHidden/>
    <w:qFormat/>
    <w:uiPriority w:val="99"/>
    <w:pPr>
      <w:ind w:left="1680" w:hanging="210"/>
      <w:jc w:val="left"/>
    </w:pPr>
    <w:rPr>
      <w:rFonts w:ascii="Calibri" w:hAnsi="Calibri" w:cs="Calibri"/>
      <w:sz w:val="20"/>
      <w:szCs w:val="20"/>
    </w:rPr>
  </w:style>
  <w:style w:type="paragraph" w:styleId="13">
    <w:name w:val="Normal Indent"/>
    <w:basedOn w:val="1"/>
    <w:qFormat/>
    <w:uiPriority w:val="99"/>
    <w:pPr>
      <w:ind w:firstLine="420"/>
    </w:pPr>
    <w:rPr>
      <w:sz w:val="24"/>
      <w:szCs w:val="24"/>
    </w:rPr>
  </w:style>
  <w:style w:type="paragraph" w:styleId="14">
    <w:name w:val="caption"/>
    <w:basedOn w:val="1"/>
    <w:next w:val="1"/>
    <w:qFormat/>
    <w:uiPriority w:val="99"/>
    <w:pPr>
      <w:spacing w:before="152" w:after="160"/>
    </w:pPr>
    <w:rPr>
      <w:rFonts w:ascii="Arial" w:hAnsi="Arial" w:eastAsia="黑体" w:cs="Arial"/>
      <w:sz w:val="20"/>
      <w:szCs w:val="20"/>
    </w:rPr>
  </w:style>
  <w:style w:type="paragraph" w:styleId="15">
    <w:name w:val="index 5"/>
    <w:basedOn w:val="1"/>
    <w:next w:val="1"/>
    <w:semiHidden/>
    <w:qFormat/>
    <w:uiPriority w:val="99"/>
    <w:pPr>
      <w:ind w:left="1050" w:hanging="210"/>
      <w:jc w:val="left"/>
    </w:pPr>
    <w:rPr>
      <w:rFonts w:ascii="Calibri" w:hAnsi="Calibri" w:cs="Calibri"/>
      <w:sz w:val="20"/>
      <w:szCs w:val="20"/>
    </w:rPr>
  </w:style>
  <w:style w:type="paragraph" w:styleId="16">
    <w:name w:val="Document Map"/>
    <w:basedOn w:val="1"/>
    <w:link w:val="65"/>
    <w:semiHidden/>
    <w:qFormat/>
    <w:uiPriority w:val="99"/>
    <w:rPr>
      <w:rFonts w:ascii="宋体" w:cs="宋体"/>
      <w:sz w:val="18"/>
      <w:szCs w:val="18"/>
    </w:rPr>
  </w:style>
  <w:style w:type="paragraph" w:styleId="17">
    <w:name w:val="annotation text"/>
    <w:basedOn w:val="1"/>
    <w:link w:val="63"/>
    <w:semiHidden/>
    <w:qFormat/>
    <w:uiPriority w:val="99"/>
    <w:pPr>
      <w:jc w:val="left"/>
    </w:pPr>
  </w:style>
  <w:style w:type="paragraph" w:styleId="18">
    <w:name w:val="index 6"/>
    <w:basedOn w:val="1"/>
    <w:next w:val="1"/>
    <w:semiHidden/>
    <w:qFormat/>
    <w:uiPriority w:val="99"/>
    <w:pPr>
      <w:ind w:left="1260" w:hanging="210"/>
      <w:jc w:val="left"/>
    </w:pPr>
    <w:rPr>
      <w:rFonts w:ascii="Calibri" w:hAnsi="Calibri" w:cs="Calibri"/>
      <w:sz w:val="20"/>
      <w:szCs w:val="20"/>
    </w:rPr>
  </w:style>
  <w:style w:type="paragraph" w:styleId="19">
    <w:name w:val="Body Text"/>
    <w:basedOn w:val="1"/>
    <w:link w:val="66"/>
    <w:qFormat/>
    <w:uiPriority w:val="99"/>
    <w:pPr>
      <w:jc w:val="center"/>
    </w:pPr>
    <w:rPr>
      <w:sz w:val="18"/>
      <w:szCs w:val="18"/>
    </w:rPr>
  </w:style>
  <w:style w:type="paragraph" w:styleId="20">
    <w:name w:val="Body Text Indent"/>
    <w:basedOn w:val="1"/>
    <w:link w:val="67"/>
    <w:qFormat/>
    <w:uiPriority w:val="99"/>
    <w:pPr>
      <w:spacing w:after="120"/>
      <w:ind w:left="420" w:leftChars="200"/>
    </w:pPr>
  </w:style>
  <w:style w:type="paragraph" w:styleId="21">
    <w:name w:val="index 4"/>
    <w:basedOn w:val="1"/>
    <w:next w:val="1"/>
    <w:semiHidden/>
    <w:qFormat/>
    <w:uiPriority w:val="99"/>
    <w:pPr>
      <w:ind w:left="840" w:hanging="210"/>
      <w:jc w:val="left"/>
    </w:pPr>
    <w:rPr>
      <w:rFonts w:ascii="Calibri" w:hAnsi="Calibri" w:cs="Calibri"/>
      <w:sz w:val="20"/>
      <w:szCs w:val="20"/>
    </w:rPr>
  </w:style>
  <w:style w:type="paragraph" w:styleId="22">
    <w:name w:val="toc 5"/>
    <w:basedOn w:val="1"/>
    <w:next w:val="1"/>
    <w:semiHidden/>
    <w:qFormat/>
    <w:uiPriority w:val="99"/>
    <w:pPr>
      <w:ind w:left="840"/>
      <w:jc w:val="left"/>
    </w:pPr>
    <w:rPr>
      <w:rFonts w:asciiTheme="minorHAnsi" w:hAnsiTheme="minorHAnsi" w:cstheme="minorHAnsi"/>
      <w:sz w:val="18"/>
      <w:szCs w:val="18"/>
    </w:rPr>
  </w:style>
  <w:style w:type="paragraph" w:styleId="23">
    <w:name w:val="toc 3"/>
    <w:basedOn w:val="1"/>
    <w:next w:val="1"/>
    <w:qFormat/>
    <w:uiPriority w:val="39"/>
    <w:pPr>
      <w:ind w:left="420"/>
      <w:jc w:val="left"/>
    </w:pPr>
    <w:rPr>
      <w:rFonts w:asciiTheme="minorHAnsi" w:hAnsiTheme="minorHAnsi" w:cstheme="minorHAnsi"/>
      <w:i/>
      <w:iCs/>
      <w:sz w:val="20"/>
      <w:szCs w:val="20"/>
    </w:rPr>
  </w:style>
  <w:style w:type="paragraph" w:styleId="24">
    <w:name w:val="Plain Text"/>
    <w:basedOn w:val="1"/>
    <w:link w:val="68"/>
    <w:qFormat/>
    <w:uiPriority w:val="99"/>
    <w:rPr>
      <w:rFonts w:ascii="宋体" w:hAnsi="Courier New" w:cs="宋体"/>
    </w:rPr>
  </w:style>
  <w:style w:type="paragraph" w:styleId="25">
    <w:name w:val="toc 8"/>
    <w:basedOn w:val="1"/>
    <w:next w:val="1"/>
    <w:semiHidden/>
    <w:qFormat/>
    <w:uiPriority w:val="99"/>
    <w:pPr>
      <w:ind w:left="1470"/>
      <w:jc w:val="left"/>
    </w:pPr>
    <w:rPr>
      <w:rFonts w:asciiTheme="minorHAnsi" w:hAnsiTheme="minorHAnsi" w:cstheme="minorHAnsi"/>
      <w:sz w:val="18"/>
      <w:szCs w:val="18"/>
    </w:rPr>
  </w:style>
  <w:style w:type="paragraph" w:styleId="26">
    <w:name w:val="index 3"/>
    <w:basedOn w:val="1"/>
    <w:next w:val="1"/>
    <w:semiHidden/>
    <w:qFormat/>
    <w:uiPriority w:val="99"/>
    <w:pPr>
      <w:ind w:left="630" w:hanging="210"/>
      <w:jc w:val="left"/>
    </w:pPr>
    <w:rPr>
      <w:rFonts w:ascii="Calibri" w:hAnsi="Calibri" w:cs="Calibri"/>
      <w:sz w:val="20"/>
      <w:szCs w:val="20"/>
    </w:rPr>
  </w:style>
  <w:style w:type="paragraph" w:styleId="27">
    <w:name w:val="Date"/>
    <w:basedOn w:val="1"/>
    <w:next w:val="1"/>
    <w:link w:val="69"/>
    <w:qFormat/>
    <w:uiPriority w:val="99"/>
    <w:pPr>
      <w:ind w:left="100" w:leftChars="2500"/>
    </w:pPr>
  </w:style>
  <w:style w:type="paragraph" w:styleId="28">
    <w:name w:val="Body Text Indent 2"/>
    <w:basedOn w:val="1"/>
    <w:link w:val="70"/>
    <w:qFormat/>
    <w:uiPriority w:val="99"/>
    <w:pPr>
      <w:spacing w:after="120" w:line="480" w:lineRule="auto"/>
      <w:ind w:left="420" w:leftChars="200"/>
    </w:pPr>
  </w:style>
  <w:style w:type="paragraph" w:styleId="29">
    <w:name w:val="Balloon Text"/>
    <w:basedOn w:val="1"/>
    <w:link w:val="71"/>
    <w:semiHidden/>
    <w:qFormat/>
    <w:uiPriority w:val="99"/>
    <w:rPr>
      <w:sz w:val="18"/>
      <w:szCs w:val="18"/>
    </w:rPr>
  </w:style>
  <w:style w:type="paragraph" w:styleId="30">
    <w:name w:val="footer"/>
    <w:basedOn w:val="1"/>
    <w:link w:val="72"/>
    <w:qFormat/>
    <w:uiPriority w:val="99"/>
    <w:pPr>
      <w:tabs>
        <w:tab w:val="center" w:pos="4153"/>
        <w:tab w:val="right" w:pos="8306"/>
      </w:tabs>
      <w:snapToGrid w:val="0"/>
      <w:jc w:val="left"/>
    </w:pPr>
    <w:rPr>
      <w:sz w:val="18"/>
      <w:szCs w:val="18"/>
    </w:rPr>
  </w:style>
  <w:style w:type="paragraph" w:styleId="31">
    <w:name w:val="header"/>
    <w:basedOn w:val="1"/>
    <w:link w:val="73"/>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33">
    <w:name w:val="toc 4"/>
    <w:basedOn w:val="1"/>
    <w:next w:val="1"/>
    <w:semiHidden/>
    <w:qFormat/>
    <w:uiPriority w:val="99"/>
    <w:pPr>
      <w:ind w:left="630"/>
      <w:jc w:val="left"/>
    </w:pPr>
    <w:rPr>
      <w:rFonts w:asciiTheme="minorHAnsi" w:hAnsiTheme="minorHAnsi" w:cstheme="minorHAnsi"/>
      <w:sz w:val="18"/>
      <w:szCs w:val="18"/>
    </w:rPr>
  </w:style>
  <w:style w:type="paragraph" w:styleId="34">
    <w:name w:val="index heading"/>
    <w:basedOn w:val="1"/>
    <w:next w:val="35"/>
    <w:semiHidden/>
    <w:qFormat/>
    <w:uiPriority w:val="99"/>
    <w:pPr>
      <w:spacing w:before="120" w:after="120"/>
      <w:jc w:val="center"/>
    </w:pPr>
    <w:rPr>
      <w:rFonts w:ascii="Calibri" w:hAnsi="Calibri" w:cs="Calibri"/>
      <w:b/>
      <w:bCs/>
    </w:rPr>
  </w:style>
  <w:style w:type="paragraph" w:styleId="35">
    <w:name w:val="index 1"/>
    <w:basedOn w:val="1"/>
    <w:next w:val="36"/>
    <w:semiHidden/>
    <w:qFormat/>
    <w:uiPriority w:val="99"/>
    <w:pPr>
      <w:tabs>
        <w:tab w:val="right" w:leader="dot" w:pos="9299"/>
      </w:tabs>
      <w:jc w:val="left"/>
    </w:pPr>
    <w:rPr>
      <w:rFonts w:ascii="宋体" w:cs="宋体"/>
    </w:rPr>
  </w:style>
  <w:style w:type="paragraph" w:customStyle="1" w:styleId="36">
    <w:name w:val="段"/>
    <w:link w:val="83"/>
    <w:qFormat/>
    <w:uiPriority w:val="99"/>
    <w:pPr>
      <w:tabs>
        <w:tab w:val="center" w:pos="4201"/>
        <w:tab w:val="right" w:leader="dot" w:pos="9298"/>
      </w:tabs>
      <w:autoSpaceDE w:val="0"/>
      <w:autoSpaceDN w:val="0"/>
      <w:ind w:firstLine="420" w:firstLineChars="200"/>
      <w:jc w:val="both"/>
    </w:pPr>
    <w:rPr>
      <w:rFonts w:ascii="宋体" w:hAnsi="Times New Roman" w:eastAsia="宋体" w:cs="宋体"/>
      <w:sz w:val="21"/>
      <w:szCs w:val="21"/>
      <w:lang w:val="en-US" w:eastAsia="zh-CN" w:bidi="ar-SA"/>
    </w:rPr>
  </w:style>
  <w:style w:type="paragraph" w:styleId="37">
    <w:name w:val="footnote text"/>
    <w:basedOn w:val="1"/>
    <w:link w:val="74"/>
    <w:semiHidden/>
    <w:qFormat/>
    <w:uiPriority w:val="99"/>
    <w:pPr>
      <w:tabs>
        <w:tab w:val="left" w:pos="0"/>
      </w:tabs>
      <w:snapToGrid w:val="0"/>
      <w:ind w:left="720" w:hanging="357"/>
      <w:jc w:val="left"/>
    </w:pPr>
    <w:rPr>
      <w:rFonts w:ascii="宋体" w:cs="宋体"/>
      <w:sz w:val="18"/>
      <w:szCs w:val="18"/>
    </w:rPr>
  </w:style>
  <w:style w:type="paragraph" w:styleId="38">
    <w:name w:val="toc 6"/>
    <w:basedOn w:val="1"/>
    <w:next w:val="1"/>
    <w:semiHidden/>
    <w:qFormat/>
    <w:uiPriority w:val="99"/>
    <w:pPr>
      <w:ind w:left="1050"/>
      <w:jc w:val="left"/>
    </w:pPr>
    <w:rPr>
      <w:rFonts w:asciiTheme="minorHAnsi" w:hAnsiTheme="minorHAnsi" w:cstheme="minorHAnsi"/>
      <w:sz w:val="18"/>
      <w:szCs w:val="18"/>
    </w:rPr>
  </w:style>
  <w:style w:type="paragraph" w:styleId="39">
    <w:name w:val="index 7"/>
    <w:basedOn w:val="1"/>
    <w:next w:val="1"/>
    <w:semiHidden/>
    <w:qFormat/>
    <w:uiPriority w:val="99"/>
    <w:pPr>
      <w:ind w:left="1470" w:hanging="210"/>
      <w:jc w:val="left"/>
    </w:pPr>
    <w:rPr>
      <w:rFonts w:ascii="Calibri" w:hAnsi="Calibri" w:cs="Calibri"/>
      <w:sz w:val="20"/>
      <w:szCs w:val="20"/>
    </w:rPr>
  </w:style>
  <w:style w:type="paragraph" w:styleId="40">
    <w:name w:val="index 9"/>
    <w:basedOn w:val="1"/>
    <w:next w:val="1"/>
    <w:semiHidden/>
    <w:qFormat/>
    <w:uiPriority w:val="99"/>
    <w:pPr>
      <w:ind w:left="1890" w:hanging="210"/>
      <w:jc w:val="left"/>
    </w:pPr>
    <w:rPr>
      <w:rFonts w:ascii="Calibri" w:hAnsi="Calibri" w:cs="Calibri"/>
      <w:sz w:val="20"/>
      <w:szCs w:val="20"/>
    </w:rPr>
  </w:style>
  <w:style w:type="paragraph" w:styleId="41">
    <w:name w:val="toc 2"/>
    <w:basedOn w:val="1"/>
    <w:next w:val="1"/>
    <w:qFormat/>
    <w:uiPriority w:val="39"/>
    <w:pPr>
      <w:ind w:left="210"/>
      <w:jc w:val="left"/>
    </w:pPr>
    <w:rPr>
      <w:rFonts w:asciiTheme="minorHAnsi" w:hAnsiTheme="minorHAnsi" w:cstheme="minorHAnsi"/>
      <w:smallCaps/>
      <w:sz w:val="20"/>
      <w:szCs w:val="20"/>
    </w:rPr>
  </w:style>
  <w:style w:type="paragraph" w:styleId="42">
    <w:name w:val="toc 9"/>
    <w:basedOn w:val="1"/>
    <w:next w:val="1"/>
    <w:semiHidden/>
    <w:qFormat/>
    <w:uiPriority w:val="99"/>
    <w:pPr>
      <w:ind w:left="1680"/>
      <w:jc w:val="left"/>
    </w:pPr>
    <w:rPr>
      <w:rFonts w:asciiTheme="minorHAnsi" w:hAnsiTheme="minorHAnsi" w:cstheme="minorHAnsi"/>
      <w:sz w:val="18"/>
      <w:szCs w:val="18"/>
    </w:rPr>
  </w:style>
  <w:style w:type="paragraph" w:styleId="43">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4">
    <w:name w:val="index 2"/>
    <w:basedOn w:val="1"/>
    <w:next w:val="1"/>
    <w:semiHidden/>
    <w:qFormat/>
    <w:uiPriority w:val="99"/>
    <w:pPr>
      <w:ind w:left="420" w:hanging="210"/>
      <w:jc w:val="left"/>
    </w:pPr>
    <w:rPr>
      <w:rFonts w:ascii="Calibri" w:hAnsi="Calibri" w:cs="Calibri"/>
      <w:sz w:val="20"/>
      <w:szCs w:val="20"/>
    </w:rPr>
  </w:style>
  <w:style w:type="paragraph" w:styleId="45">
    <w:name w:val="annotation subject"/>
    <w:basedOn w:val="17"/>
    <w:next w:val="17"/>
    <w:link w:val="64"/>
    <w:semiHidden/>
    <w:qFormat/>
    <w:uiPriority w:val="99"/>
    <w:rPr>
      <w:b/>
      <w:bCs/>
    </w:rPr>
  </w:style>
  <w:style w:type="table" w:styleId="47">
    <w:name w:val="Table Grid"/>
    <w:basedOn w:val="46"/>
    <w:qFormat/>
    <w:uiPriority w:val="99"/>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Strong"/>
    <w:basedOn w:val="48"/>
    <w:qFormat/>
    <w:uiPriority w:val="99"/>
    <w:rPr>
      <w:b/>
      <w:bCs/>
    </w:rPr>
  </w:style>
  <w:style w:type="character" w:styleId="50">
    <w:name w:val="page number"/>
    <w:basedOn w:val="48"/>
    <w:qFormat/>
    <w:uiPriority w:val="99"/>
  </w:style>
  <w:style w:type="character" w:styleId="51">
    <w:name w:val="FollowedHyperlink"/>
    <w:basedOn w:val="48"/>
    <w:qFormat/>
    <w:uiPriority w:val="99"/>
    <w:rPr>
      <w:color w:val="800080"/>
      <w:u w:val="single"/>
    </w:rPr>
  </w:style>
  <w:style w:type="character" w:styleId="52">
    <w:name w:val="Hyperlink"/>
    <w:basedOn w:val="48"/>
    <w:qFormat/>
    <w:uiPriority w:val="99"/>
    <w:rPr>
      <w:color w:val="0000FF"/>
      <w:u w:val="single"/>
    </w:rPr>
  </w:style>
  <w:style w:type="character" w:styleId="53">
    <w:name w:val="annotation reference"/>
    <w:basedOn w:val="48"/>
    <w:semiHidden/>
    <w:qFormat/>
    <w:uiPriority w:val="99"/>
    <w:rPr>
      <w:sz w:val="21"/>
      <w:szCs w:val="21"/>
    </w:rPr>
  </w:style>
  <w:style w:type="character" w:customStyle="1" w:styleId="54">
    <w:name w:val="标题 1 字符"/>
    <w:basedOn w:val="48"/>
    <w:link w:val="2"/>
    <w:qFormat/>
    <w:locked/>
    <w:uiPriority w:val="99"/>
    <w:rPr>
      <w:rFonts w:eastAsia="黑体"/>
      <w:kern w:val="44"/>
      <w:sz w:val="28"/>
      <w:szCs w:val="32"/>
    </w:rPr>
  </w:style>
  <w:style w:type="character" w:customStyle="1" w:styleId="55">
    <w:name w:val="标题 2 字符"/>
    <w:basedOn w:val="48"/>
    <w:link w:val="3"/>
    <w:qFormat/>
    <w:locked/>
    <w:uiPriority w:val="99"/>
    <w:rPr>
      <w:rFonts w:eastAsia="楷体_GB2312"/>
      <w:kern w:val="2"/>
      <w:sz w:val="28"/>
      <w:szCs w:val="32"/>
    </w:rPr>
  </w:style>
  <w:style w:type="character" w:customStyle="1" w:styleId="56">
    <w:name w:val="标题 3 字符"/>
    <w:basedOn w:val="48"/>
    <w:link w:val="4"/>
    <w:qFormat/>
    <w:locked/>
    <w:uiPriority w:val="99"/>
    <w:rPr>
      <w:rFonts w:eastAsia="仿宋_GB2312"/>
      <w:b/>
      <w:kern w:val="2"/>
      <w:sz w:val="28"/>
      <w:szCs w:val="32"/>
    </w:rPr>
  </w:style>
  <w:style w:type="character" w:customStyle="1" w:styleId="57">
    <w:name w:val="标题 4 字符"/>
    <w:basedOn w:val="48"/>
    <w:link w:val="5"/>
    <w:qFormat/>
    <w:locked/>
    <w:uiPriority w:val="99"/>
    <w:rPr>
      <w:rFonts w:eastAsia="仿宋_GB2312" w:cs="Arial"/>
      <w:b/>
      <w:bCs/>
      <w:kern w:val="2"/>
      <w:sz w:val="32"/>
      <w:szCs w:val="28"/>
    </w:rPr>
  </w:style>
  <w:style w:type="character" w:customStyle="1" w:styleId="58">
    <w:name w:val="标题 5 字符"/>
    <w:basedOn w:val="48"/>
    <w:link w:val="6"/>
    <w:qFormat/>
    <w:locked/>
    <w:uiPriority w:val="99"/>
    <w:rPr>
      <w:rFonts w:ascii="Times New Roman" w:hAnsi="Times New Roman" w:eastAsia="宋体" w:cs="Times New Roman"/>
      <w:b/>
      <w:bCs/>
      <w:sz w:val="28"/>
      <w:szCs w:val="28"/>
    </w:rPr>
  </w:style>
  <w:style w:type="character" w:customStyle="1" w:styleId="59">
    <w:name w:val="标题 6 字符"/>
    <w:basedOn w:val="48"/>
    <w:link w:val="7"/>
    <w:qFormat/>
    <w:locked/>
    <w:uiPriority w:val="99"/>
    <w:rPr>
      <w:rFonts w:ascii="Arial" w:hAnsi="Arial" w:eastAsia="黑体" w:cs="Arial"/>
      <w:b/>
      <w:bCs/>
      <w:sz w:val="24"/>
      <w:szCs w:val="24"/>
    </w:rPr>
  </w:style>
  <w:style w:type="character" w:customStyle="1" w:styleId="60">
    <w:name w:val="标题 7 字符"/>
    <w:basedOn w:val="48"/>
    <w:link w:val="8"/>
    <w:qFormat/>
    <w:locked/>
    <w:uiPriority w:val="99"/>
    <w:rPr>
      <w:rFonts w:ascii="Times New Roman" w:hAnsi="Times New Roman" w:eastAsia="宋体" w:cs="Times New Roman"/>
      <w:b/>
      <w:bCs/>
      <w:sz w:val="24"/>
      <w:szCs w:val="24"/>
    </w:rPr>
  </w:style>
  <w:style w:type="character" w:customStyle="1" w:styleId="61">
    <w:name w:val="标题 8 字符"/>
    <w:basedOn w:val="48"/>
    <w:link w:val="9"/>
    <w:qFormat/>
    <w:locked/>
    <w:uiPriority w:val="99"/>
    <w:rPr>
      <w:rFonts w:ascii="Arial" w:hAnsi="Arial" w:eastAsia="黑体" w:cs="Arial"/>
      <w:sz w:val="24"/>
      <w:szCs w:val="24"/>
    </w:rPr>
  </w:style>
  <w:style w:type="character" w:customStyle="1" w:styleId="62">
    <w:name w:val="标题 9 字符"/>
    <w:basedOn w:val="48"/>
    <w:link w:val="10"/>
    <w:qFormat/>
    <w:locked/>
    <w:uiPriority w:val="99"/>
    <w:rPr>
      <w:rFonts w:ascii="Arial" w:hAnsi="Arial" w:eastAsia="黑体" w:cs="Arial"/>
      <w:sz w:val="21"/>
      <w:szCs w:val="21"/>
    </w:rPr>
  </w:style>
  <w:style w:type="character" w:customStyle="1" w:styleId="63">
    <w:name w:val="批注文字 字符"/>
    <w:basedOn w:val="48"/>
    <w:link w:val="17"/>
    <w:semiHidden/>
    <w:qFormat/>
    <w:locked/>
    <w:uiPriority w:val="99"/>
    <w:rPr>
      <w:rFonts w:ascii="Times New Roman" w:hAnsi="Times New Roman" w:eastAsia="宋体" w:cs="Times New Roman"/>
      <w:sz w:val="24"/>
      <w:szCs w:val="24"/>
    </w:rPr>
  </w:style>
  <w:style w:type="character" w:customStyle="1" w:styleId="64">
    <w:name w:val="批注主题 字符"/>
    <w:basedOn w:val="63"/>
    <w:link w:val="45"/>
    <w:semiHidden/>
    <w:qFormat/>
    <w:locked/>
    <w:uiPriority w:val="99"/>
    <w:rPr>
      <w:rFonts w:ascii="Times New Roman" w:hAnsi="Times New Roman" w:eastAsia="宋体" w:cs="Times New Roman"/>
      <w:b/>
      <w:bCs/>
      <w:sz w:val="24"/>
      <w:szCs w:val="24"/>
    </w:rPr>
  </w:style>
  <w:style w:type="character" w:customStyle="1" w:styleId="65">
    <w:name w:val="文档结构图 字符"/>
    <w:basedOn w:val="48"/>
    <w:link w:val="16"/>
    <w:semiHidden/>
    <w:qFormat/>
    <w:locked/>
    <w:uiPriority w:val="99"/>
    <w:rPr>
      <w:rFonts w:ascii="宋体" w:hAnsi="Times New Roman" w:eastAsia="宋体" w:cs="宋体"/>
      <w:sz w:val="18"/>
      <w:szCs w:val="18"/>
    </w:rPr>
  </w:style>
  <w:style w:type="character" w:customStyle="1" w:styleId="66">
    <w:name w:val="正文文本 字符"/>
    <w:basedOn w:val="48"/>
    <w:link w:val="19"/>
    <w:qFormat/>
    <w:locked/>
    <w:uiPriority w:val="99"/>
    <w:rPr>
      <w:rFonts w:ascii="Times New Roman" w:hAnsi="Times New Roman" w:eastAsia="宋体" w:cs="Times New Roman"/>
      <w:sz w:val="24"/>
      <w:szCs w:val="24"/>
    </w:rPr>
  </w:style>
  <w:style w:type="character" w:customStyle="1" w:styleId="67">
    <w:name w:val="正文文本缩进 字符"/>
    <w:basedOn w:val="48"/>
    <w:link w:val="20"/>
    <w:qFormat/>
    <w:locked/>
    <w:uiPriority w:val="99"/>
    <w:rPr>
      <w:rFonts w:ascii="Times New Roman" w:hAnsi="Times New Roman" w:eastAsia="宋体" w:cs="Times New Roman"/>
      <w:sz w:val="24"/>
      <w:szCs w:val="24"/>
    </w:rPr>
  </w:style>
  <w:style w:type="character" w:customStyle="1" w:styleId="68">
    <w:name w:val="纯文本 字符"/>
    <w:basedOn w:val="48"/>
    <w:link w:val="24"/>
    <w:qFormat/>
    <w:locked/>
    <w:uiPriority w:val="99"/>
    <w:rPr>
      <w:rFonts w:ascii="宋体" w:hAnsi="Courier New" w:eastAsia="宋体" w:cs="宋体"/>
      <w:sz w:val="21"/>
      <w:szCs w:val="21"/>
    </w:rPr>
  </w:style>
  <w:style w:type="character" w:customStyle="1" w:styleId="69">
    <w:name w:val="日期 字符"/>
    <w:basedOn w:val="48"/>
    <w:link w:val="27"/>
    <w:qFormat/>
    <w:locked/>
    <w:uiPriority w:val="99"/>
    <w:rPr>
      <w:rFonts w:ascii="Times New Roman" w:hAnsi="Times New Roman" w:eastAsia="宋体" w:cs="Times New Roman"/>
      <w:sz w:val="24"/>
      <w:szCs w:val="24"/>
    </w:rPr>
  </w:style>
  <w:style w:type="character" w:customStyle="1" w:styleId="70">
    <w:name w:val="正文文本缩进 2 字符"/>
    <w:basedOn w:val="48"/>
    <w:link w:val="28"/>
    <w:qFormat/>
    <w:locked/>
    <w:uiPriority w:val="99"/>
    <w:rPr>
      <w:rFonts w:ascii="Times New Roman" w:hAnsi="Times New Roman" w:eastAsia="宋体" w:cs="Times New Roman"/>
      <w:sz w:val="20"/>
      <w:szCs w:val="20"/>
    </w:rPr>
  </w:style>
  <w:style w:type="character" w:customStyle="1" w:styleId="71">
    <w:name w:val="批注框文本 字符"/>
    <w:basedOn w:val="48"/>
    <w:link w:val="29"/>
    <w:semiHidden/>
    <w:qFormat/>
    <w:locked/>
    <w:uiPriority w:val="99"/>
    <w:rPr>
      <w:rFonts w:ascii="Times New Roman" w:hAnsi="Times New Roman" w:eastAsia="宋体" w:cs="Times New Roman"/>
      <w:sz w:val="18"/>
      <w:szCs w:val="18"/>
    </w:rPr>
  </w:style>
  <w:style w:type="character" w:customStyle="1" w:styleId="72">
    <w:name w:val="页脚 字符"/>
    <w:basedOn w:val="48"/>
    <w:link w:val="30"/>
    <w:qFormat/>
    <w:locked/>
    <w:uiPriority w:val="99"/>
    <w:rPr>
      <w:sz w:val="18"/>
      <w:szCs w:val="18"/>
    </w:rPr>
  </w:style>
  <w:style w:type="character" w:customStyle="1" w:styleId="73">
    <w:name w:val="页眉 字符"/>
    <w:basedOn w:val="48"/>
    <w:link w:val="31"/>
    <w:qFormat/>
    <w:locked/>
    <w:uiPriority w:val="99"/>
    <w:rPr>
      <w:sz w:val="18"/>
      <w:szCs w:val="18"/>
    </w:rPr>
  </w:style>
  <w:style w:type="character" w:customStyle="1" w:styleId="74">
    <w:name w:val="脚注文本 字符"/>
    <w:basedOn w:val="48"/>
    <w:link w:val="37"/>
    <w:qFormat/>
    <w:locked/>
    <w:uiPriority w:val="99"/>
    <w:rPr>
      <w:rFonts w:ascii="宋体" w:hAnsi="Times New Roman" w:eastAsia="宋体" w:cs="宋体"/>
      <w:sz w:val="18"/>
      <w:szCs w:val="18"/>
    </w:rPr>
  </w:style>
  <w:style w:type="paragraph" w:styleId="75">
    <w:name w:val="List Paragraph"/>
    <w:basedOn w:val="1"/>
    <w:qFormat/>
    <w:uiPriority w:val="99"/>
    <w:pPr>
      <w:ind w:firstLine="420"/>
    </w:pPr>
  </w:style>
  <w:style w:type="paragraph" w:customStyle="1" w:styleId="76">
    <w:name w:val="正文 New New New New New New New New New New New New"/>
    <w:qFormat/>
    <w:uiPriority w:val="99"/>
    <w:pPr>
      <w:widowControl w:val="0"/>
      <w:jc w:val="both"/>
    </w:pPr>
    <w:rPr>
      <w:rFonts w:ascii="Calibri" w:hAnsi="Calibri" w:eastAsia="宋体" w:cs="Calibri"/>
      <w:kern w:val="2"/>
      <w:sz w:val="21"/>
      <w:szCs w:val="21"/>
      <w:lang w:val="en-US" w:eastAsia="zh-CN" w:bidi="ar-SA"/>
    </w:rPr>
  </w:style>
  <w:style w:type="paragraph" w:customStyle="1" w:styleId="77">
    <w:name w:val="字母编号列项（一级）"/>
    <w:qFormat/>
    <w:uiPriority w:val="99"/>
    <w:pPr>
      <w:tabs>
        <w:tab w:val="left" w:pos="840"/>
      </w:tabs>
      <w:ind w:left="839" w:hanging="419"/>
      <w:jc w:val="both"/>
    </w:pPr>
    <w:rPr>
      <w:rFonts w:ascii="宋体" w:hAnsi="Times New Roman" w:eastAsia="宋体" w:cs="宋体"/>
      <w:sz w:val="21"/>
      <w:szCs w:val="21"/>
      <w:lang w:val="en-US" w:eastAsia="zh-CN" w:bidi="ar-SA"/>
    </w:rPr>
  </w:style>
  <w:style w:type="paragraph" w:customStyle="1" w:styleId="78">
    <w:name w:val="Char Char1"/>
    <w:basedOn w:val="1"/>
    <w:semiHidden/>
    <w:qFormat/>
    <w:uiPriority w:val="99"/>
    <w:pPr>
      <w:widowControl/>
      <w:spacing w:after="160" w:line="240" w:lineRule="exact"/>
      <w:jc w:val="left"/>
    </w:pPr>
    <w:rPr>
      <w:rFonts w:ascii="Verdana" w:hAnsi="Verdana" w:cs="Verdana"/>
      <w:kern w:val="0"/>
      <w:sz w:val="24"/>
      <w:szCs w:val="24"/>
      <w:lang w:eastAsia="en-US"/>
    </w:rPr>
  </w:style>
  <w:style w:type="paragraph" w:customStyle="1" w:styleId="79">
    <w:name w:val="数字编号列项（二级）"/>
    <w:qFormat/>
    <w:uiPriority w:val="99"/>
    <w:pPr>
      <w:tabs>
        <w:tab w:val="left" w:pos="1260"/>
      </w:tabs>
      <w:ind w:left="1259" w:hanging="419"/>
      <w:jc w:val="both"/>
    </w:pPr>
    <w:rPr>
      <w:rFonts w:ascii="宋体" w:hAnsi="Times New Roman" w:eastAsia="宋体" w:cs="宋体"/>
      <w:sz w:val="21"/>
      <w:szCs w:val="21"/>
      <w:lang w:val="en-US" w:eastAsia="zh-CN" w:bidi="ar-SA"/>
    </w:rPr>
  </w:style>
  <w:style w:type="paragraph" w:customStyle="1" w:styleId="80">
    <w:name w:val="Char Char1 Char Char Char Char"/>
    <w:basedOn w:val="1"/>
    <w:semiHidden/>
    <w:qFormat/>
    <w:uiPriority w:val="99"/>
    <w:pPr>
      <w:widowControl/>
      <w:spacing w:after="160" w:line="240" w:lineRule="exact"/>
      <w:jc w:val="left"/>
    </w:pPr>
    <w:rPr>
      <w:rFonts w:ascii="Verdana" w:hAnsi="Verdana" w:cs="Verdana"/>
      <w:kern w:val="0"/>
      <w:sz w:val="24"/>
      <w:szCs w:val="24"/>
      <w:lang w:eastAsia="en-US"/>
    </w:rPr>
  </w:style>
  <w:style w:type="character" w:customStyle="1" w:styleId="81">
    <w:name w:val="apple-converted-space"/>
    <w:basedOn w:val="48"/>
    <w:qFormat/>
    <w:uiPriority w:val="99"/>
  </w:style>
  <w:style w:type="paragraph" w:customStyle="1" w:styleId="82">
    <w:name w:val="要求"/>
    <w:basedOn w:val="1"/>
    <w:qFormat/>
    <w:uiPriority w:val="99"/>
    <w:pPr>
      <w:widowControl/>
      <w:tabs>
        <w:tab w:val="center" w:pos="4201"/>
        <w:tab w:val="right" w:leader="dot" w:pos="9298"/>
      </w:tabs>
      <w:autoSpaceDE w:val="0"/>
      <w:autoSpaceDN w:val="0"/>
      <w:adjustRightInd w:val="0"/>
      <w:snapToGrid w:val="0"/>
      <w:ind w:left="200" w:leftChars="200"/>
    </w:pPr>
    <w:rPr>
      <w:rFonts w:ascii="宋体" w:cs="宋体"/>
      <w:kern w:val="0"/>
    </w:rPr>
  </w:style>
  <w:style w:type="character" w:customStyle="1" w:styleId="83">
    <w:name w:val="段 Char"/>
    <w:basedOn w:val="48"/>
    <w:link w:val="36"/>
    <w:qFormat/>
    <w:locked/>
    <w:uiPriority w:val="99"/>
    <w:rPr>
      <w:rFonts w:ascii="宋体" w:hAnsi="Times New Roman" w:cs="宋体"/>
      <w:sz w:val="21"/>
      <w:szCs w:val="21"/>
      <w:lang w:val="en-US" w:eastAsia="zh-CN"/>
    </w:rPr>
  </w:style>
  <w:style w:type="paragraph" w:customStyle="1" w:styleId="84">
    <w:name w:val="示例内容"/>
    <w:qFormat/>
    <w:uiPriority w:val="99"/>
    <w:pPr>
      <w:ind w:firstLine="200" w:firstLineChars="200"/>
    </w:pPr>
    <w:rPr>
      <w:rFonts w:ascii="宋体" w:hAnsi="Times New Roman" w:eastAsia="宋体" w:cs="宋体"/>
      <w:sz w:val="18"/>
      <w:szCs w:val="18"/>
      <w:lang w:val="en-US" w:eastAsia="zh-CN" w:bidi="ar-SA"/>
    </w:rPr>
  </w:style>
  <w:style w:type="paragraph" w:customStyle="1" w:styleId="85">
    <w:name w:val="章标题"/>
    <w:next w:val="36"/>
    <w:qFormat/>
    <w:uiPriority w:val="99"/>
    <w:pPr>
      <w:tabs>
        <w:tab w:val="left" w:pos="480"/>
      </w:tabs>
      <w:spacing w:beforeLines="100" w:afterLines="100"/>
      <w:ind w:left="480" w:hanging="480"/>
      <w:jc w:val="both"/>
      <w:outlineLvl w:val="1"/>
    </w:pPr>
    <w:rPr>
      <w:rFonts w:ascii="黑体" w:hAnsi="Times New Roman" w:eastAsia="黑体" w:cs="黑体"/>
      <w:sz w:val="21"/>
      <w:szCs w:val="21"/>
      <w:lang w:val="en-US" w:eastAsia="zh-CN" w:bidi="ar-SA"/>
    </w:rPr>
  </w:style>
  <w:style w:type="paragraph" w:customStyle="1" w:styleId="86">
    <w:name w:val="二级条标题"/>
    <w:basedOn w:val="1"/>
    <w:next w:val="36"/>
    <w:qFormat/>
    <w:uiPriority w:val="99"/>
    <w:pPr>
      <w:widowControl/>
      <w:tabs>
        <w:tab w:val="left" w:pos="1260"/>
      </w:tabs>
      <w:spacing w:beforeLines="50" w:afterLines="50"/>
      <w:ind w:left="1260" w:hanging="420"/>
      <w:jc w:val="left"/>
      <w:outlineLvl w:val="3"/>
    </w:pPr>
    <w:rPr>
      <w:rFonts w:ascii="黑体" w:eastAsia="黑体" w:cs="黑体"/>
      <w:kern w:val="0"/>
    </w:rPr>
  </w:style>
  <w:style w:type="paragraph" w:customStyle="1" w:styleId="87">
    <w:name w:val="三级条标题"/>
    <w:basedOn w:val="86"/>
    <w:next w:val="36"/>
    <w:qFormat/>
    <w:uiPriority w:val="99"/>
    <w:pPr>
      <w:numPr>
        <w:ilvl w:val="1"/>
        <w:numId w:val="1"/>
      </w:numPr>
      <w:tabs>
        <w:tab w:val="left" w:pos="-144"/>
      </w:tabs>
      <w:spacing w:before="156" w:after="156"/>
      <w:ind w:left="-144" w:hanging="144"/>
    </w:pPr>
  </w:style>
  <w:style w:type="paragraph" w:customStyle="1" w:styleId="88">
    <w:name w:val="四级条标题"/>
    <w:basedOn w:val="87"/>
    <w:next w:val="36"/>
    <w:qFormat/>
    <w:uiPriority w:val="99"/>
    <w:pPr>
      <w:numPr>
        <w:ilvl w:val="0"/>
        <w:numId w:val="2"/>
      </w:numPr>
      <w:ind w:left="0" w:firstLine="0"/>
      <w:outlineLvl w:val="5"/>
    </w:pPr>
  </w:style>
  <w:style w:type="paragraph" w:customStyle="1" w:styleId="89">
    <w:name w:val="第二层"/>
    <w:basedOn w:val="1"/>
    <w:qFormat/>
    <w:uiPriority w:val="99"/>
    <w:pPr>
      <w:numPr>
        <w:ilvl w:val="1"/>
        <w:numId w:val="2"/>
      </w:numPr>
      <w:tabs>
        <w:tab w:val="clear" w:pos="760"/>
      </w:tabs>
      <w:ind w:left="0" w:firstLine="0"/>
    </w:pPr>
    <w:rPr>
      <w:rFonts w:ascii="宋体" w:hAnsi="宋体" w:eastAsia="黑体" w:cs="宋体"/>
      <w:szCs w:val="28"/>
    </w:rPr>
  </w:style>
  <w:style w:type="paragraph" w:customStyle="1" w:styleId="90">
    <w:name w:val="列项——（一级）"/>
    <w:qFormat/>
    <w:uiPriority w:val="99"/>
    <w:pPr>
      <w:widowControl w:val="0"/>
      <w:numPr>
        <w:ilvl w:val="2"/>
        <w:numId w:val="2"/>
      </w:numPr>
      <w:tabs>
        <w:tab w:val="clear" w:pos="1678"/>
      </w:tabs>
      <w:ind w:left="833" w:hanging="408"/>
      <w:jc w:val="both"/>
    </w:pPr>
    <w:rPr>
      <w:rFonts w:ascii="宋体" w:hAnsi="Times New Roman" w:eastAsia="宋体" w:cs="宋体"/>
      <w:sz w:val="21"/>
      <w:szCs w:val="21"/>
      <w:lang w:val="en-US" w:eastAsia="zh-CN" w:bidi="ar-SA"/>
    </w:rPr>
  </w:style>
  <w:style w:type="paragraph" w:customStyle="1" w:styleId="91">
    <w:name w:val="列项●（二级）"/>
    <w:qFormat/>
    <w:uiPriority w:val="99"/>
    <w:pPr>
      <w:tabs>
        <w:tab w:val="left" w:pos="840"/>
      </w:tabs>
      <w:jc w:val="both"/>
    </w:pPr>
    <w:rPr>
      <w:rFonts w:ascii="宋体" w:hAnsi="Times New Roman" w:eastAsia="宋体" w:cs="宋体"/>
      <w:sz w:val="21"/>
      <w:szCs w:val="21"/>
      <w:lang w:val="en-US" w:eastAsia="zh-CN" w:bidi="ar-SA"/>
    </w:rPr>
  </w:style>
  <w:style w:type="paragraph" w:customStyle="1" w:styleId="92">
    <w:name w:val="列项◆（三级）"/>
    <w:basedOn w:val="1"/>
    <w:qFormat/>
    <w:uiPriority w:val="99"/>
    <w:pPr>
      <w:tabs>
        <w:tab w:val="left" w:pos="0"/>
      </w:tabs>
      <w:ind w:left="-288" w:hanging="432"/>
    </w:pPr>
    <w:rPr>
      <w:rFonts w:ascii="宋体" w:cs="宋体"/>
    </w:rPr>
  </w:style>
  <w:style w:type="paragraph" w:customStyle="1" w:styleId="93">
    <w:name w:val="一级条标题"/>
    <w:next w:val="36"/>
    <w:qFormat/>
    <w:uiPriority w:val="99"/>
    <w:pPr>
      <w:spacing w:beforeLines="50" w:afterLines="50"/>
      <w:outlineLvl w:val="2"/>
    </w:pPr>
    <w:rPr>
      <w:rFonts w:ascii="黑体" w:hAnsi="Times New Roman" w:eastAsia="黑体" w:cs="黑体"/>
      <w:sz w:val="21"/>
      <w:szCs w:val="21"/>
      <w:lang w:val="en-US" w:eastAsia="zh-CN" w:bidi="ar-SA"/>
    </w:rPr>
  </w:style>
  <w:style w:type="paragraph" w:customStyle="1" w:styleId="94">
    <w:name w:val="示例"/>
    <w:next w:val="84"/>
    <w:qFormat/>
    <w:uiPriority w:val="99"/>
    <w:pPr>
      <w:widowControl w:val="0"/>
      <w:ind w:left="1286" w:hanging="720"/>
      <w:jc w:val="both"/>
    </w:pPr>
    <w:rPr>
      <w:rFonts w:ascii="宋体" w:hAnsi="Times New Roman" w:eastAsia="宋体" w:cs="宋体"/>
      <w:sz w:val="18"/>
      <w:szCs w:val="18"/>
      <w:lang w:val="en-US" w:eastAsia="zh-CN" w:bidi="ar-SA"/>
    </w:rPr>
  </w:style>
  <w:style w:type="paragraph" w:customStyle="1" w:styleId="95">
    <w:name w:val="五级条标题"/>
    <w:basedOn w:val="88"/>
    <w:next w:val="36"/>
    <w:qFormat/>
    <w:uiPriority w:val="99"/>
    <w:pPr>
      <w:spacing w:before="50" w:after="50"/>
      <w:outlineLvl w:val="6"/>
    </w:pPr>
  </w:style>
  <w:style w:type="paragraph" w:customStyle="1" w:styleId="96">
    <w:name w:val="默认段落字体 Para Char Char Char Char Char Char Char"/>
    <w:basedOn w:val="1"/>
    <w:qFormat/>
    <w:uiPriority w:val="99"/>
    <w:rPr>
      <w:rFonts w:ascii="Calibri" w:hAnsi="Calibri" w:cs="Calibri"/>
      <w:szCs w:val="32"/>
    </w:rPr>
  </w:style>
  <w:style w:type="paragraph" w:customStyle="1" w:styleId="97">
    <w:name w:val="unnamed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8">
    <w:name w:val="示例×："/>
    <w:basedOn w:val="85"/>
    <w:qFormat/>
    <w:uiPriority w:val="99"/>
    <w:pPr>
      <w:numPr>
        <w:ilvl w:val="0"/>
        <w:numId w:val="3"/>
      </w:numPr>
      <w:spacing w:beforeLines="0" w:afterLines="0"/>
      <w:ind w:left="0"/>
      <w:outlineLvl w:val="9"/>
    </w:pPr>
    <w:rPr>
      <w:rFonts w:ascii="宋体" w:eastAsia="宋体" w:cs="宋体"/>
      <w:sz w:val="18"/>
      <w:szCs w:val="18"/>
    </w:rPr>
  </w:style>
  <w:style w:type="paragraph" w:customStyle="1" w:styleId="99">
    <w:name w:val="正文 New New New New New New New New New New New New New New New New New New New New New New New New New New New New New New New"/>
    <w:qFormat/>
    <w:uiPriority w:val="99"/>
    <w:pPr>
      <w:widowControl w:val="0"/>
      <w:jc w:val="both"/>
    </w:pPr>
    <w:rPr>
      <w:rFonts w:ascii="Calibri" w:hAnsi="Calibri" w:eastAsia="宋体" w:cs="Calibri"/>
      <w:kern w:val="2"/>
      <w:sz w:val="21"/>
      <w:szCs w:val="21"/>
      <w:lang w:val="en-US" w:eastAsia="zh-CN" w:bidi="ar-SA"/>
    </w:rPr>
  </w:style>
  <w:style w:type="paragraph" w:customStyle="1" w:styleId="100">
    <w:name w:val="正文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1">
    <w:name w:val="正文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2">
    <w:name w:val="正文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3">
    <w:name w:val="正文 New New New New New New New New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4">
    <w:name w:val="正文 New New New New New New New New New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5">
    <w:name w:val="正文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6">
    <w:name w:val="正文 New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7">
    <w:name w:val="正文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8">
    <w:name w:val="正文 New New New New New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9">
    <w:name w:val="正文 New New New New New New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10">
    <w:name w:val="正文 New New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11">
    <w:name w:val="正文 New New New New New New New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12">
    <w:name w:val="正文 New New New New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13">
    <w:name w:val="_Style 3"/>
    <w:basedOn w:val="1"/>
    <w:qFormat/>
    <w:uiPriority w:val="99"/>
  </w:style>
  <w:style w:type="character" w:customStyle="1" w:styleId="114">
    <w:name w:val="Char Char4"/>
    <w:basedOn w:val="48"/>
    <w:qFormat/>
    <w:uiPriority w:val="99"/>
    <w:rPr>
      <w:sz w:val="18"/>
      <w:szCs w:val="18"/>
    </w:rPr>
  </w:style>
  <w:style w:type="paragraph" w:customStyle="1" w:styleId="115">
    <w:name w:val="正文 New New New New New New New New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16">
    <w:name w:val="正文 New New New New New New New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17">
    <w:name w:val="正文文本 New"/>
    <w:basedOn w:val="116"/>
    <w:qFormat/>
    <w:uiPriority w:val="99"/>
    <w:pPr>
      <w:spacing w:after="120"/>
    </w:pPr>
  </w:style>
  <w:style w:type="paragraph" w:customStyle="1" w:styleId="118">
    <w:name w:val="正文 New New New New New New New New New New New New New New New New New New New New New New New New New New New New New New New New"/>
    <w:qFormat/>
    <w:uiPriority w:val="99"/>
    <w:pPr>
      <w:widowControl w:val="0"/>
      <w:jc w:val="both"/>
    </w:pPr>
    <w:rPr>
      <w:rFonts w:ascii="Calibri" w:hAnsi="Calibri" w:eastAsia="宋体" w:cs="Calibri"/>
      <w:kern w:val="2"/>
      <w:sz w:val="21"/>
      <w:szCs w:val="21"/>
      <w:lang w:val="en-US" w:eastAsia="zh-CN" w:bidi="ar-SA"/>
    </w:rPr>
  </w:style>
  <w:style w:type="paragraph" w:customStyle="1" w:styleId="119">
    <w:name w:val="正文 New New New New New New New New New New New New New New New New New New New New New New New New New New New New New New New New New"/>
    <w:qFormat/>
    <w:uiPriority w:val="99"/>
    <w:pPr>
      <w:widowControl w:val="0"/>
      <w:jc w:val="both"/>
    </w:pPr>
    <w:rPr>
      <w:rFonts w:ascii="Calibri" w:hAnsi="Calibri" w:eastAsia="宋体" w:cs="Calibri"/>
      <w:kern w:val="2"/>
      <w:sz w:val="21"/>
      <w:szCs w:val="21"/>
      <w:lang w:val="en-US" w:eastAsia="zh-CN" w:bidi="ar-SA"/>
    </w:rPr>
  </w:style>
  <w:style w:type="paragraph" w:customStyle="1" w:styleId="120">
    <w:name w:val="正文 New New New New New New New New New New New New New New New New New New New New New New New New New New New New New New New New New New"/>
    <w:qFormat/>
    <w:uiPriority w:val="99"/>
    <w:pPr>
      <w:widowControl w:val="0"/>
      <w:jc w:val="both"/>
    </w:pPr>
    <w:rPr>
      <w:rFonts w:ascii="Calibri" w:hAnsi="Calibri" w:eastAsia="宋体" w:cs="Calibri"/>
      <w:kern w:val="2"/>
      <w:sz w:val="21"/>
      <w:szCs w:val="21"/>
      <w:lang w:val="en-US" w:eastAsia="zh-CN" w:bidi="ar-SA"/>
    </w:rPr>
  </w:style>
  <w:style w:type="paragraph" w:customStyle="1" w:styleId="121">
    <w:name w:val="正文 New New New New New New New New New New New New New New New New New New New New New New New New New New New New New New New New New New New New New New New New New New New New"/>
    <w:qFormat/>
    <w:uiPriority w:val="99"/>
    <w:pPr>
      <w:widowControl w:val="0"/>
      <w:jc w:val="both"/>
    </w:pPr>
    <w:rPr>
      <w:rFonts w:ascii="Calibri" w:hAnsi="Calibri" w:eastAsia="宋体" w:cs="Calibri"/>
      <w:kern w:val="2"/>
      <w:sz w:val="21"/>
      <w:szCs w:val="21"/>
      <w:lang w:val="en-US" w:eastAsia="zh-CN" w:bidi="ar-SA"/>
    </w:rPr>
  </w:style>
  <w:style w:type="paragraph" w:customStyle="1" w:styleId="122">
    <w:name w:val="样式1"/>
    <w:basedOn w:val="5"/>
    <w:qFormat/>
    <w:uiPriority w:val="99"/>
    <w:pPr>
      <w:ind w:firstLine="560"/>
    </w:pPr>
    <w:rPr>
      <w:rFonts w:ascii="仿宋_GB2312" w:hAnsi="宋体" w:cs="仿宋_GB2312"/>
    </w:rPr>
  </w:style>
  <w:style w:type="paragraph" w:customStyle="1" w:styleId="123">
    <w:name w:val="样式2"/>
    <w:basedOn w:val="1"/>
    <w:qFormat/>
    <w:uiPriority w:val="99"/>
    <w:pPr>
      <w:jc w:val="center"/>
    </w:pPr>
    <w:rPr>
      <w:rFonts w:eastAsia="华文新魏"/>
      <w:sz w:val="52"/>
      <w:szCs w:val="52"/>
    </w:rPr>
  </w:style>
  <w:style w:type="paragraph" w:customStyle="1" w:styleId="124">
    <w:name w:val="标准书脚_奇数页"/>
    <w:qFormat/>
    <w:uiPriority w:val="99"/>
    <w:pPr>
      <w:spacing w:before="120"/>
      <w:ind w:right="198"/>
      <w:jc w:val="right"/>
    </w:pPr>
    <w:rPr>
      <w:rFonts w:ascii="宋体" w:hAnsi="Times New Roman" w:eastAsia="宋体" w:cs="宋体"/>
      <w:sz w:val="18"/>
      <w:szCs w:val="18"/>
      <w:lang w:val="en-US" w:eastAsia="zh-CN" w:bidi="ar-SA"/>
    </w:rPr>
  </w:style>
  <w:style w:type="paragraph" w:customStyle="1" w:styleId="125">
    <w:name w:val="标准书眉_奇数页"/>
    <w:next w:val="1"/>
    <w:qFormat/>
    <w:uiPriority w:val="99"/>
    <w:pPr>
      <w:tabs>
        <w:tab w:val="center" w:pos="4154"/>
        <w:tab w:val="right" w:pos="8306"/>
      </w:tabs>
      <w:spacing w:after="220"/>
      <w:jc w:val="right"/>
    </w:pPr>
    <w:rPr>
      <w:rFonts w:ascii="黑体" w:hAnsi="Times New Roman" w:eastAsia="黑体" w:cs="黑体"/>
      <w:sz w:val="21"/>
      <w:szCs w:val="21"/>
      <w:lang w:val="en-US" w:eastAsia="zh-CN" w:bidi="ar-SA"/>
    </w:rPr>
  </w:style>
  <w:style w:type="paragraph" w:customStyle="1" w:styleId="126">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黑体"/>
      <w:sz w:val="28"/>
      <w:szCs w:val="28"/>
      <w:lang w:val="en-US" w:eastAsia="zh-CN" w:bidi="ar-SA"/>
    </w:rPr>
  </w:style>
  <w:style w:type="paragraph" w:customStyle="1" w:styleId="127">
    <w:name w:val="目次、标准名称标题"/>
    <w:basedOn w:val="1"/>
    <w:next w:val="36"/>
    <w:qFormat/>
    <w:uiPriority w:val="99"/>
    <w:pPr>
      <w:keepNext/>
      <w:pageBreakBefore/>
      <w:widowControl/>
      <w:shd w:val="clear" w:color="FFFFFF" w:fill="FFFFFF"/>
      <w:spacing w:before="640" w:after="560" w:line="460" w:lineRule="exact"/>
      <w:jc w:val="center"/>
      <w:outlineLvl w:val="0"/>
    </w:pPr>
    <w:rPr>
      <w:rFonts w:ascii="黑体" w:eastAsia="黑体" w:cs="黑体"/>
      <w:kern w:val="0"/>
      <w:szCs w:val="32"/>
    </w:rPr>
  </w:style>
  <w:style w:type="paragraph" w:customStyle="1" w:styleId="128">
    <w:name w:val="注："/>
    <w:next w:val="36"/>
    <w:qFormat/>
    <w:uiPriority w:val="99"/>
    <w:pPr>
      <w:widowControl w:val="0"/>
      <w:autoSpaceDE w:val="0"/>
      <w:autoSpaceDN w:val="0"/>
      <w:ind w:left="726" w:hanging="363"/>
      <w:jc w:val="both"/>
    </w:pPr>
    <w:rPr>
      <w:rFonts w:ascii="宋体" w:hAnsi="Times New Roman" w:eastAsia="宋体" w:cs="宋体"/>
      <w:sz w:val="18"/>
      <w:szCs w:val="18"/>
      <w:lang w:val="en-US" w:eastAsia="zh-CN" w:bidi="ar-SA"/>
    </w:rPr>
  </w:style>
  <w:style w:type="paragraph" w:customStyle="1" w:styleId="129">
    <w:name w:val="注×："/>
    <w:qFormat/>
    <w:uiPriority w:val="99"/>
    <w:pPr>
      <w:widowControl w:val="0"/>
      <w:autoSpaceDE w:val="0"/>
      <w:autoSpaceDN w:val="0"/>
      <w:ind w:left="811" w:hanging="448"/>
      <w:jc w:val="both"/>
    </w:pPr>
    <w:rPr>
      <w:rFonts w:ascii="宋体" w:hAnsi="Times New Roman" w:eastAsia="宋体" w:cs="宋体"/>
      <w:sz w:val="18"/>
      <w:szCs w:val="18"/>
      <w:lang w:val="en-US" w:eastAsia="zh-CN" w:bidi="ar-SA"/>
    </w:rPr>
  </w:style>
  <w:style w:type="paragraph" w:customStyle="1" w:styleId="130">
    <w:name w:val="编号列项（三级）"/>
    <w:qFormat/>
    <w:uiPriority w:val="99"/>
    <w:rPr>
      <w:rFonts w:ascii="宋体" w:hAnsi="Times New Roman" w:eastAsia="宋体" w:cs="宋体"/>
      <w:sz w:val="21"/>
      <w:szCs w:val="21"/>
      <w:lang w:val="en-US" w:eastAsia="zh-CN" w:bidi="ar-SA"/>
    </w:rPr>
  </w:style>
  <w:style w:type="paragraph" w:customStyle="1" w:styleId="131">
    <w:name w:val="二级无"/>
    <w:basedOn w:val="86"/>
    <w:qFormat/>
    <w:uiPriority w:val="99"/>
    <w:pPr>
      <w:spacing w:beforeLines="0" w:afterLines="0"/>
      <w:ind w:left="0" w:firstLine="0"/>
    </w:pPr>
    <w:rPr>
      <w:rFonts w:ascii="宋体" w:eastAsia="宋体" w:cs="宋体"/>
    </w:rPr>
  </w:style>
  <w:style w:type="paragraph" w:customStyle="1" w:styleId="132">
    <w:name w:val="注：（正文）"/>
    <w:basedOn w:val="128"/>
    <w:next w:val="36"/>
    <w:qFormat/>
    <w:uiPriority w:val="99"/>
  </w:style>
  <w:style w:type="paragraph" w:customStyle="1" w:styleId="133">
    <w:name w:val="注×：（正文）"/>
    <w:qFormat/>
    <w:uiPriority w:val="99"/>
    <w:pPr>
      <w:ind w:left="811" w:hanging="448"/>
      <w:jc w:val="both"/>
    </w:pPr>
    <w:rPr>
      <w:rFonts w:ascii="宋体" w:hAnsi="Times New Roman" w:eastAsia="宋体" w:cs="宋体"/>
      <w:sz w:val="18"/>
      <w:szCs w:val="18"/>
      <w:lang w:val="en-US" w:eastAsia="zh-CN" w:bidi="ar-SA"/>
    </w:rPr>
  </w:style>
  <w:style w:type="paragraph" w:customStyle="1" w:styleId="134">
    <w:name w:val="标准标志"/>
    <w:next w:val="1"/>
    <w:qFormat/>
    <w:uiPriority w:val="99"/>
    <w:pPr>
      <w:framePr w:w="2546" w:h="1389" w:hRule="exact" w:hSpace="181" w:vSpace="181" w:wrap="around" w:vAnchor="margin" w:hAnchor="margin" w:x="6522" w:y="398" w:anchorLock="1"/>
      <w:shd w:val="solid" w:color="FFFFFF" w:fill="FFFFFF"/>
      <w:spacing w:line="240" w:lineRule="atLeast"/>
      <w:jc w:val="right"/>
    </w:pPr>
    <w:rPr>
      <w:rFonts w:ascii="Times New Roman" w:hAnsi="Times New Roman" w:eastAsia="宋体" w:cs="Times New Roman"/>
      <w:b/>
      <w:bCs/>
      <w:w w:val="170"/>
      <w:sz w:val="96"/>
      <w:szCs w:val="96"/>
      <w:lang w:val="en-US" w:eastAsia="zh-CN" w:bidi="ar-SA"/>
    </w:rPr>
  </w:style>
  <w:style w:type="paragraph" w:customStyle="1" w:styleId="135">
    <w:name w:val="标准称谓"/>
    <w:next w:val="1"/>
    <w:qFormat/>
    <w:uiPriority w:val="99"/>
    <w:pPr>
      <w:framePr w:w="9639" w:h="624" w:hRule="exact" w:hSpace="181" w:vSpace="181" w:wrap="around" w:vAnchor="page" w:hAnchor="page" w:x="1419" w:y="2286" w:anchorLock="1"/>
      <w:widowControl w:val="0"/>
      <w:kinsoku w:val="0"/>
      <w:overflowPunct w:val="0"/>
      <w:autoSpaceDE w:val="0"/>
      <w:autoSpaceDN w:val="0"/>
      <w:spacing w:line="240" w:lineRule="atLeast"/>
      <w:jc w:val="distribute"/>
    </w:pPr>
    <w:rPr>
      <w:rFonts w:ascii="宋体" w:hAnsi="Times New Roman" w:eastAsia="宋体" w:cs="宋体"/>
      <w:b/>
      <w:bCs/>
      <w:spacing w:val="20"/>
      <w:w w:val="148"/>
      <w:sz w:val="48"/>
      <w:szCs w:val="48"/>
      <w:lang w:val="en-US" w:eastAsia="zh-CN" w:bidi="ar-SA"/>
    </w:rPr>
  </w:style>
  <w:style w:type="paragraph" w:customStyle="1" w:styleId="136">
    <w:name w:val="标准书脚_偶数页"/>
    <w:qFormat/>
    <w:uiPriority w:val="99"/>
    <w:pPr>
      <w:spacing w:before="120"/>
      <w:ind w:left="221"/>
    </w:pPr>
    <w:rPr>
      <w:rFonts w:ascii="宋体" w:hAnsi="Times New Roman" w:eastAsia="宋体" w:cs="宋体"/>
      <w:sz w:val="18"/>
      <w:szCs w:val="18"/>
      <w:lang w:val="en-US" w:eastAsia="zh-CN" w:bidi="ar-SA"/>
    </w:rPr>
  </w:style>
  <w:style w:type="paragraph" w:customStyle="1" w:styleId="137">
    <w:name w:val="标准书眉_偶数页"/>
    <w:basedOn w:val="125"/>
    <w:next w:val="1"/>
    <w:qFormat/>
    <w:uiPriority w:val="99"/>
    <w:pPr>
      <w:jc w:val="left"/>
    </w:pPr>
  </w:style>
  <w:style w:type="paragraph" w:customStyle="1" w:styleId="138">
    <w:name w:val="标准书眉一"/>
    <w:qFormat/>
    <w:uiPriority w:val="99"/>
    <w:pPr>
      <w:jc w:val="both"/>
    </w:pPr>
    <w:rPr>
      <w:rFonts w:ascii="Times New Roman" w:hAnsi="Times New Roman" w:eastAsia="宋体" w:cs="Times New Roman"/>
      <w:lang w:val="en-US" w:eastAsia="zh-CN" w:bidi="ar-SA"/>
    </w:rPr>
  </w:style>
  <w:style w:type="paragraph" w:customStyle="1" w:styleId="139">
    <w:name w:val="参考文献"/>
    <w:basedOn w:val="1"/>
    <w:next w:val="36"/>
    <w:qFormat/>
    <w:uiPriority w:val="99"/>
    <w:pPr>
      <w:keepNext/>
      <w:pageBreakBefore/>
      <w:widowControl/>
      <w:shd w:val="clear" w:color="FFFFFF" w:fill="FFFFFF"/>
      <w:spacing w:before="640" w:after="200"/>
      <w:jc w:val="center"/>
      <w:outlineLvl w:val="0"/>
    </w:pPr>
    <w:rPr>
      <w:rFonts w:ascii="黑体" w:eastAsia="黑体" w:cs="黑体"/>
      <w:kern w:val="0"/>
    </w:rPr>
  </w:style>
  <w:style w:type="paragraph" w:customStyle="1" w:styleId="140">
    <w:name w:val="参考文献、索引标题"/>
    <w:basedOn w:val="1"/>
    <w:next w:val="36"/>
    <w:qFormat/>
    <w:uiPriority w:val="99"/>
    <w:pPr>
      <w:keepNext/>
      <w:pageBreakBefore/>
      <w:widowControl/>
      <w:shd w:val="clear" w:color="FFFFFF" w:fill="FFFFFF"/>
      <w:spacing w:before="640" w:after="200"/>
      <w:jc w:val="center"/>
      <w:outlineLvl w:val="0"/>
    </w:pPr>
    <w:rPr>
      <w:rFonts w:ascii="黑体" w:eastAsia="黑体" w:cs="黑体"/>
      <w:kern w:val="0"/>
    </w:rPr>
  </w:style>
  <w:style w:type="character" w:customStyle="1" w:styleId="141">
    <w:name w:val="发布"/>
    <w:basedOn w:val="48"/>
    <w:qFormat/>
    <w:uiPriority w:val="0"/>
    <w:rPr>
      <w:rFonts w:ascii="黑体" w:eastAsia="黑体" w:cs="黑体"/>
      <w:spacing w:val="85"/>
      <w:w w:val="100"/>
      <w:position w:val="3"/>
      <w:sz w:val="28"/>
      <w:szCs w:val="28"/>
    </w:rPr>
  </w:style>
  <w:style w:type="paragraph" w:customStyle="1" w:styleId="142">
    <w:name w:val="发布部门"/>
    <w:next w:val="36"/>
    <w:qFormat/>
    <w:uiPriority w:val="99"/>
    <w:pPr>
      <w:framePr w:w="7938" w:h="1134" w:hRule="exact" w:hSpace="125" w:vSpace="181" w:wrap="around" w:vAnchor="page" w:hAnchor="page" w:x="2150" w:y="14630" w:anchorLock="1"/>
      <w:jc w:val="center"/>
    </w:pPr>
    <w:rPr>
      <w:rFonts w:ascii="宋体" w:hAnsi="Times New Roman" w:eastAsia="宋体" w:cs="宋体"/>
      <w:b/>
      <w:bCs/>
      <w:spacing w:val="20"/>
      <w:w w:val="135"/>
      <w:sz w:val="28"/>
      <w:szCs w:val="28"/>
      <w:lang w:val="en-US" w:eastAsia="zh-CN" w:bidi="ar-SA"/>
    </w:rPr>
  </w:style>
  <w:style w:type="paragraph" w:customStyle="1" w:styleId="143">
    <w:name w:val="发布日期"/>
    <w:qFormat/>
    <w:uiPriority w:val="99"/>
    <w:pPr>
      <w:framePr w:w="3997" w:h="471" w:hRule="exact" w:vSpace="181" w:wrap="around" w:vAnchor="margin" w:hAnchor="page" w:x="7089" w:y="14097" w:anchorLock="1"/>
    </w:pPr>
    <w:rPr>
      <w:rFonts w:ascii="Times New Roman" w:hAnsi="Times New Roman" w:eastAsia="黑体" w:cs="Times New Roman"/>
      <w:sz w:val="28"/>
      <w:szCs w:val="28"/>
      <w:lang w:val="en-US" w:eastAsia="zh-CN" w:bidi="ar-SA"/>
    </w:rPr>
  </w:style>
  <w:style w:type="paragraph" w:customStyle="1" w:styleId="144">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宋体"/>
      <w:sz w:val="21"/>
      <w:szCs w:val="21"/>
      <w:lang w:val="en-US" w:eastAsia="zh-CN" w:bidi="ar-SA"/>
    </w:rPr>
  </w:style>
  <w:style w:type="paragraph" w:customStyle="1" w:styleId="145">
    <w:name w:val="封面标准号1"/>
    <w:qFormat/>
    <w:uiPriority w:val="99"/>
    <w:pPr>
      <w:widowControl w:val="0"/>
      <w:kinsoku w:val="0"/>
      <w:overflowPunct w:val="0"/>
      <w:autoSpaceDE w:val="0"/>
      <w:autoSpaceDN w:val="0"/>
      <w:spacing w:before="308"/>
      <w:jc w:val="right"/>
      <w:textAlignment w:val="center"/>
    </w:pPr>
    <w:rPr>
      <w:rFonts w:ascii="Times New Roman" w:hAnsi="Times New Roman" w:eastAsia="宋体" w:cs="Times New Roman"/>
      <w:sz w:val="28"/>
      <w:szCs w:val="28"/>
      <w:lang w:val="en-US" w:eastAsia="zh-CN" w:bidi="ar-SA"/>
    </w:rPr>
  </w:style>
  <w:style w:type="paragraph" w:customStyle="1" w:styleId="146">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147">
    <w:name w:val="封面标准英文名称"/>
    <w:basedOn w:val="146"/>
    <w:qFormat/>
    <w:uiPriority w:val="0"/>
    <w:pPr>
      <w:framePr w:wrap="around"/>
      <w:spacing w:before="370" w:line="400" w:lineRule="exact"/>
    </w:pPr>
    <w:rPr>
      <w:rFonts w:ascii="Times New Roman" w:cs="Times New Roman"/>
      <w:sz w:val="28"/>
      <w:szCs w:val="28"/>
    </w:rPr>
  </w:style>
  <w:style w:type="paragraph" w:customStyle="1" w:styleId="148">
    <w:name w:val="封面一致性程度标识"/>
    <w:basedOn w:val="147"/>
    <w:qFormat/>
    <w:uiPriority w:val="0"/>
    <w:pPr>
      <w:framePr w:wrap="around"/>
      <w:spacing w:before="440"/>
    </w:pPr>
    <w:rPr>
      <w:rFonts w:ascii="宋体" w:eastAsia="宋体" w:cs="宋体"/>
    </w:rPr>
  </w:style>
  <w:style w:type="paragraph" w:customStyle="1" w:styleId="149">
    <w:name w:val="封面标准文稿类别"/>
    <w:basedOn w:val="148"/>
    <w:qFormat/>
    <w:uiPriority w:val="0"/>
    <w:pPr>
      <w:framePr w:wrap="around"/>
      <w:spacing w:after="160" w:line="240" w:lineRule="auto"/>
    </w:pPr>
    <w:rPr>
      <w:sz w:val="24"/>
      <w:szCs w:val="24"/>
    </w:rPr>
  </w:style>
  <w:style w:type="paragraph" w:customStyle="1" w:styleId="150">
    <w:name w:val="封面标准文稿编辑信息"/>
    <w:basedOn w:val="149"/>
    <w:qFormat/>
    <w:uiPriority w:val="0"/>
    <w:pPr>
      <w:framePr w:wrap="around"/>
      <w:spacing w:before="180" w:line="180" w:lineRule="exact"/>
    </w:pPr>
    <w:rPr>
      <w:sz w:val="21"/>
      <w:szCs w:val="21"/>
    </w:rPr>
  </w:style>
  <w:style w:type="paragraph" w:customStyle="1" w:styleId="151">
    <w:name w:val="封面正文"/>
    <w:qFormat/>
    <w:uiPriority w:val="99"/>
    <w:pPr>
      <w:jc w:val="both"/>
    </w:pPr>
    <w:rPr>
      <w:rFonts w:ascii="Times New Roman" w:hAnsi="Times New Roman" w:eastAsia="宋体" w:cs="Times New Roman"/>
      <w:lang w:val="en-US" w:eastAsia="zh-CN" w:bidi="ar-SA"/>
    </w:rPr>
  </w:style>
  <w:style w:type="paragraph" w:customStyle="1" w:styleId="152">
    <w:name w:val="附录标识"/>
    <w:basedOn w:val="1"/>
    <w:next w:val="36"/>
    <w:qFormat/>
    <w:uiPriority w:val="99"/>
    <w:pPr>
      <w:keepNext/>
      <w:widowControl/>
      <w:shd w:val="clear" w:color="FFFFFF" w:fill="FFFFFF"/>
      <w:tabs>
        <w:tab w:val="left" w:pos="360"/>
        <w:tab w:val="left" w:pos="6405"/>
      </w:tabs>
      <w:spacing w:before="640" w:after="280"/>
      <w:jc w:val="center"/>
      <w:outlineLvl w:val="0"/>
    </w:pPr>
    <w:rPr>
      <w:rFonts w:ascii="黑体" w:eastAsia="黑体" w:cs="黑体"/>
      <w:kern w:val="0"/>
    </w:rPr>
  </w:style>
  <w:style w:type="paragraph" w:customStyle="1" w:styleId="153">
    <w:name w:val="附录标题"/>
    <w:basedOn w:val="36"/>
    <w:next w:val="36"/>
    <w:qFormat/>
    <w:uiPriority w:val="99"/>
    <w:pPr>
      <w:ind w:firstLine="0" w:firstLineChars="0"/>
      <w:jc w:val="center"/>
    </w:pPr>
    <w:rPr>
      <w:rFonts w:ascii="黑体" w:eastAsia="黑体" w:cs="黑体"/>
    </w:rPr>
  </w:style>
  <w:style w:type="paragraph" w:customStyle="1" w:styleId="154">
    <w:name w:val="附录表标号"/>
    <w:basedOn w:val="1"/>
    <w:next w:val="36"/>
    <w:qFormat/>
    <w:uiPriority w:val="99"/>
    <w:pPr>
      <w:spacing w:line="14" w:lineRule="exact"/>
      <w:ind w:left="811" w:hanging="448"/>
      <w:jc w:val="center"/>
      <w:outlineLvl w:val="0"/>
    </w:pPr>
    <w:rPr>
      <w:color w:val="FFFFFF"/>
    </w:rPr>
  </w:style>
  <w:style w:type="paragraph" w:customStyle="1" w:styleId="155">
    <w:name w:val="附录表标题"/>
    <w:basedOn w:val="1"/>
    <w:next w:val="36"/>
    <w:qFormat/>
    <w:uiPriority w:val="99"/>
    <w:pPr>
      <w:tabs>
        <w:tab w:val="left" w:pos="180"/>
      </w:tabs>
      <w:spacing w:beforeLines="50" w:afterLines="50"/>
      <w:jc w:val="center"/>
    </w:pPr>
    <w:rPr>
      <w:rFonts w:ascii="黑体" w:eastAsia="黑体" w:cs="黑体"/>
    </w:rPr>
  </w:style>
  <w:style w:type="paragraph" w:customStyle="1" w:styleId="156">
    <w:name w:val="附录二级条标题"/>
    <w:basedOn w:val="1"/>
    <w:next w:val="36"/>
    <w:qFormat/>
    <w:uiPriority w:val="99"/>
    <w:pPr>
      <w:widowControl/>
      <w:tabs>
        <w:tab w:val="left" w:pos="360"/>
      </w:tabs>
      <w:wordWrap w:val="0"/>
      <w:overflowPunct w:val="0"/>
      <w:autoSpaceDE w:val="0"/>
      <w:autoSpaceDN w:val="0"/>
      <w:spacing w:beforeLines="50" w:afterLines="50"/>
      <w:textAlignment w:val="baseline"/>
      <w:outlineLvl w:val="3"/>
    </w:pPr>
    <w:rPr>
      <w:rFonts w:ascii="黑体" w:eastAsia="黑体" w:cs="黑体"/>
      <w:kern w:val="21"/>
    </w:rPr>
  </w:style>
  <w:style w:type="paragraph" w:customStyle="1" w:styleId="157">
    <w:name w:val="附录二级无"/>
    <w:basedOn w:val="156"/>
    <w:qFormat/>
    <w:uiPriority w:val="99"/>
    <w:pPr>
      <w:tabs>
        <w:tab w:val="clear" w:pos="360"/>
      </w:tabs>
      <w:spacing w:beforeLines="0" w:afterLines="0"/>
    </w:pPr>
    <w:rPr>
      <w:rFonts w:ascii="宋体" w:eastAsia="宋体" w:cs="宋体"/>
    </w:rPr>
  </w:style>
  <w:style w:type="paragraph" w:customStyle="1" w:styleId="158">
    <w:name w:val="附录公式"/>
    <w:basedOn w:val="36"/>
    <w:next w:val="36"/>
    <w:link w:val="159"/>
    <w:qFormat/>
    <w:uiPriority w:val="99"/>
  </w:style>
  <w:style w:type="character" w:customStyle="1" w:styleId="159">
    <w:name w:val="附录公式 Char"/>
    <w:basedOn w:val="83"/>
    <w:link w:val="158"/>
    <w:qFormat/>
    <w:locked/>
    <w:uiPriority w:val="99"/>
    <w:rPr>
      <w:rFonts w:ascii="宋体" w:hAnsi="Times New Roman" w:cs="宋体"/>
      <w:kern w:val="0"/>
      <w:sz w:val="20"/>
      <w:szCs w:val="20"/>
      <w:lang w:val="en-US" w:eastAsia="zh-CN"/>
    </w:rPr>
  </w:style>
  <w:style w:type="paragraph" w:customStyle="1" w:styleId="160">
    <w:name w:val="附录公式编号制表符"/>
    <w:basedOn w:val="1"/>
    <w:next w:val="36"/>
    <w:qFormat/>
    <w:uiPriority w:val="99"/>
    <w:pPr>
      <w:widowControl/>
      <w:tabs>
        <w:tab w:val="center" w:pos="4201"/>
        <w:tab w:val="right" w:leader="dot" w:pos="9298"/>
      </w:tabs>
      <w:autoSpaceDE w:val="0"/>
      <w:autoSpaceDN w:val="0"/>
    </w:pPr>
    <w:rPr>
      <w:rFonts w:ascii="宋体" w:cs="宋体"/>
      <w:kern w:val="0"/>
    </w:rPr>
  </w:style>
  <w:style w:type="paragraph" w:customStyle="1" w:styleId="161">
    <w:name w:val="附录三级条标题"/>
    <w:basedOn w:val="156"/>
    <w:next w:val="36"/>
    <w:qFormat/>
    <w:uiPriority w:val="99"/>
    <w:pPr>
      <w:outlineLvl w:val="4"/>
    </w:pPr>
  </w:style>
  <w:style w:type="paragraph" w:customStyle="1" w:styleId="162">
    <w:name w:val="附录三级无"/>
    <w:basedOn w:val="161"/>
    <w:qFormat/>
    <w:uiPriority w:val="99"/>
    <w:pPr>
      <w:tabs>
        <w:tab w:val="clear" w:pos="360"/>
      </w:tabs>
      <w:spacing w:beforeLines="0" w:afterLines="0"/>
    </w:pPr>
    <w:rPr>
      <w:rFonts w:ascii="宋体" w:eastAsia="宋体" w:cs="宋体"/>
    </w:rPr>
  </w:style>
  <w:style w:type="paragraph" w:customStyle="1" w:styleId="163">
    <w:name w:val="附录数字编号列项（二级）"/>
    <w:qFormat/>
    <w:uiPriority w:val="99"/>
    <w:pPr>
      <w:tabs>
        <w:tab w:val="left" w:pos="840"/>
      </w:tabs>
      <w:ind w:left="839" w:hanging="419"/>
    </w:pPr>
    <w:rPr>
      <w:rFonts w:ascii="宋体" w:hAnsi="Times New Roman" w:eastAsia="宋体" w:cs="宋体"/>
      <w:sz w:val="21"/>
      <w:szCs w:val="21"/>
      <w:lang w:val="en-US" w:eastAsia="zh-CN" w:bidi="ar-SA"/>
    </w:rPr>
  </w:style>
  <w:style w:type="paragraph" w:customStyle="1" w:styleId="164">
    <w:name w:val="附录四级条标题"/>
    <w:basedOn w:val="161"/>
    <w:next w:val="36"/>
    <w:qFormat/>
    <w:uiPriority w:val="99"/>
    <w:pPr>
      <w:outlineLvl w:val="5"/>
    </w:pPr>
  </w:style>
  <w:style w:type="paragraph" w:customStyle="1" w:styleId="165">
    <w:name w:val="附录四级无"/>
    <w:basedOn w:val="164"/>
    <w:qFormat/>
    <w:uiPriority w:val="99"/>
    <w:pPr>
      <w:tabs>
        <w:tab w:val="clear" w:pos="360"/>
      </w:tabs>
      <w:spacing w:beforeLines="0" w:afterLines="0"/>
    </w:pPr>
    <w:rPr>
      <w:rFonts w:ascii="宋体" w:eastAsia="宋体" w:cs="宋体"/>
    </w:rPr>
  </w:style>
  <w:style w:type="paragraph" w:customStyle="1" w:styleId="166">
    <w:name w:val="附录图标号"/>
    <w:basedOn w:val="1"/>
    <w:qFormat/>
    <w:uiPriority w:val="99"/>
    <w:pPr>
      <w:keepNext/>
      <w:pageBreakBefore/>
      <w:widowControl/>
      <w:spacing w:line="14" w:lineRule="exact"/>
      <w:ind w:firstLine="363"/>
      <w:jc w:val="center"/>
      <w:outlineLvl w:val="0"/>
    </w:pPr>
    <w:rPr>
      <w:color w:val="FFFFFF"/>
    </w:rPr>
  </w:style>
  <w:style w:type="paragraph" w:customStyle="1" w:styleId="167">
    <w:name w:val="附录图标题"/>
    <w:basedOn w:val="1"/>
    <w:next w:val="36"/>
    <w:qFormat/>
    <w:uiPriority w:val="99"/>
    <w:pPr>
      <w:tabs>
        <w:tab w:val="left" w:pos="363"/>
      </w:tabs>
      <w:spacing w:beforeLines="50" w:afterLines="50"/>
      <w:jc w:val="center"/>
    </w:pPr>
    <w:rPr>
      <w:rFonts w:ascii="黑体" w:eastAsia="黑体" w:cs="黑体"/>
    </w:rPr>
  </w:style>
  <w:style w:type="paragraph" w:customStyle="1" w:styleId="168">
    <w:name w:val="附录五级条标题"/>
    <w:basedOn w:val="164"/>
    <w:next w:val="36"/>
    <w:qFormat/>
    <w:uiPriority w:val="99"/>
    <w:pPr>
      <w:outlineLvl w:val="6"/>
    </w:pPr>
  </w:style>
  <w:style w:type="paragraph" w:customStyle="1" w:styleId="169">
    <w:name w:val="附录五级无"/>
    <w:basedOn w:val="168"/>
    <w:qFormat/>
    <w:uiPriority w:val="99"/>
    <w:pPr>
      <w:tabs>
        <w:tab w:val="clear" w:pos="360"/>
      </w:tabs>
      <w:spacing w:beforeLines="0" w:afterLines="0"/>
    </w:pPr>
    <w:rPr>
      <w:rFonts w:ascii="宋体" w:eastAsia="宋体" w:cs="宋体"/>
    </w:rPr>
  </w:style>
  <w:style w:type="paragraph" w:customStyle="1" w:styleId="170">
    <w:name w:val="附录章标题"/>
    <w:next w:val="36"/>
    <w:qFormat/>
    <w:uiPriority w:val="99"/>
    <w:pPr>
      <w:tabs>
        <w:tab w:val="left" w:pos="360"/>
      </w:tabs>
      <w:wordWrap w:val="0"/>
      <w:overflowPunct w:val="0"/>
      <w:autoSpaceDE w:val="0"/>
      <w:spacing w:beforeLines="100" w:afterLines="100"/>
      <w:jc w:val="both"/>
      <w:textAlignment w:val="baseline"/>
      <w:outlineLvl w:val="1"/>
    </w:pPr>
    <w:rPr>
      <w:rFonts w:ascii="黑体" w:hAnsi="Times New Roman" w:eastAsia="黑体" w:cs="黑体"/>
      <w:kern w:val="21"/>
      <w:sz w:val="21"/>
      <w:szCs w:val="21"/>
      <w:lang w:val="en-US" w:eastAsia="zh-CN" w:bidi="ar-SA"/>
    </w:rPr>
  </w:style>
  <w:style w:type="paragraph" w:customStyle="1" w:styleId="171">
    <w:name w:val="附录一级条标题"/>
    <w:basedOn w:val="170"/>
    <w:next w:val="36"/>
    <w:qFormat/>
    <w:uiPriority w:val="99"/>
    <w:pPr>
      <w:autoSpaceDN w:val="0"/>
      <w:spacing w:beforeLines="50" w:afterLines="50"/>
      <w:outlineLvl w:val="2"/>
    </w:pPr>
  </w:style>
  <w:style w:type="paragraph" w:customStyle="1" w:styleId="172">
    <w:name w:val="附录一级无"/>
    <w:basedOn w:val="171"/>
    <w:qFormat/>
    <w:uiPriority w:val="99"/>
    <w:pPr>
      <w:tabs>
        <w:tab w:val="clear" w:pos="360"/>
      </w:tabs>
      <w:spacing w:beforeLines="0" w:afterLines="0"/>
    </w:pPr>
    <w:rPr>
      <w:rFonts w:ascii="宋体" w:eastAsia="宋体" w:cs="宋体"/>
    </w:rPr>
  </w:style>
  <w:style w:type="paragraph" w:customStyle="1" w:styleId="173">
    <w:name w:val="附录字母编号列项（一级）"/>
    <w:qFormat/>
    <w:uiPriority w:val="99"/>
    <w:pPr>
      <w:tabs>
        <w:tab w:val="left" w:pos="839"/>
      </w:tabs>
      <w:ind w:left="839" w:hanging="419"/>
    </w:pPr>
    <w:rPr>
      <w:rFonts w:ascii="宋体" w:hAnsi="Times New Roman" w:eastAsia="宋体" w:cs="宋体"/>
      <w:sz w:val="21"/>
      <w:szCs w:val="21"/>
      <w:lang w:val="en-US" w:eastAsia="zh-CN" w:bidi="ar-SA"/>
    </w:rPr>
  </w:style>
  <w:style w:type="paragraph" w:customStyle="1" w:styleId="174">
    <w:name w:val="列项说明"/>
    <w:basedOn w:val="1"/>
    <w:qFormat/>
    <w:uiPriority w:val="99"/>
    <w:pPr>
      <w:adjustRightInd w:val="0"/>
      <w:spacing w:line="320" w:lineRule="exact"/>
      <w:ind w:left="400" w:leftChars="200" w:hanging="200" w:hangingChars="200"/>
      <w:jc w:val="left"/>
      <w:textAlignment w:val="baseline"/>
    </w:pPr>
    <w:rPr>
      <w:rFonts w:ascii="宋体" w:cs="宋体"/>
      <w:kern w:val="0"/>
    </w:rPr>
  </w:style>
  <w:style w:type="paragraph" w:customStyle="1" w:styleId="175">
    <w:name w:val="列项说明数字编号"/>
    <w:qFormat/>
    <w:uiPriority w:val="99"/>
    <w:pPr>
      <w:ind w:left="600" w:leftChars="400" w:hanging="200" w:hangingChars="200"/>
    </w:pPr>
    <w:rPr>
      <w:rFonts w:ascii="宋体" w:hAnsi="Times New Roman" w:eastAsia="宋体" w:cs="宋体"/>
      <w:sz w:val="21"/>
      <w:szCs w:val="21"/>
      <w:lang w:val="en-US" w:eastAsia="zh-CN" w:bidi="ar-SA"/>
    </w:rPr>
  </w:style>
  <w:style w:type="paragraph" w:customStyle="1" w:styleId="176">
    <w:name w:val="目次、索引正文"/>
    <w:qFormat/>
    <w:uiPriority w:val="99"/>
    <w:pPr>
      <w:spacing w:line="320" w:lineRule="exact"/>
      <w:jc w:val="both"/>
    </w:pPr>
    <w:rPr>
      <w:rFonts w:ascii="宋体" w:hAnsi="Times New Roman" w:eastAsia="宋体" w:cs="宋体"/>
      <w:sz w:val="21"/>
      <w:szCs w:val="21"/>
      <w:lang w:val="en-US" w:eastAsia="zh-CN" w:bidi="ar-SA"/>
    </w:rPr>
  </w:style>
  <w:style w:type="paragraph" w:customStyle="1" w:styleId="177">
    <w:name w:val="其他标准标志"/>
    <w:basedOn w:val="134"/>
    <w:qFormat/>
    <w:uiPriority w:val="0"/>
    <w:pPr>
      <w:framePr w:w="6101" w:wrap="around" w:vAnchor="page" w:hAnchor="page" w:x="4673" w:y="942"/>
    </w:pPr>
    <w:rPr>
      <w:w w:val="130"/>
    </w:rPr>
  </w:style>
  <w:style w:type="paragraph" w:customStyle="1" w:styleId="178">
    <w:name w:val="其他标准称谓"/>
    <w:next w:val="1"/>
    <w:qFormat/>
    <w:uiPriority w:val="0"/>
    <w:pPr>
      <w:framePr w:hSpace="181" w:vSpace="181" w:wrap="around" w:vAnchor="page" w:hAnchor="page" w:x="1419" w:y="2286" w:anchorLock="1"/>
      <w:spacing w:line="240" w:lineRule="atLeast"/>
      <w:jc w:val="distribute"/>
    </w:pPr>
    <w:rPr>
      <w:rFonts w:ascii="黑体" w:hAnsi="宋体" w:eastAsia="黑体" w:cs="黑体"/>
      <w:spacing w:val="-40"/>
      <w:sz w:val="48"/>
      <w:szCs w:val="48"/>
      <w:lang w:val="en-US" w:eastAsia="zh-CN" w:bidi="ar-SA"/>
    </w:rPr>
  </w:style>
  <w:style w:type="paragraph" w:customStyle="1" w:styleId="179">
    <w:name w:val="其他发布部门"/>
    <w:basedOn w:val="142"/>
    <w:qFormat/>
    <w:uiPriority w:val="0"/>
    <w:pPr>
      <w:framePr w:wrap="around" w:y="15310"/>
      <w:spacing w:line="240" w:lineRule="atLeast"/>
    </w:pPr>
    <w:rPr>
      <w:rFonts w:ascii="黑体" w:eastAsia="黑体" w:cs="黑体"/>
      <w:b w:val="0"/>
      <w:bCs w:val="0"/>
    </w:rPr>
  </w:style>
  <w:style w:type="paragraph" w:customStyle="1" w:styleId="180">
    <w:name w:val="前言、引言标题"/>
    <w:next w:val="36"/>
    <w:qFormat/>
    <w:uiPriority w:val="99"/>
    <w:pPr>
      <w:keepNext/>
      <w:pageBreakBefore/>
      <w:shd w:val="clear" w:color="FFFFFF" w:fill="FFFFFF"/>
      <w:spacing w:before="640" w:after="560"/>
      <w:jc w:val="center"/>
      <w:outlineLvl w:val="0"/>
    </w:pPr>
    <w:rPr>
      <w:rFonts w:ascii="黑体" w:hAnsi="Times New Roman" w:eastAsia="黑体" w:cs="黑体"/>
      <w:sz w:val="32"/>
      <w:szCs w:val="32"/>
      <w:lang w:val="en-US" w:eastAsia="zh-CN" w:bidi="ar-SA"/>
    </w:rPr>
  </w:style>
  <w:style w:type="paragraph" w:customStyle="1" w:styleId="181">
    <w:name w:val="三级无"/>
    <w:basedOn w:val="87"/>
    <w:qFormat/>
    <w:uiPriority w:val="99"/>
    <w:pPr>
      <w:tabs>
        <w:tab w:val="clear" w:pos="-144"/>
      </w:tabs>
      <w:spacing w:beforeLines="0" w:afterLines="0"/>
      <w:ind w:left="0" w:firstLine="0"/>
    </w:pPr>
    <w:rPr>
      <w:rFonts w:ascii="宋体" w:eastAsia="宋体" w:cs="宋体"/>
    </w:rPr>
  </w:style>
  <w:style w:type="paragraph" w:customStyle="1" w:styleId="182">
    <w:name w:val="实施日期"/>
    <w:basedOn w:val="143"/>
    <w:qFormat/>
    <w:uiPriority w:val="99"/>
    <w:pPr>
      <w:framePr w:wrap="around" w:vAnchor="page" w:hAnchor="text"/>
      <w:jc w:val="right"/>
    </w:pPr>
  </w:style>
  <w:style w:type="paragraph" w:customStyle="1" w:styleId="183">
    <w:name w:val="示例后文字"/>
    <w:basedOn w:val="36"/>
    <w:next w:val="36"/>
    <w:qFormat/>
    <w:uiPriority w:val="99"/>
    <w:pPr>
      <w:ind w:firstLine="360"/>
    </w:pPr>
    <w:rPr>
      <w:sz w:val="18"/>
      <w:szCs w:val="18"/>
    </w:rPr>
  </w:style>
  <w:style w:type="paragraph" w:customStyle="1" w:styleId="184">
    <w:name w:val="首示例"/>
    <w:next w:val="36"/>
    <w:link w:val="185"/>
    <w:qFormat/>
    <w:uiPriority w:val="99"/>
    <w:pPr>
      <w:tabs>
        <w:tab w:val="left" w:pos="360"/>
      </w:tabs>
    </w:pPr>
    <w:rPr>
      <w:rFonts w:ascii="宋体" w:hAnsi="宋体" w:eastAsia="宋体" w:cs="宋体"/>
      <w:kern w:val="2"/>
      <w:sz w:val="18"/>
      <w:szCs w:val="18"/>
      <w:lang w:val="en-US" w:eastAsia="zh-CN" w:bidi="ar-SA"/>
    </w:rPr>
  </w:style>
  <w:style w:type="character" w:customStyle="1" w:styleId="185">
    <w:name w:val="首示例 Char"/>
    <w:basedOn w:val="48"/>
    <w:link w:val="184"/>
    <w:qFormat/>
    <w:locked/>
    <w:uiPriority w:val="99"/>
    <w:rPr>
      <w:rFonts w:ascii="宋体" w:eastAsia="宋体" w:cs="宋体"/>
      <w:kern w:val="2"/>
      <w:sz w:val="18"/>
      <w:szCs w:val="18"/>
      <w:lang w:val="en-US" w:eastAsia="zh-CN"/>
    </w:rPr>
  </w:style>
  <w:style w:type="paragraph" w:customStyle="1" w:styleId="186">
    <w:name w:val="四级无"/>
    <w:basedOn w:val="88"/>
    <w:qFormat/>
    <w:uiPriority w:val="99"/>
    <w:pPr>
      <w:numPr>
        <w:numId w:val="0"/>
      </w:numPr>
      <w:tabs>
        <w:tab w:val="left" w:pos="2520"/>
      </w:tabs>
      <w:spacing w:beforeLines="0" w:afterLines="0"/>
      <w:ind w:hanging="420"/>
    </w:pPr>
    <w:rPr>
      <w:rFonts w:ascii="宋体" w:eastAsia="宋体" w:cs="宋体"/>
    </w:rPr>
  </w:style>
  <w:style w:type="paragraph" w:customStyle="1" w:styleId="187">
    <w:name w:val="条文脚注"/>
    <w:basedOn w:val="37"/>
    <w:qFormat/>
    <w:uiPriority w:val="99"/>
    <w:pPr>
      <w:tabs>
        <w:tab w:val="clear" w:pos="0"/>
      </w:tabs>
      <w:ind w:left="0" w:firstLine="0"/>
      <w:jc w:val="both"/>
    </w:pPr>
  </w:style>
  <w:style w:type="paragraph" w:customStyle="1" w:styleId="188">
    <w:name w:val="图标脚注说明"/>
    <w:basedOn w:val="36"/>
    <w:qFormat/>
    <w:uiPriority w:val="99"/>
    <w:pPr>
      <w:ind w:left="840" w:hanging="420" w:firstLineChars="0"/>
    </w:pPr>
    <w:rPr>
      <w:sz w:val="18"/>
      <w:szCs w:val="18"/>
    </w:rPr>
  </w:style>
  <w:style w:type="paragraph" w:customStyle="1" w:styleId="189">
    <w:name w:val="图表脚注说明"/>
    <w:basedOn w:val="1"/>
    <w:qFormat/>
    <w:uiPriority w:val="99"/>
    <w:pPr>
      <w:ind w:left="544" w:hanging="181"/>
    </w:pPr>
    <w:rPr>
      <w:rFonts w:ascii="宋体" w:cs="宋体"/>
      <w:sz w:val="18"/>
      <w:szCs w:val="18"/>
    </w:rPr>
  </w:style>
  <w:style w:type="paragraph" w:customStyle="1" w:styleId="190">
    <w:name w:val="图的脚注"/>
    <w:next w:val="36"/>
    <w:qFormat/>
    <w:uiPriority w:val="99"/>
    <w:pPr>
      <w:widowControl w:val="0"/>
      <w:ind w:left="840" w:leftChars="200" w:hanging="420" w:hangingChars="200"/>
      <w:jc w:val="both"/>
    </w:pPr>
    <w:rPr>
      <w:rFonts w:ascii="宋体" w:hAnsi="Times New Roman" w:eastAsia="宋体" w:cs="宋体"/>
      <w:sz w:val="18"/>
      <w:szCs w:val="18"/>
      <w:lang w:val="en-US" w:eastAsia="zh-CN" w:bidi="ar-SA"/>
    </w:rPr>
  </w:style>
  <w:style w:type="paragraph" w:customStyle="1" w:styleId="191">
    <w:name w:val="文献分类号"/>
    <w:qFormat/>
    <w:uiPriority w:val="99"/>
    <w:pPr>
      <w:framePr w:hSpace="180" w:vSpace="180" w:wrap="around" w:vAnchor="margin" w:hAnchor="margin" w:y="1" w:anchorLock="1"/>
      <w:widowControl w:val="0"/>
      <w:textAlignment w:val="center"/>
    </w:pPr>
    <w:rPr>
      <w:rFonts w:ascii="黑体" w:hAnsi="Times New Roman" w:eastAsia="黑体" w:cs="黑体"/>
      <w:sz w:val="21"/>
      <w:szCs w:val="21"/>
      <w:lang w:val="en-US" w:eastAsia="zh-CN" w:bidi="ar-SA"/>
    </w:rPr>
  </w:style>
  <w:style w:type="paragraph" w:customStyle="1" w:styleId="192">
    <w:name w:val="五级无"/>
    <w:basedOn w:val="95"/>
    <w:qFormat/>
    <w:uiPriority w:val="99"/>
    <w:pPr>
      <w:numPr>
        <w:numId w:val="0"/>
      </w:numPr>
      <w:tabs>
        <w:tab w:val="left" w:pos="2520"/>
      </w:tabs>
      <w:spacing w:beforeLines="0" w:afterLines="0"/>
      <w:ind w:hanging="420"/>
    </w:pPr>
    <w:rPr>
      <w:rFonts w:ascii="宋体" w:eastAsia="宋体" w:cs="宋体"/>
    </w:rPr>
  </w:style>
  <w:style w:type="paragraph" w:customStyle="1" w:styleId="193">
    <w:name w:val="一级无"/>
    <w:basedOn w:val="93"/>
    <w:qFormat/>
    <w:uiPriority w:val="99"/>
    <w:pPr>
      <w:spacing w:beforeLines="0" w:afterLines="0"/>
    </w:pPr>
    <w:rPr>
      <w:rFonts w:ascii="宋体" w:eastAsia="宋体" w:cs="宋体"/>
    </w:rPr>
  </w:style>
  <w:style w:type="paragraph" w:customStyle="1" w:styleId="194">
    <w:name w:val="正文表标题"/>
    <w:next w:val="36"/>
    <w:qFormat/>
    <w:uiPriority w:val="99"/>
    <w:pPr>
      <w:tabs>
        <w:tab w:val="left" w:pos="360"/>
      </w:tabs>
      <w:spacing w:beforeLines="50" w:afterLines="50"/>
      <w:jc w:val="center"/>
    </w:pPr>
    <w:rPr>
      <w:rFonts w:ascii="黑体" w:hAnsi="Times New Roman" w:eastAsia="黑体" w:cs="黑体"/>
      <w:sz w:val="21"/>
      <w:szCs w:val="21"/>
      <w:lang w:val="en-US" w:eastAsia="zh-CN" w:bidi="ar-SA"/>
    </w:rPr>
  </w:style>
  <w:style w:type="paragraph" w:customStyle="1" w:styleId="195">
    <w:name w:val="正文公式编号制表符"/>
    <w:basedOn w:val="36"/>
    <w:next w:val="36"/>
    <w:qFormat/>
    <w:uiPriority w:val="99"/>
    <w:pPr>
      <w:ind w:firstLine="0" w:firstLineChars="0"/>
    </w:pPr>
  </w:style>
  <w:style w:type="paragraph" w:customStyle="1" w:styleId="196">
    <w:name w:val="正文图标题"/>
    <w:next w:val="36"/>
    <w:qFormat/>
    <w:uiPriority w:val="99"/>
    <w:pPr>
      <w:spacing w:beforeLines="50" w:afterLines="50"/>
      <w:jc w:val="center"/>
    </w:pPr>
    <w:rPr>
      <w:rFonts w:ascii="黑体" w:hAnsi="Times New Roman" w:eastAsia="黑体" w:cs="黑体"/>
      <w:sz w:val="21"/>
      <w:szCs w:val="21"/>
      <w:lang w:val="en-US" w:eastAsia="zh-CN" w:bidi="ar-SA"/>
    </w:rPr>
  </w:style>
  <w:style w:type="paragraph" w:customStyle="1" w:styleId="197">
    <w:name w:val="终结线"/>
    <w:basedOn w:val="1"/>
    <w:qFormat/>
    <w:uiPriority w:val="99"/>
    <w:pPr>
      <w:framePr w:hSpace="181" w:vSpace="181" w:wrap="around" w:vAnchor="text" w:hAnchor="margin" w:xAlign="center" w:y="285"/>
    </w:pPr>
  </w:style>
  <w:style w:type="paragraph" w:customStyle="1" w:styleId="198">
    <w:name w:val="其他发布日期"/>
    <w:basedOn w:val="143"/>
    <w:qFormat/>
    <w:uiPriority w:val="0"/>
    <w:pPr>
      <w:framePr w:wrap="around" w:vAnchor="page" w:hAnchor="text" w:x="1419"/>
    </w:pPr>
  </w:style>
  <w:style w:type="paragraph" w:customStyle="1" w:styleId="199">
    <w:name w:val="其他实施日期"/>
    <w:basedOn w:val="182"/>
    <w:qFormat/>
    <w:uiPriority w:val="0"/>
    <w:pPr>
      <w:framePr w:wrap="around"/>
    </w:pPr>
  </w:style>
  <w:style w:type="paragraph" w:customStyle="1" w:styleId="200">
    <w:name w:val="封面标准名称2"/>
    <w:basedOn w:val="146"/>
    <w:qFormat/>
    <w:uiPriority w:val="99"/>
    <w:pPr>
      <w:framePr w:wrap="around" w:y="4469"/>
      <w:spacing w:beforeLines="630"/>
    </w:pPr>
  </w:style>
  <w:style w:type="paragraph" w:customStyle="1" w:styleId="201">
    <w:name w:val="封面标准英文名称2"/>
    <w:basedOn w:val="147"/>
    <w:qFormat/>
    <w:uiPriority w:val="99"/>
    <w:pPr>
      <w:framePr w:wrap="around" w:y="4469"/>
    </w:pPr>
  </w:style>
  <w:style w:type="paragraph" w:customStyle="1" w:styleId="202">
    <w:name w:val="封面一致性程度标识2"/>
    <w:basedOn w:val="148"/>
    <w:qFormat/>
    <w:uiPriority w:val="99"/>
    <w:pPr>
      <w:framePr w:wrap="around" w:y="4469"/>
    </w:pPr>
  </w:style>
  <w:style w:type="paragraph" w:customStyle="1" w:styleId="203">
    <w:name w:val="封面标准文稿类别2"/>
    <w:basedOn w:val="149"/>
    <w:qFormat/>
    <w:uiPriority w:val="99"/>
    <w:pPr>
      <w:framePr w:wrap="around" w:y="4469"/>
    </w:pPr>
  </w:style>
  <w:style w:type="paragraph" w:customStyle="1" w:styleId="204">
    <w:name w:val="封面标准文稿编辑信息2"/>
    <w:basedOn w:val="150"/>
    <w:qFormat/>
    <w:uiPriority w:val="99"/>
    <w:pPr>
      <w:framePr w:wrap="around" w:y="4469"/>
    </w:pPr>
  </w:style>
  <w:style w:type="paragraph" w:customStyle="1" w:styleId="205">
    <w:name w:val="术语与定义"/>
    <w:basedOn w:val="1"/>
    <w:qFormat/>
    <w:uiPriority w:val="99"/>
    <w:pPr>
      <w:widowControl/>
      <w:tabs>
        <w:tab w:val="center" w:pos="4201"/>
        <w:tab w:val="right" w:leader="dot" w:pos="9298"/>
      </w:tabs>
      <w:autoSpaceDE w:val="0"/>
      <w:autoSpaceDN w:val="0"/>
      <w:ind w:firstLine="420"/>
    </w:pPr>
    <w:rPr>
      <w:rFonts w:ascii="Arial" w:hAnsi="Arial" w:cs="Arial"/>
      <w:kern w:val="0"/>
    </w:rPr>
  </w:style>
  <w:style w:type="paragraph" w:customStyle="1" w:styleId="206">
    <w:name w:val="2正文条文 要求 + (符号) 宋体 四号 左 首行缩进:  2 字符 行距: 1.5 倍行距"/>
    <w:basedOn w:val="82"/>
    <w:link w:val="207"/>
    <w:qFormat/>
    <w:uiPriority w:val="99"/>
    <w:pPr>
      <w:spacing w:line="360" w:lineRule="auto"/>
      <w:ind w:left="0" w:leftChars="0" w:firstLine="560"/>
      <w:jc w:val="left"/>
    </w:pPr>
    <w:rPr>
      <w:rFonts w:hAnsi="宋体"/>
      <w:kern w:val="2"/>
      <w:szCs w:val="28"/>
    </w:rPr>
  </w:style>
  <w:style w:type="character" w:customStyle="1" w:styleId="207">
    <w:name w:val="2正文条文 要求 + (符号) 宋体 四号 左 首行缩进:  2 字符 行距: 1.5 倍行距 Char Char"/>
    <w:basedOn w:val="48"/>
    <w:link w:val="206"/>
    <w:qFormat/>
    <w:locked/>
    <w:uiPriority w:val="99"/>
    <w:rPr>
      <w:rFonts w:ascii="宋体" w:hAnsi="宋体" w:eastAsia="宋体" w:cs="宋体"/>
      <w:sz w:val="24"/>
      <w:szCs w:val="24"/>
    </w:rPr>
  </w:style>
  <w:style w:type="paragraph" w:customStyle="1" w:styleId="208">
    <w:name w:val="样式3"/>
    <w:basedOn w:val="6"/>
    <w:qFormat/>
    <w:uiPriority w:val="99"/>
    <w:pPr>
      <w:adjustRightInd w:val="0"/>
      <w:snapToGrid w:val="0"/>
      <w:spacing w:line="360" w:lineRule="auto"/>
    </w:pPr>
    <w:rPr>
      <w:rFonts w:ascii="宋体" w:hAnsi="宋体" w:cs="宋体"/>
    </w:rPr>
  </w:style>
  <w:style w:type="paragraph" w:customStyle="1" w:styleId="209">
    <w:name w:val="Char"/>
    <w:basedOn w:val="1"/>
    <w:qFormat/>
    <w:uiPriority w:val="99"/>
    <w:pPr>
      <w:spacing w:before="100" w:beforeAutospacing="1" w:after="100" w:afterAutospacing="1"/>
    </w:pPr>
    <w:rPr>
      <w:rFonts w:ascii="仿宋_GB2312" w:cs="仿宋_GB2312"/>
      <w:b/>
      <w:bCs/>
      <w:szCs w:val="32"/>
    </w:rPr>
  </w:style>
  <w:style w:type="paragraph" w:customStyle="1" w:styleId="210">
    <w:name w:val="样式 标题 3 + +中文正文 小四 非加粗 段前: 0 磅 段后: 0 磅 行距: 1.5 倍行距 首行缩进:  ..."/>
    <w:basedOn w:val="4"/>
    <w:link w:val="211"/>
    <w:qFormat/>
    <w:uiPriority w:val="99"/>
    <w:pPr>
      <w:adjustRightInd w:val="0"/>
      <w:snapToGrid w:val="0"/>
      <w:spacing w:line="360" w:lineRule="auto"/>
      <w:jc w:val="left"/>
    </w:pPr>
    <w:rPr>
      <w:rFonts w:ascii="黑体" w:eastAsia="黑体" w:cs="黑体"/>
      <w:szCs w:val="28"/>
    </w:rPr>
  </w:style>
  <w:style w:type="character" w:customStyle="1" w:styleId="211">
    <w:name w:val="样式 标题 3 + +中文正文 小四 非加粗 段前: 0 磅 段后: 0 磅 行距: 1.5 倍行距 首行缩进:  ... Char"/>
    <w:basedOn w:val="48"/>
    <w:link w:val="210"/>
    <w:qFormat/>
    <w:locked/>
    <w:uiPriority w:val="99"/>
    <w:rPr>
      <w:rFonts w:ascii="黑体" w:hAnsi="Times New Roman" w:eastAsia="黑体" w:cs="黑体"/>
      <w:sz w:val="28"/>
      <w:szCs w:val="28"/>
    </w:rPr>
  </w:style>
  <w:style w:type="character" w:customStyle="1" w:styleId="212">
    <w:name w:val="Char Char10"/>
    <w:qFormat/>
    <w:uiPriority w:val="99"/>
    <w:rPr>
      <w:rFonts w:ascii="Arial" w:hAnsi="Arial" w:eastAsia="黑体" w:cs="Arial"/>
      <w:b/>
      <w:bCs/>
      <w:kern w:val="2"/>
      <w:sz w:val="28"/>
      <w:szCs w:val="28"/>
      <w:lang w:val="en-US" w:eastAsia="zh-CN"/>
    </w:rPr>
  </w:style>
  <w:style w:type="character" w:customStyle="1" w:styleId="213">
    <w:name w:val="Char Char9"/>
    <w:semiHidden/>
    <w:qFormat/>
    <w:uiPriority w:val="99"/>
    <w:rPr>
      <w:rFonts w:ascii="Calibri" w:hAnsi="Calibri" w:eastAsia="仿宋_GB2312" w:cs="Calibri"/>
      <w:kern w:val="2"/>
      <w:sz w:val="22"/>
      <w:szCs w:val="22"/>
      <w:lang w:val="en-US" w:eastAsia="zh-CN"/>
    </w:rPr>
  </w:style>
  <w:style w:type="character" w:customStyle="1" w:styleId="214">
    <w:name w:val="high1"/>
    <w:qFormat/>
    <w:uiPriority w:val="99"/>
    <w:rPr>
      <w:color w:val="auto"/>
      <w:sz w:val="20"/>
      <w:szCs w:val="20"/>
      <w:u w:val="none"/>
    </w:rPr>
  </w:style>
  <w:style w:type="paragraph" w:customStyle="1" w:styleId="215">
    <w:name w:val="Char Char Char Char Char Char1 Char"/>
    <w:basedOn w:val="1"/>
    <w:qFormat/>
    <w:uiPriority w:val="99"/>
    <w:pPr>
      <w:widowControl/>
      <w:adjustRightInd w:val="0"/>
      <w:snapToGrid w:val="0"/>
      <w:spacing w:after="160" w:line="240" w:lineRule="exact"/>
      <w:jc w:val="center"/>
    </w:pPr>
    <w:rPr>
      <w:rFonts w:ascii="Verdana" w:hAnsi="Verdana" w:cs="Verdana"/>
      <w:kern w:val="0"/>
      <w:sz w:val="20"/>
      <w:szCs w:val="20"/>
      <w:lang w:eastAsia="en-US"/>
    </w:rPr>
  </w:style>
  <w:style w:type="character" w:customStyle="1" w:styleId="216">
    <w:name w:val="Char Char3"/>
    <w:basedOn w:val="48"/>
    <w:qFormat/>
    <w:uiPriority w:val="99"/>
    <w:rPr>
      <w:rFonts w:eastAsia="宋体"/>
      <w:kern w:val="2"/>
      <w:sz w:val="24"/>
      <w:szCs w:val="24"/>
      <w:lang w:val="en-US" w:eastAsia="zh-CN"/>
    </w:rPr>
  </w:style>
  <w:style w:type="paragraph" w:customStyle="1" w:styleId="217">
    <w:name w:val="Char Char Char 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218">
    <w:name w:val="zhang"/>
    <w:basedOn w:val="1"/>
    <w:qFormat/>
    <w:uiPriority w:val="99"/>
    <w:pPr>
      <w:widowControl/>
      <w:jc w:val="left"/>
    </w:pPr>
    <w:rPr>
      <w:rFonts w:ascii="宋体" w:hAnsi="宋体" w:cs="宋体"/>
      <w:b/>
      <w:bCs/>
      <w:smallCaps/>
      <w:color w:val="000000"/>
      <w:kern w:val="0"/>
      <w:sz w:val="20"/>
      <w:szCs w:val="20"/>
    </w:rPr>
  </w:style>
  <w:style w:type="paragraph" w:customStyle="1" w:styleId="219">
    <w:name w:val="标题9 新"/>
    <w:basedOn w:val="1"/>
    <w:qFormat/>
    <w:uiPriority w:val="99"/>
    <w:pPr>
      <w:jc w:val="center"/>
      <w:outlineLvl w:val="8"/>
    </w:pPr>
    <w:rPr>
      <w:rFonts w:ascii="宋体" w:hAnsi="宋体" w:cs="宋体"/>
      <w:szCs w:val="28"/>
    </w:rPr>
  </w:style>
  <w:style w:type="paragraph" w:customStyle="1" w:styleId="220">
    <w:name w:val="修订1"/>
    <w:hidden/>
    <w:semiHidden/>
    <w:qFormat/>
    <w:uiPriority w:val="99"/>
    <w:rPr>
      <w:rFonts w:ascii="Times New Roman" w:hAnsi="Times New Roman" w:eastAsia="宋体" w:cs="Times New Roman"/>
      <w:kern w:val="2"/>
      <w:sz w:val="21"/>
      <w:szCs w:val="21"/>
      <w:lang w:val="en-US" w:eastAsia="zh-CN" w:bidi="ar-SA"/>
    </w:rPr>
  </w:style>
  <w:style w:type="paragraph" w:customStyle="1" w:styleId="221">
    <w:name w:val="p0"/>
    <w:basedOn w:val="1"/>
    <w:qFormat/>
    <w:uiPriority w:val="99"/>
    <w:pPr>
      <w:widowControl/>
      <w:jc w:val="left"/>
    </w:pPr>
    <w:rPr>
      <w:kern w:val="0"/>
      <w:sz w:val="20"/>
      <w:szCs w:val="20"/>
    </w:rPr>
  </w:style>
  <w:style w:type="paragraph" w:customStyle="1" w:styleId="222">
    <w:name w:val="TOC 标题1"/>
    <w:basedOn w:val="2"/>
    <w:next w:val="1"/>
    <w:semiHidden/>
    <w:qFormat/>
    <w:uiPriority w:val="99"/>
    <w:pPr>
      <w:spacing w:before="480" w:line="276" w:lineRule="auto"/>
      <w:jc w:val="left"/>
      <w:outlineLvl w:val="9"/>
    </w:pPr>
    <w:rPr>
      <w:rFonts w:ascii="Cambria" w:hAnsi="Cambria" w:eastAsia="宋体" w:cs="Cambria"/>
      <w:b/>
      <w:bCs/>
      <w:color w:val="365F91"/>
      <w:kern w:val="0"/>
      <w:szCs w:val="28"/>
    </w:rPr>
  </w:style>
  <w:style w:type="paragraph" w:customStyle="1" w:styleId="223">
    <w:name w:val="表格文字"/>
    <w:qFormat/>
    <w:uiPriority w:val="99"/>
    <w:pPr>
      <w:widowControl w:val="0"/>
      <w:autoSpaceDE w:val="0"/>
      <w:autoSpaceDN w:val="0"/>
      <w:adjustRightInd w:val="0"/>
      <w:textAlignment w:val="baseline"/>
    </w:pPr>
    <w:rPr>
      <w:rFonts w:ascii="宋体" w:hAnsi="Times New Roman" w:eastAsia="宋体" w:cs="宋体"/>
      <w:color w:val="000000"/>
      <w:sz w:val="24"/>
      <w:szCs w:val="24"/>
      <w:lang w:val="en-US" w:eastAsia="zh-CN" w:bidi="ar-SA"/>
    </w:rPr>
  </w:style>
  <w:style w:type="paragraph" w:customStyle="1" w:styleId="224">
    <w:name w:val="TOC 标题2"/>
    <w:basedOn w:val="2"/>
    <w:next w:val="1"/>
    <w:unhideWhenUsed/>
    <w:qFormat/>
    <w:uiPriority w:val="39"/>
    <w:pPr>
      <w:spacing w:before="480" w:line="276" w:lineRule="auto"/>
      <w:jc w:val="left"/>
      <w:outlineLvl w:val="9"/>
    </w:pPr>
    <w:rPr>
      <w:rFonts w:asciiTheme="majorHAnsi" w:hAnsiTheme="majorHAnsi" w:eastAsiaTheme="majorEastAsia" w:cstheme="majorBidi"/>
      <w:b/>
      <w:bCs/>
      <w:color w:val="376092" w:themeColor="accent1" w:themeShade="BF"/>
      <w:kern w:val="0"/>
      <w:szCs w:val="28"/>
    </w:rPr>
  </w:style>
  <w:style w:type="table" w:customStyle="1" w:styleId="22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0.emf"/><Relationship Id="rId35" Type="http://schemas.openxmlformats.org/officeDocument/2006/relationships/image" Target="media/image9.emf"/><Relationship Id="rId34" Type="http://schemas.openxmlformats.org/officeDocument/2006/relationships/oleObject" Target="embeddings/oleObject4.bin"/><Relationship Id="rId33" Type="http://schemas.openxmlformats.org/officeDocument/2006/relationships/image" Target="media/image8.emf"/><Relationship Id="rId32" Type="http://schemas.openxmlformats.org/officeDocument/2006/relationships/oleObject" Target="embeddings/oleObject3.bin"/><Relationship Id="rId31" Type="http://schemas.openxmlformats.org/officeDocument/2006/relationships/image" Target="media/image7.emf"/><Relationship Id="rId30" Type="http://schemas.openxmlformats.org/officeDocument/2006/relationships/oleObject" Target="embeddings/oleObject2.bin"/><Relationship Id="rId3" Type="http://schemas.openxmlformats.org/officeDocument/2006/relationships/footnotes" Target="footnotes.xml"/><Relationship Id="rId29" Type="http://schemas.openxmlformats.org/officeDocument/2006/relationships/image" Target="media/image6.emf"/><Relationship Id="rId28" Type="http://schemas.openxmlformats.org/officeDocument/2006/relationships/oleObject" Target="embeddings/oleObject1.bin"/><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emf"/><Relationship Id="rId22" Type="http://schemas.openxmlformats.org/officeDocument/2006/relationships/package" Target="embeddings/Microsoft_Visio___1.vsdx"/><Relationship Id="rId21" Type="http://schemas.openxmlformats.org/officeDocument/2006/relationships/theme" Target="theme/theme1.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C7A9F6-AB66-40EF-AB78-3ADC6EDE5CF9}">
  <ds:schemaRefs/>
</ds:datastoreItem>
</file>

<file path=docProps/app.xml><?xml version="1.0" encoding="utf-8"?>
<Properties xmlns="http://schemas.openxmlformats.org/officeDocument/2006/extended-properties" xmlns:vt="http://schemas.openxmlformats.org/officeDocument/2006/docPropsVTypes">
  <Template>Normal.dotm</Template>
  <Pages>1</Pages>
  <Words>4840</Words>
  <Characters>27593</Characters>
  <Lines>229</Lines>
  <Paragraphs>64</Paragraphs>
  <TotalTime>7</TotalTime>
  <ScaleCrop>false</ScaleCrop>
  <LinksUpToDate>false</LinksUpToDate>
  <CharactersWithSpaces>32369</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2020-06-19T10:02:00Z</dcterms:created>
  <dc:creator>dell</dc:creator>
  <cp:lastModifiedBy>Administrator</cp:lastModifiedBy>
  <cp:lastPrinted>2023-06-27T06:26:00Z</cp:lastPrinted>
  <dcterms:modified xsi:type="dcterms:W3CDTF">2023-11-06T10:00:34Z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1322524CB51F48E4A05C39F330F5AA15</vt:lpwstr>
  </property>
</Properties>
</file>