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371"/>
        </w:tabs>
        <w:spacing w:line="360" w:lineRule="auto"/>
        <w:rPr>
          <w:rFonts w:ascii="宋体" w:hAnsi="宋体"/>
          <w:b/>
          <w:color w:val="000000" w:themeColor="text1"/>
          <w:sz w:val="24"/>
          <w14:textFill>
            <w14:solidFill>
              <w14:schemeClr w14:val="tx1"/>
            </w14:solidFill>
          </w14:textFill>
        </w:rPr>
      </w:pPr>
    </w:p>
    <w:p>
      <w:pPr>
        <w:tabs>
          <w:tab w:val="left" w:pos="7371"/>
        </w:tabs>
        <w:spacing w:line="360" w:lineRule="auto"/>
        <w:rPr>
          <w:rFonts w:ascii="宋体" w:hAnsi="宋体"/>
          <w:b/>
          <w:color w:val="000000" w:themeColor="text1"/>
          <w:sz w:val="24"/>
          <w14:textFill>
            <w14:solidFill>
              <w14:schemeClr w14:val="tx1"/>
            </w14:solidFill>
          </w14:textFill>
        </w:rPr>
      </w:pPr>
    </w:p>
    <w:p>
      <w:pPr>
        <w:spacing w:line="360" w:lineRule="auto"/>
        <w:jc w:val="center"/>
        <w:rPr>
          <w:rFonts w:ascii="宋体" w:hAnsi="宋体"/>
          <w:b/>
          <w:snapToGrid w:val="0"/>
          <w:color w:val="000000" w:themeColor="text1"/>
          <w:kern w:val="0"/>
          <w:sz w:val="24"/>
          <w:szCs w:val="18"/>
          <w14:textFill>
            <w14:solidFill>
              <w14:schemeClr w14:val="tx1"/>
            </w14:solidFill>
          </w14:textFill>
        </w:rPr>
      </w:pPr>
      <w:r>
        <w:rPr>
          <w:rFonts w:hint="eastAsia" w:ascii="宋体" w:hAnsi="宋体"/>
          <w:b/>
          <w:color w:val="000000" w:themeColor="text1"/>
          <w:sz w:val="52"/>
          <w:szCs w:val="32"/>
          <w14:textFill>
            <w14:solidFill>
              <w14:schemeClr w14:val="tx1"/>
            </w14:solidFill>
          </w14:textFill>
        </w:rPr>
        <w:t>经开区143号路设计施工总承包</w:t>
      </w:r>
    </w:p>
    <w:p>
      <w:pPr>
        <w:spacing w:line="360" w:lineRule="auto"/>
        <w:jc w:val="center"/>
        <w:rPr>
          <w:rFonts w:ascii="宋体" w:hAnsi="宋体"/>
          <w:b/>
          <w:snapToGrid w:val="0"/>
          <w:color w:val="000000" w:themeColor="text1"/>
          <w:kern w:val="0"/>
          <w:sz w:val="24"/>
          <w:szCs w:val="18"/>
          <w14:textFill>
            <w14:solidFill>
              <w14:schemeClr w14:val="tx1"/>
            </w14:solidFill>
          </w14:textFill>
        </w:rPr>
      </w:pPr>
    </w:p>
    <w:p>
      <w:pPr>
        <w:spacing w:line="360" w:lineRule="auto"/>
        <w:jc w:val="center"/>
        <w:rPr>
          <w:rFonts w:ascii="宋体" w:hAnsi="宋体"/>
          <w:b/>
          <w:snapToGrid w:val="0"/>
          <w:color w:val="000000" w:themeColor="text1"/>
          <w:kern w:val="0"/>
          <w:sz w:val="24"/>
          <w:szCs w:val="18"/>
          <w14:textFill>
            <w14:solidFill>
              <w14:schemeClr w14:val="tx1"/>
            </w14:solidFill>
          </w14:textFill>
        </w:rPr>
      </w:pPr>
    </w:p>
    <w:p>
      <w:pPr>
        <w:spacing w:line="360" w:lineRule="auto"/>
        <w:jc w:val="center"/>
        <w:rPr>
          <w:rFonts w:ascii="宋体" w:hAnsi="宋体"/>
          <w:b/>
          <w:snapToGrid w:val="0"/>
          <w:color w:val="000000" w:themeColor="text1"/>
          <w:kern w:val="0"/>
          <w:sz w:val="24"/>
          <w:szCs w:val="18"/>
          <w14:textFill>
            <w14:solidFill>
              <w14:schemeClr w14:val="tx1"/>
            </w14:solidFill>
          </w14:textFill>
        </w:rPr>
      </w:pPr>
    </w:p>
    <w:p>
      <w:pPr>
        <w:spacing w:line="360" w:lineRule="auto"/>
        <w:jc w:val="center"/>
        <w:rPr>
          <w:rFonts w:ascii="宋体" w:hAnsi="宋体"/>
          <w:b/>
          <w:snapToGrid w:val="0"/>
          <w:color w:val="000000" w:themeColor="text1"/>
          <w:kern w:val="0"/>
          <w:sz w:val="24"/>
          <w:szCs w:val="18"/>
          <w14:textFill>
            <w14:solidFill>
              <w14:schemeClr w14:val="tx1"/>
            </w14:solidFill>
          </w14:textFill>
        </w:rPr>
      </w:pPr>
    </w:p>
    <w:p>
      <w:pPr>
        <w:spacing w:line="360" w:lineRule="auto"/>
        <w:rPr>
          <w:rFonts w:ascii="宋体" w:hAnsi="宋体"/>
          <w:b/>
          <w:snapToGrid w:val="0"/>
          <w:color w:val="000000" w:themeColor="text1"/>
          <w:kern w:val="0"/>
          <w:sz w:val="24"/>
          <w:szCs w:val="18"/>
          <w14:textFill>
            <w14:solidFill>
              <w14:schemeClr w14:val="tx1"/>
            </w14:solidFill>
          </w14:textFill>
        </w:rPr>
      </w:pPr>
    </w:p>
    <w:p>
      <w:pPr>
        <w:pStyle w:val="2"/>
        <w:ind w:left="0" w:leftChars="0" w:firstLine="0" w:firstLineChars="0"/>
        <w:rPr>
          <w:b/>
          <w:color w:val="000000" w:themeColor="text1"/>
          <w14:textFill>
            <w14:solidFill>
              <w14:schemeClr w14:val="tx1"/>
            </w14:solidFill>
          </w14:textFill>
        </w:rPr>
      </w:pPr>
    </w:p>
    <w:p>
      <w:pPr>
        <w:tabs>
          <w:tab w:val="left" w:pos="3945"/>
        </w:tabs>
        <w:spacing w:line="360" w:lineRule="auto"/>
        <w:rPr>
          <w:rFonts w:ascii="宋体" w:hAnsi="宋体"/>
          <w:b/>
          <w:snapToGrid w:val="0"/>
          <w:color w:val="000000" w:themeColor="text1"/>
          <w:kern w:val="0"/>
          <w:sz w:val="24"/>
          <w:szCs w:val="18"/>
          <w14:textFill>
            <w14:solidFill>
              <w14:schemeClr w14:val="tx1"/>
            </w14:solidFill>
          </w14:textFill>
        </w:rPr>
      </w:pPr>
      <w:r>
        <w:rPr>
          <w:rFonts w:ascii="宋体" w:hAnsi="宋体"/>
          <w:b/>
          <w:snapToGrid w:val="0"/>
          <w:color w:val="000000" w:themeColor="text1"/>
          <w:kern w:val="0"/>
          <w:sz w:val="24"/>
          <w:szCs w:val="18"/>
          <w14:textFill>
            <w14:solidFill>
              <w14:schemeClr w14:val="tx1"/>
            </w14:solidFill>
          </w14:textFill>
        </w:rPr>
        <w:tab/>
      </w:r>
    </w:p>
    <w:p>
      <w:pPr>
        <w:spacing w:line="360" w:lineRule="auto"/>
        <w:jc w:val="center"/>
        <w:rPr>
          <w:rFonts w:ascii="宋体" w:hAnsi="宋体"/>
          <w:b/>
          <w:snapToGrid w:val="0"/>
          <w:color w:val="000000" w:themeColor="text1"/>
          <w:kern w:val="0"/>
          <w:sz w:val="84"/>
          <w:szCs w:val="84"/>
          <w14:textFill>
            <w14:solidFill>
              <w14:schemeClr w14:val="tx1"/>
            </w14:solidFill>
          </w14:textFill>
        </w:rPr>
      </w:pPr>
      <w:r>
        <w:rPr>
          <w:rFonts w:hint="eastAsia" w:ascii="宋体" w:hAnsi="宋体"/>
          <w:b/>
          <w:snapToGrid w:val="0"/>
          <w:color w:val="000000" w:themeColor="text1"/>
          <w:kern w:val="0"/>
          <w:sz w:val="84"/>
          <w:szCs w:val="84"/>
          <w14:textFill>
            <w14:solidFill>
              <w14:schemeClr w14:val="tx1"/>
            </w14:solidFill>
          </w14:textFill>
        </w:rPr>
        <w:t>招 标 文 件</w:t>
      </w:r>
    </w:p>
    <w:p>
      <w:pPr>
        <w:spacing w:line="360" w:lineRule="auto"/>
        <w:ind w:firstLine="2695" w:firstLineChars="895"/>
        <w:jc w:val="left"/>
        <w:rPr>
          <w:rFonts w:ascii="宋体" w:hAnsi="宋体"/>
          <w:b/>
          <w:snapToGrid w:val="0"/>
          <w:color w:val="000000" w:themeColor="text1"/>
          <w:kern w:val="0"/>
          <w:sz w:val="43"/>
          <w:szCs w:val="21"/>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项目编号：YNXCJ-20230602</w:t>
      </w:r>
    </w:p>
    <w:p>
      <w:pPr>
        <w:spacing w:line="360" w:lineRule="auto"/>
        <w:jc w:val="center"/>
        <w:rPr>
          <w:rFonts w:ascii="宋体" w:hAnsi="宋体"/>
          <w:b/>
          <w:snapToGrid w:val="0"/>
          <w:color w:val="000000" w:themeColor="text1"/>
          <w:kern w:val="0"/>
          <w:sz w:val="24"/>
          <w14:textFill>
            <w14:solidFill>
              <w14:schemeClr w14:val="tx1"/>
            </w14:solidFill>
          </w14:textFill>
        </w:rPr>
      </w:pPr>
    </w:p>
    <w:p>
      <w:pPr>
        <w:spacing w:line="360" w:lineRule="auto"/>
        <w:rPr>
          <w:rFonts w:ascii="宋体" w:hAnsi="宋体"/>
          <w:b/>
          <w:snapToGrid w:val="0"/>
          <w:color w:val="000000" w:themeColor="text1"/>
          <w:kern w:val="0"/>
          <w:sz w:val="24"/>
          <w14:textFill>
            <w14:solidFill>
              <w14:schemeClr w14:val="tx1"/>
            </w14:solidFill>
          </w14:textFill>
        </w:rPr>
      </w:pPr>
    </w:p>
    <w:p>
      <w:pPr>
        <w:spacing w:line="360" w:lineRule="auto"/>
        <w:rPr>
          <w:rFonts w:ascii="宋体" w:hAnsi="宋体"/>
          <w:b/>
          <w:snapToGrid w:val="0"/>
          <w:color w:val="000000" w:themeColor="text1"/>
          <w:kern w:val="0"/>
          <w:sz w:val="24"/>
          <w14:textFill>
            <w14:solidFill>
              <w14:schemeClr w14:val="tx1"/>
            </w14:solidFill>
          </w14:textFill>
        </w:rPr>
      </w:pPr>
    </w:p>
    <w:p>
      <w:pPr>
        <w:spacing w:line="360" w:lineRule="auto"/>
        <w:rPr>
          <w:rFonts w:ascii="宋体" w:hAnsi="宋体"/>
          <w:b/>
          <w:snapToGrid w:val="0"/>
          <w:color w:val="000000" w:themeColor="text1"/>
          <w:kern w:val="0"/>
          <w:sz w:val="24"/>
          <w14:textFill>
            <w14:solidFill>
              <w14:schemeClr w14:val="tx1"/>
            </w14:solidFill>
          </w14:textFill>
        </w:rPr>
      </w:pPr>
    </w:p>
    <w:p>
      <w:pPr>
        <w:spacing w:line="360" w:lineRule="auto"/>
        <w:ind w:firstLine="582" w:firstLineChars="200"/>
        <w:jc w:val="left"/>
        <w:rPr>
          <w:rFonts w:ascii="宋体" w:hAnsi="宋体"/>
          <w:b/>
          <w:snapToGrid w:val="0"/>
          <w:color w:val="000000" w:themeColor="text1"/>
          <w:kern w:val="0"/>
          <w:sz w:val="29"/>
          <w:szCs w:val="21"/>
          <w:u w:val="single"/>
          <w14:textFill>
            <w14:solidFill>
              <w14:schemeClr w14:val="tx1"/>
            </w14:solidFill>
          </w14:textFill>
        </w:rPr>
      </w:pPr>
      <w:r>
        <w:rPr>
          <w:rFonts w:hint="eastAsia" w:ascii="宋体" w:hAnsi="宋体"/>
          <w:b/>
          <w:snapToGrid w:val="0"/>
          <w:color w:val="000000" w:themeColor="text1"/>
          <w:kern w:val="0"/>
          <w:sz w:val="29"/>
          <w:szCs w:val="21"/>
          <w14:textFill>
            <w14:solidFill>
              <w14:schemeClr w14:val="tx1"/>
            </w14:solidFill>
          </w14:textFill>
        </w:rPr>
        <w:t>招标人：</w:t>
      </w:r>
      <w:r>
        <w:rPr>
          <w:rFonts w:hint="eastAsia" w:ascii="宋体" w:hAnsi="宋体"/>
          <w:b/>
          <w:snapToGrid w:val="0"/>
          <w:color w:val="000000" w:themeColor="text1"/>
          <w:kern w:val="0"/>
          <w:sz w:val="29"/>
          <w:szCs w:val="21"/>
          <w:u w:val="single"/>
          <w14:textFill>
            <w14:solidFill>
              <w14:schemeClr w14:val="tx1"/>
            </w14:solidFill>
          </w14:textFill>
        </w:rPr>
        <w:t>昆明经济技术开发区规划建设局</w:t>
      </w:r>
    </w:p>
    <w:p>
      <w:pPr>
        <w:spacing w:line="360" w:lineRule="auto"/>
        <w:ind w:firstLine="582" w:firstLineChars="200"/>
        <w:jc w:val="left"/>
        <w:rPr>
          <w:rFonts w:ascii="宋体" w:hAnsi="宋体"/>
          <w:b/>
          <w:snapToGrid w:val="0"/>
          <w:color w:val="000000" w:themeColor="text1"/>
          <w:kern w:val="0"/>
          <w:sz w:val="29"/>
          <w:szCs w:val="21"/>
          <w:u w:val="single"/>
          <w14:textFill>
            <w14:solidFill>
              <w14:schemeClr w14:val="tx1"/>
            </w14:solidFill>
          </w14:textFill>
        </w:rPr>
      </w:pPr>
      <w:r>
        <w:rPr>
          <w:rFonts w:hint="eastAsia" w:ascii="宋体" w:hAnsi="宋体"/>
          <w:b/>
          <w:snapToGrid w:val="0"/>
          <w:color w:val="000000" w:themeColor="text1"/>
          <w:kern w:val="0"/>
          <w:sz w:val="29"/>
          <w:szCs w:val="21"/>
          <w14:textFill>
            <w14:solidFill>
              <w14:schemeClr w14:val="tx1"/>
            </w14:solidFill>
          </w14:textFill>
        </w:rPr>
        <w:t>招标代理机构</w:t>
      </w:r>
      <w:bookmarkStart w:id="0" w:name="_Hlk36800722"/>
      <w:r>
        <w:rPr>
          <w:rFonts w:hint="eastAsia" w:ascii="宋体" w:hAnsi="宋体"/>
          <w:b/>
          <w:snapToGrid w:val="0"/>
          <w:color w:val="000000" w:themeColor="text1"/>
          <w:kern w:val="0"/>
          <w:sz w:val="29"/>
          <w:szCs w:val="21"/>
          <w14:textFill>
            <w14:solidFill>
              <w14:schemeClr w14:val="tx1"/>
            </w14:solidFill>
          </w14:textFill>
        </w:rPr>
        <w:t>（电子签章）</w:t>
      </w:r>
      <w:bookmarkEnd w:id="0"/>
      <w:r>
        <w:rPr>
          <w:rFonts w:hint="eastAsia" w:ascii="宋体" w:hAnsi="宋体"/>
          <w:b/>
          <w:snapToGrid w:val="0"/>
          <w:color w:val="000000" w:themeColor="text1"/>
          <w:kern w:val="0"/>
          <w:sz w:val="29"/>
          <w:szCs w:val="21"/>
          <w14:textFill>
            <w14:solidFill>
              <w14:schemeClr w14:val="tx1"/>
            </w14:solidFill>
          </w14:textFill>
        </w:rPr>
        <w:t>：</w:t>
      </w:r>
      <w:r>
        <w:rPr>
          <w:rFonts w:hint="eastAsia" w:ascii="宋体" w:hAnsi="宋体"/>
          <w:b/>
          <w:snapToGrid w:val="0"/>
          <w:color w:val="000000" w:themeColor="text1"/>
          <w:kern w:val="0"/>
          <w:sz w:val="29"/>
          <w:szCs w:val="21"/>
          <w:u w:val="single"/>
          <w14:textFill>
            <w14:solidFill>
              <w14:schemeClr w14:val="tx1"/>
            </w14:solidFill>
          </w14:textFill>
        </w:rPr>
        <w:t>云南新创竣建设工程管理有限公司</w:t>
      </w:r>
    </w:p>
    <w:p>
      <w:pPr>
        <w:spacing w:line="360" w:lineRule="auto"/>
        <w:ind w:firstLine="582" w:firstLineChars="200"/>
        <w:rPr>
          <w:rFonts w:ascii="宋体" w:hAnsi="宋体"/>
          <w:b/>
          <w:snapToGrid w:val="0"/>
          <w:color w:val="000000" w:themeColor="text1"/>
          <w:kern w:val="0"/>
          <w:sz w:val="29"/>
          <w:szCs w:val="21"/>
          <w14:textFill>
            <w14:solidFill>
              <w14:schemeClr w14:val="tx1"/>
            </w14:solidFill>
          </w14:textFill>
        </w:rPr>
      </w:pPr>
      <w:r>
        <w:rPr>
          <w:rFonts w:hint="eastAsia" w:ascii="宋体" w:hAnsi="宋体"/>
          <w:b/>
          <w:snapToGrid w:val="0"/>
          <w:color w:val="000000" w:themeColor="text1"/>
          <w:kern w:val="0"/>
          <w:sz w:val="29"/>
          <w:szCs w:val="21"/>
          <w14:textFill>
            <w14:solidFill>
              <w14:schemeClr w14:val="tx1"/>
            </w14:solidFill>
          </w14:textFill>
        </w:rPr>
        <w:t xml:space="preserve">日 </w:t>
      </w:r>
      <w:r>
        <w:rPr>
          <w:rFonts w:ascii="宋体" w:hAnsi="宋体"/>
          <w:b/>
          <w:snapToGrid w:val="0"/>
          <w:color w:val="000000" w:themeColor="text1"/>
          <w:kern w:val="0"/>
          <w:sz w:val="29"/>
          <w:szCs w:val="21"/>
          <w14:textFill>
            <w14:solidFill>
              <w14:schemeClr w14:val="tx1"/>
            </w14:solidFill>
          </w14:textFill>
        </w:rPr>
        <w:t xml:space="preserve"> </w:t>
      </w:r>
      <w:r>
        <w:rPr>
          <w:rFonts w:hint="eastAsia" w:ascii="宋体" w:hAnsi="宋体"/>
          <w:b/>
          <w:snapToGrid w:val="0"/>
          <w:color w:val="000000" w:themeColor="text1"/>
          <w:kern w:val="0"/>
          <w:sz w:val="29"/>
          <w:szCs w:val="21"/>
          <w14:textFill>
            <w14:solidFill>
              <w14:schemeClr w14:val="tx1"/>
            </w14:solidFill>
          </w14:textFill>
        </w:rPr>
        <w:t>期：</w:t>
      </w:r>
      <w:r>
        <w:rPr>
          <w:rFonts w:hint="eastAsia" w:ascii="宋体" w:hAnsi="宋体"/>
          <w:b/>
          <w:snapToGrid w:val="0"/>
          <w:color w:val="000000" w:themeColor="text1"/>
          <w:kern w:val="0"/>
          <w:sz w:val="29"/>
          <w:szCs w:val="21"/>
          <w:u w:val="single"/>
          <w14:textFill>
            <w14:solidFill>
              <w14:schemeClr w14:val="tx1"/>
            </w14:solidFill>
          </w14:textFill>
        </w:rPr>
        <w:t>二○二三年六月</w:t>
      </w:r>
    </w:p>
    <w:p>
      <w:pPr>
        <w:spacing w:line="360" w:lineRule="auto"/>
        <w:ind w:firstLine="582" w:firstLineChars="200"/>
        <w:rPr>
          <w:rFonts w:ascii="宋体" w:hAnsi="宋体"/>
          <w:b/>
          <w:snapToGrid w:val="0"/>
          <w:color w:val="000000" w:themeColor="text1"/>
          <w:kern w:val="0"/>
          <w:sz w:val="29"/>
          <w:szCs w:val="21"/>
          <w:u w:val="single"/>
          <w14:textFill>
            <w14:solidFill>
              <w14:schemeClr w14:val="tx1"/>
            </w14:solidFill>
          </w14:textFill>
        </w:rPr>
        <w:sectPr>
          <w:headerReference r:id="rId4" w:type="first"/>
          <w:footerReference r:id="rId5" w:type="first"/>
          <w:headerReference r:id="rId3" w:type="default"/>
          <w:type w:val="nextColumn"/>
          <w:pgSz w:w="11906" w:h="16838"/>
          <w:pgMar w:top="1304" w:right="1304" w:bottom="1304" w:left="1304" w:header="851" w:footer="992" w:gutter="0"/>
          <w:pgNumType w:fmt="numberInDash" w:start="0"/>
          <w:cols w:space="720" w:num="1"/>
          <w:docGrid w:linePitch="312" w:charSpace="0"/>
        </w:sectPr>
      </w:pPr>
    </w:p>
    <w:p>
      <w:pPr>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p>
    <w:p>
      <w:pPr>
        <w:pStyle w:val="39"/>
        <w:tabs>
          <w:tab w:val="right" w:leader="dot" w:pos="9288"/>
        </w:tabs>
        <w:ind w:left="420" w:firstLine="422"/>
        <w:rPr>
          <w:rFonts w:asciiTheme="minorHAnsi" w:hAnsiTheme="minorHAnsi" w:eastAsiaTheme="minorEastAsia" w:cstheme="minorBidi"/>
          <w:szCs w:val="22"/>
        </w:rPr>
      </w:pPr>
      <w:r>
        <w:rPr>
          <w:rFonts w:ascii="宋体" w:hAnsi="宋体"/>
          <w:b/>
          <w:caps/>
          <w:color w:val="000000" w:themeColor="text1"/>
          <w:szCs w:val="21"/>
          <w14:textFill>
            <w14:solidFill>
              <w14:schemeClr w14:val="tx1"/>
            </w14:solidFill>
          </w14:textFill>
        </w:rPr>
        <w:fldChar w:fldCharType="begin"/>
      </w:r>
      <w:r>
        <w:rPr>
          <w:rFonts w:ascii="宋体" w:hAnsi="宋体"/>
          <w:b/>
          <w:caps/>
          <w:color w:val="000000" w:themeColor="text1"/>
          <w:szCs w:val="21"/>
          <w14:textFill>
            <w14:solidFill>
              <w14:schemeClr w14:val="tx1"/>
            </w14:solidFill>
          </w14:textFill>
        </w:rPr>
        <w:instrText xml:space="preserve"> TOC \o "1-4" \h \z \u </w:instrText>
      </w:r>
      <w:r>
        <w:rPr>
          <w:rFonts w:ascii="宋体" w:hAnsi="宋体"/>
          <w:b/>
          <w:caps/>
          <w:color w:val="000000" w:themeColor="text1"/>
          <w:szCs w:val="21"/>
          <w14:textFill>
            <w14:solidFill>
              <w14:schemeClr w14:val="tx1"/>
            </w14:solidFill>
          </w14:textFill>
        </w:rPr>
        <w:fldChar w:fldCharType="separate"/>
      </w:r>
      <w:r>
        <w:fldChar w:fldCharType="begin"/>
      </w:r>
      <w:r>
        <w:instrText xml:space="preserve"> HYPERLINK \l "_Toc136956279" </w:instrText>
      </w:r>
      <w:r>
        <w:fldChar w:fldCharType="separate"/>
      </w:r>
      <w:r>
        <w:rPr>
          <w:rStyle w:val="73"/>
          <w:rFonts w:hint="eastAsia" w:ascii="宋体" w:hAnsi="宋体"/>
        </w:rPr>
        <w:t>注意事项</w:t>
      </w:r>
      <w:r>
        <w:tab/>
      </w:r>
      <w:r>
        <w:fldChar w:fldCharType="begin"/>
      </w:r>
      <w:r>
        <w:instrText xml:space="preserve"> PAGEREF _Toc136956279 \h </w:instrText>
      </w:r>
      <w:r>
        <w:fldChar w:fldCharType="separate"/>
      </w:r>
      <w:r>
        <w:t>- 4 -</w:t>
      </w:r>
      <w:r>
        <w:fldChar w:fldCharType="end"/>
      </w:r>
      <w:r>
        <w:fldChar w:fldCharType="end"/>
      </w:r>
    </w:p>
    <w:p>
      <w:pPr>
        <w:pStyle w:val="39"/>
        <w:tabs>
          <w:tab w:val="right" w:leader="dot" w:pos="9288"/>
        </w:tabs>
        <w:rPr>
          <w:rFonts w:asciiTheme="minorHAnsi" w:hAnsiTheme="minorHAnsi" w:eastAsiaTheme="minorEastAsia" w:cstheme="minorBidi"/>
          <w:szCs w:val="22"/>
        </w:rPr>
      </w:pPr>
      <w:r>
        <w:fldChar w:fldCharType="begin"/>
      </w:r>
      <w:r>
        <w:instrText xml:space="preserve"> HYPERLINK \l "_Toc136956280" </w:instrText>
      </w:r>
      <w:r>
        <w:fldChar w:fldCharType="separate"/>
      </w:r>
      <w:r>
        <w:rPr>
          <w:rStyle w:val="73"/>
          <w:rFonts w:hint="eastAsia" w:ascii="宋体" w:hAnsi="宋体"/>
        </w:rPr>
        <w:t>第一卷</w:t>
      </w:r>
      <w:r>
        <w:tab/>
      </w:r>
      <w:r>
        <w:fldChar w:fldCharType="begin"/>
      </w:r>
      <w:r>
        <w:instrText xml:space="preserve"> PAGEREF _Toc136956280 \h </w:instrText>
      </w:r>
      <w:r>
        <w:fldChar w:fldCharType="separate"/>
      </w:r>
      <w:r>
        <w:t>- 5 -</w:t>
      </w:r>
      <w:r>
        <w:fldChar w:fldCharType="end"/>
      </w:r>
      <w:r>
        <w:fldChar w:fldCharType="end"/>
      </w:r>
    </w:p>
    <w:p>
      <w:pPr>
        <w:pStyle w:val="50"/>
        <w:tabs>
          <w:tab w:val="right" w:leader="dot" w:pos="9288"/>
        </w:tabs>
        <w:rPr>
          <w:rFonts w:asciiTheme="minorHAnsi" w:hAnsiTheme="minorHAnsi" w:eastAsiaTheme="minorEastAsia" w:cstheme="minorBidi"/>
          <w:szCs w:val="22"/>
        </w:rPr>
      </w:pPr>
      <w:r>
        <w:fldChar w:fldCharType="begin"/>
      </w:r>
      <w:r>
        <w:instrText xml:space="preserve"> HYPERLINK \l "_Toc136956281" </w:instrText>
      </w:r>
      <w:r>
        <w:fldChar w:fldCharType="separate"/>
      </w:r>
      <w:r>
        <w:rPr>
          <w:rStyle w:val="73"/>
          <w:rFonts w:hint="eastAsia" w:ascii="宋体" w:hAnsi="宋体"/>
        </w:rPr>
        <w:t>第一章</w:t>
      </w:r>
      <w:r>
        <w:rPr>
          <w:rStyle w:val="73"/>
          <w:rFonts w:ascii="宋体" w:hAnsi="宋体"/>
        </w:rPr>
        <w:t xml:space="preserve"> </w:t>
      </w:r>
      <w:r>
        <w:rPr>
          <w:rStyle w:val="73"/>
          <w:rFonts w:hint="eastAsia" w:ascii="宋体" w:hAnsi="宋体"/>
        </w:rPr>
        <w:t>招标公告</w:t>
      </w:r>
      <w:r>
        <w:tab/>
      </w:r>
      <w:r>
        <w:fldChar w:fldCharType="begin"/>
      </w:r>
      <w:r>
        <w:instrText xml:space="preserve"> PAGEREF _Toc136956281 \h </w:instrText>
      </w:r>
      <w:r>
        <w:fldChar w:fldCharType="separate"/>
      </w:r>
      <w:r>
        <w:t>- 6 -</w:t>
      </w:r>
      <w:r>
        <w:fldChar w:fldCharType="end"/>
      </w:r>
      <w:r>
        <w:fldChar w:fldCharType="end"/>
      </w:r>
    </w:p>
    <w:p>
      <w:pPr>
        <w:pStyle w:val="50"/>
        <w:tabs>
          <w:tab w:val="right" w:leader="dot" w:pos="9288"/>
        </w:tabs>
        <w:rPr>
          <w:rFonts w:asciiTheme="minorHAnsi" w:hAnsiTheme="minorHAnsi" w:eastAsiaTheme="minorEastAsia" w:cstheme="minorBidi"/>
          <w:szCs w:val="22"/>
        </w:rPr>
      </w:pPr>
      <w:r>
        <w:fldChar w:fldCharType="begin"/>
      </w:r>
      <w:r>
        <w:instrText xml:space="preserve"> HYPERLINK \l "_Toc136956282" </w:instrText>
      </w:r>
      <w:r>
        <w:fldChar w:fldCharType="separate"/>
      </w:r>
      <w:r>
        <w:rPr>
          <w:rStyle w:val="73"/>
          <w:rFonts w:hint="eastAsia" w:ascii="宋体" w:hAnsi="宋体"/>
        </w:rPr>
        <w:t>第二章投标人须知前附表及投标人须知</w:t>
      </w:r>
      <w:r>
        <w:tab/>
      </w:r>
      <w:r>
        <w:fldChar w:fldCharType="begin"/>
      </w:r>
      <w:r>
        <w:instrText xml:space="preserve"> PAGEREF _Toc136956282 \h </w:instrText>
      </w:r>
      <w:r>
        <w:fldChar w:fldCharType="separate"/>
      </w:r>
      <w:r>
        <w:t>- 11 -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"_Toc136956283" </w:instrText>
      </w:r>
      <w:r>
        <w:fldChar w:fldCharType="separate"/>
      </w:r>
      <w:r>
        <w:rPr>
          <w:rStyle w:val="73"/>
          <w:rFonts w:hint="eastAsia" w:ascii="宋体" w:hAnsi="宋体"/>
          <w:kern w:val="0"/>
        </w:rPr>
        <w:t>一、投标人须知前附表</w:t>
      </w:r>
      <w:r>
        <w:tab/>
      </w:r>
      <w:r>
        <w:fldChar w:fldCharType="begin"/>
      </w:r>
      <w:r>
        <w:instrText xml:space="preserve"> PAGEREF _Toc136956283 \h </w:instrText>
      </w:r>
      <w:r>
        <w:fldChar w:fldCharType="separate"/>
      </w:r>
      <w:r>
        <w:t>- 11 -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"_Toc136956284" </w:instrText>
      </w:r>
      <w:r>
        <w:fldChar w:fldCharType="separate"/>
      </w:r>
      <w:r>
        <w:rPr>
          <w:rStyle w:val="73"/>
          <w:rFonts w:hint="eastAsia" w:ascii="宋体" w:hAnsi="宋体"/>
          <w:kern w:val="0"/>
        </w:rPr>
        <w:t>二、投标人须知</w:t>
      </w:r>
      <w:r>
        <w:tab/>
      </w:r>
      <w:r>
        <w:fldChar w:fldCharType="begin"/>
      </w:r>
      <w:r>
        <w:instrText xml:space="preserve"> PAGEREF _Toc136956284 \h </w:instrText>
      </w:r>
      <w:r>
        <w:fldChar w:fldCharType="separate"/>
      </w:r>
      <w:r>
        <w:t>- 21 -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"_Toc136956285" </w:instrText>
      </w:r>
      <w:r>
        <w:fldChar w:fldCharType="separate"/>
      </w:r>
      <w:r>
        <w:rPr>
          <w:rStyle w:val="73"/>
          <w:rFonts w:hint="eastAsia" w:ascii="宋体" w:hAnsi="宋体"/>
        </w:rPr>
        <w:t>（一）总则</w:t>
      </w:r>
      <w:r>
        <w:tab/>
      </w:r>
      <w:r>
        <w:fldChar w:fldCharType="begin"/>
      </w:r>
      <w:r>
        <w:instrText xml:space="preserve"> PAGEREF _Toc136956285 \h </w:instrText>
      </w:r>
      <w:r>
        <w:fldChar w:fldCharType="separate"/>
      </w:r>
      <w:r>
        <w:t>- 21 -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"_Toc136956286" </w:instrText>
      </w:r>
      <w:r>
        <w:fldChar w:fldCharType="separate"/>
      </w:r>
      <w:r>
        <w:rPr>
          <w:rStyle w:val="73"/>
          <w:rFonts w:ascii="宋体" w:hAnsi="宋体"/>
        </w:rPr>
        <w:t xml:space="preserve">1.1 </w:t>
      </w:r>
      <w:r>
        <w:rPr>
          <w:rStyle w:val="73"/>
          <w:rFonts w:hint="eastAsia" w:ascii="宋体" w:hAnsi="宋体"/>
        </w:rPr>
        <w:t>项目概况</w:t>
      </w:r>
      <w:r>
        <w:tab/>
      </w:r>
      <w:r>
        <w:fldChar w:fldCharType="begin"/>
      </w:r>
      <w:r>
        <w:instrText xml:space="preserve"> PAGEREF _Toc136956286 \h </w:instrText>
      </w:r>
      <w:r>
        <w:fldChar w:fldCharType="separate"/>
      </w:r>
      <w:r>
        <w:t>- 21 -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"_Toc136956287" </w:instrText>
      </w:r>
      <w:r>
        <w:fldChar w:fldCharType="separate"/>
      </w:r>
      <w:r>
        <w:rPr>
          <w:rStyle w:val="73"/>
          <w:rFonts w:ascii="宋体" w:hAnsi="宋体"/>
        </w:rPr>
        <w:t xml:space="preserve">1.2 </w:t>
      </w:r>
      <w:r>
        <w:rPr>
          <w:rStyle w:val="73"/>
          <w:rFonts w:hint="eastAsia" w:ascii="宋体" w:hAnsi="宋体"/>
        </w:rPr>
        <w:t>项目的资金来源和落实情况</w:t>
      </w:r>
      <w:r>
        <w:tab/>
      </w:r>
      <w:r>
        <w:fldChar w:fldCharType="begin"/>
      </w:r>
      <w:r>
        <w:instrText xml:space="preserve"> PAGEREF _Toc136956287 \h </w:instrText>
      </w:r>
      <w:r>
        <w:fldChar w:fldCharType="separate"/>
      </w:r>
      <w:r>
        <w:t>- 21 -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"_Toc136956288" </w:instrText>
      </w:r>
      <w:r>
        <w:fldChar w:fldCharType="separate"/>
      </w:r>
      <w:r>
        <w:rPr>
          <w:rStyle w:val="73"/>
          <w:rFonts w:ascii="宋体" w:hAnsi="宋体"/>
        </w:rPr>
        <w:t>1.3</w:t>
      </w:r>
      <w:r>
        <w:rPr>
          <w:rStyle w:val="73"/>
          <w:rFonts w:hint="eastAsia" w:ascii="宋体" w:hAnsi="宋体"/>
        </w:rPr>
        <w:t>招标范围、计划工期、质量要求及标段划分</w:t>
      </w:r>
      <w:r>
        <w:tab/>
      </w:r>
      <w:r>
        <w:fldChar w:fldCharType="begin"/>
      </w:r>
      <w:r>
        <w:instrText xml:space="preserve"> PAGEREF _Toc136956288 \h </w:instrText>
      </w:r>
      <w:r>
        <w:fldChar w:fldCharType="separate"/>
      </w:r>
      <w:r>
        <w:t>- 21 -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"_Toc136956289" </w:instrText>
      </w:r>
      <w:r>
        <w:fldChar w:fldCharType="separate"/>
      </w:r>
      <w:r>
        <w:rPr>
          <w:rStyle w:val="73"/>
          <w:rFonts w:ascii="宋体" w:hAnsi="宋体"/>
        </w:rPr>
        <w:t xml:space="preserve">1.4 </w:t>
      </w:r>
      <w:r>
        <w:rPr>
          <w:rStyle w:val="73"/>
          <w:rFonts w:hint="eastAsia" w:ascii="宋体" w:hAnsi="宋体"/>
        </w:rPr>
        <w:t>投标人资格要求</w:t>
      </w:r>
      <w:r>
        <w:tab/>
      </w:r>
      <w:r>
        <w:fldChar w:fldCharType="begin"/>
      </w:r>
      <w:r>
        <w:instrText xml:space="preserve"> PAGEREF _Toc136956289 \h </w:instrText>
      </w:r>
      <w:r>
        <w:fldChar w:fldCharType="separate"/>
      </w:r>
      <w:r>
        <w:t>- 21 -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"_Toc136956290" </w:instrText>
      </w:r>
      <w:r>
        <w:fldChar w:fldCharType="separate"/>
      </w:r>
      <w:r>
        <w:rPr>
          <w:rStyle w:val="73"/>
          <w:rFonts w:ascii="宋体" w:hAnsi="宋体"/>
        </w:rPr>
        <w:t>1.5</w:t>
      </w:r>
      <w:r>
        <w:rPr>
          <w:rStyle w:val="73"/>
          <w:rFonts w:hint="eastAsia" w:ascii="宋体" w:hAnsi="宋体"/>
        </w:rPr>
        <w:t>费用承担</w:t>
      </w:r>
      <w:r>
        <w:tab/>
      </w:r>
      <w:r>
        <w:fldChar w:fldCharType="begin"/>
      </w:r>
      <w:r>
        <w:instrText xml:space="preserve"> PAGEREF _Toc136956290 \h </w:instrText>
      </w:r>
      <w:r>
        <w:fldChar w:fldCharType="separate"/>
      </w:r>
      <w:r>
        <w:t>- 22 -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"_Toc136956291" </w:instrText>
      </w:r>
      <w:r>
        <w:fldChar w:fldCharType="separate"/>
      </w:r>
      <w:r>
        <w:rPr>
          <w:rStyle w:val="73"/>
          <w:rFonts w:ascii="宋体" w:hAnsi="宋体"/>
        </w:rPr>
        <w:t xml:space="preserve">1.6 </w:t>
      </w:r>
      <w:r>
        <w:rPr>
          <w:rStyle w:val="73"/>
          <w:rFonts w:hint="eastAsia" w:ascii="宋体" w:hAnsi="宋体"/>
        </w:rPr>
        <w:t>保密</w:t>
      </w:r>
      <w:r>
        <w:tab/>
      </w:r>
      <w:r>
        <w:fldChar w:fldCharType="begin"/>
      </w:r>
      <w:r>
        <w:instrText xml:space="preserve"> PAGEREF _Toc136956291 \h </w:instrText>
      </w:r>
      <w:r>
        <w:fldChar w:fldCharType="separate"/>
      </w:r>
      <w:r>
        <w:t>- 22 -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"_Toc136956292" </w:instrText>
      </w:r>
      <w:r>
        <w:fldChar w:fldCharType="separate"/>
      </w:r>
      <w:r>
        <w:rPr>
          <w:rStyle w:val="73"/>
          <w:rFonts w:ascii="宋体" w:hAnsi="宋体"/>
        </w:rPr>
        <w:t xml:space="preserve">1.7 </w:t>
      </w:r>
      <w:r>
        <w:rPr>
          <w:rStyle w:val="73"/>
          <w:rFonts w:hint="eastAsia" w:ascii="宋体" w:hAnsi="宋体"/>
        </w:rPr>
        <w:t>语言文字</w:t>
      </w:r>
      <w:r>
        <w:tab/>
      </w:r>
      <w:r>
        <w:fldChar w:fldCharType="begin"/>
      </w:r>
      <w:r>
        <w:instrText xml:space="preserve"> PAGEREF _Toc136956292 \h </w:instrText>
      </w:r>
      <w:r>
        <w:fldChar w:fldCharType="separate"/>
      </w:r>
      <w:r>
        <w:t>- 22 -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"_Toc136956293" </w:instrText>
      </w:r>
      <w:r>
        <w:fldChar w:fldCharType="separate"/>
      </w:r>
      <w:r>
        <w:rPr>
          <w:rStyle w:val="73"/>
          <w:rFonts w:ascii="宋体" w:hAnsi="宋体"/>
        </w:rPr>
        <w:t xml:space="preserve">1.8 </w:t>
      </w:r>
      <w:r>
        <w:rPr>
          <w:rStyle w:val="73"/>
          <w:rFonts w:hint="eastAsia" w:ascii="宋体" w:hAnsi="宋体"/>
        </w:rPr>
        <w:t>计量单位</w:t>
      </w:r>
      <w:r>
        <w:tab/>
      </w:r>
      <w:r>
        <w:fldChar w:fldCharType="begin"/>
      </w:r>
      <w:r>
        <w:instrText xml:space="preserve"> PAGEREF _Toc136956293 \h </w:instrText>
      </w:r>
      <w:r>
        <w:fldChar w:fldCharType="separate"/>
      </w:r>
      <w:r>
        <w:t>- 22 -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"_Toc136956294" </w:instrText>
      </w:r>
      <w:r>
        <w:fldChar w:fldCharType="separate"/>
      </w:r>
      <w:r>
        <w:rPr>
          <w:rStyle w:val="73"/>
          <w:rFonts w:ascii="宋体" w:hAnsi="宋体"/>
        </w:rPr>
        <w:t>1.9</w:t>
      </w:r>
      <w:r>
        <w:rPr>
          <w:rStyle w:val="73"/>
          <w:rFonts w:hint="eastAsia" w:ascii="宋体" w:hAnsi="宋体"/>
        </w:rPr>
        <w:t>踏勘现场</w:t>
      </w:r>
      <w:r>
        <w:tab/>
      </w:r>
      <w:r>
        <w:fldChar w:fldCharType="begin"/>
      </w:r>
      <w:r>
        <w:instrText xml:space="preserve"> PAGEREF _Toc136956294 \h </w:instrText>
      </w:r>
      <w:r>
        <w:fldChar w:fldCharType="separate"/>
      </w:r>
      <w:r>
        <w:t>- 22 -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"_Toc136956295" </w:instrText>
      </w:r>
      <w:r>
        <w:fldChar w:fldCharType="separate"/>
      </w:r>
      <w:r>
        <w:rPr>
          <w:rStyle w:val="73"/>
          <w:rFonts w:ascii="宋体" w:hAnsi="宋体"/>
        </w:rPr>
        <w:t xml:space="preserve">1.10 </w:t>
      </w:r>
      <w:r>
        <w:rPr>
          <w:rStyle w:val="73"/>
          <w:rFonts w:hint="eastAsia" w:ascii="宋体" w:hAnsi="宋体"/>
        </w:rPr>
        <w:t>投标预备会（答疑会）</w:t>
      </w:r>
      <w:r>
        <w:tab/>
      </w:r>
      <w:r>
        <w:fldChar w:fldCharType="begin"/>
      </w:r>
      <w:r>
        <w:instrText xml:space="preserve"> PAGEREF _Toc136956295 \h </w:instrText>
      </w:r>
      <w:r>
        <w:fldChar w:fldCharType="separate"/>
      </w:r>
      <w:r>
        <w:t>- 23 -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"_Toc136956296" </w:instrText>
      </w:r>
      <w:r>
        <w:fldChar w:fldCharType="separate"/>
      </w:r>
      <w:r>
        <w:rPr>
          <w:rStyle w:val="73"/>
          <w:rFonts w:ascii="宋体" w:hAnsi="宋体"/>
        </w:rPr>
        <w:t xml:space="preserve">1.11 </w:t>
      </w:r>
      <w:r>
        <w:rPr>
          <w:rStyle w:val="73"/>
          <w:rFonts w:hint="eastAsia" w:ascii="宋体" w:hAnsi="宋体"/>
        </w:rPr>
        <w:t>分包要求</w:t>
      </w:r>
      <w:r>
        <w:tab/>
      </w:r>
      <w:r>
        <w:fldChar w:fldCharType="begin"/>
      </w:r>
      <w:r>
        <w:instrText xml:space="preserve"> PAGEREF _Toc136956296 \h </w:instrText>
      </w:r>
      <w:r>
        <w:fldChar w:fldCharType="separate"/>
      </w:r>
      <w:r>
        <w:t>- 23 -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"_Toc136956297" </w:instrText>
      </w:r>
      <w:r>
        <w:fldChar w:fldCharType="separate"/>
      </w:r>
      <w:r>
        <w:rPr>
          <w:rStyle w:val="73"/>
          <w:rFonts w:ascii="宋体" w:hAnsi="宋体"/>
        </w:rPr>
        <w:t xml:space="preserve">1.12 </w:t>
      </w:r>
      <w:r>
        <w:rPr>
          <w:rStyle w:val="73"/>
          <w:rFonts w:hint="eastAsia" w:ascii="宋体" w:hAnsi="宋体"/>
        </w:rPr>
        <w:t>偏离</w:t>
      </w:r>
      <w:r>
        <w:tab/>
      </w:r>
      <w:r>
        <w:fldChar w:fldCharType="begin"/>
      </w:r>
      <w:r>
        <w:instrText xml:space="preserve"> PAGEREF _Toc136956297 \h </w:instrText>
      </w:r>
      <w:r>
        <w:fldChar w:fldCharType="separate"/>
      </w:r>
      <w:r>
        <w:t>- 23 -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"_Toc136956298" </w:instrText>
      </w:r>
      <w:r>
        <w:fldChar w:fldCharType="separate"/>
      </w:r>
      <w:r>
        <w:rPr>
          <w:rStyle w:val="73"/>
          <w:rFonts w:hint="eastAsia" w:ascii="宋体" w:hAnsi="宋体"/>
        </w:rPr>
        <w:t>（二）招标文件</w:t>
      </w:r>
      <w:r>
        <w:tab/>
      </w:r>
      <w:r>
        <w:fldChar w:fldCharType="begin"/>
      </w:r>
      <w:r>
        <w:instrText xml:space="preserve"> PAGEREF _Toc136956298 \h </w:instrText>
      </w:r>
      <w:r>
        <w:fldChar w:fldCharType="separate"/>
      </w:r>
      <w:r>
        <w:t>- 23 -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"_Toc136956299" </w:instrText>
      </w:r>
      <w:r>
        <w:fldChar w:fldCharType="separate"/>
      </w:r>
      <w:r>
        <w:rPr>
          <w:rStyle w:val="73"/>
          <w:rFonts w:ascii="宋体" w:hAnsi="宋体"/>
        </w:rPr>
        <w:t>2.1</w:t>
      </w:r>
      <w:r>
        <w:rPr>
          <w:rStyle w:val="73"/>
          <w:rFonts w:hint="eastAsia" w:ascii="宋体" w:hAnsi="宋体"/>
        </w:rPr>
        <w:t>招标文件的组成</w:t>
      </w:r>
      <w:r>
        <w:tab/>
      </w:r>
      <w:r>
        <w:fldChar w:fldCharType="begin"/>
      </w:r>
      <w:r>
        <w:instrText xml:space="preserve"> PAGEREF _Toc136956299 \h </w:instrText>
      </w:r>
      <w:r>
        <w:fldChar w:fldCharType="separate"/>
      </w:r>
      <w:r>
        <w:t>- 23 -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"_Toc136956300" </w:instrText>
      </w:r>
      <w:r>
        <w:fldChar w:fldCharType="separate"/>
      </w:r>
      <w:r>
        <w:rPr>
          <w:rStyle w:val="73"/>
          <w:rFonts w:ascii="宋体" w:hAnsi="宋体"/>
        </w:rPr>
        <w:t xml:space="preserve">2.2 </w:t>
      </w:r>
      <w:r>
        <w:rPr>
          <w:rStyle w:val="73"/>
          <w:rFonts w:hint="eastAsia" w:ascii="宋体" w:hAnsi="宋体"/>
        </w:rPr>
        <w:t>招标文件的澄清</w:t>
      </w:r>
      <w:r>
        <w:tab/>
      </w:r>
      <w:r>
        <w:fldChar w:fldCharType="begin"/>
      </w:r>
      <w:r>
        <w:instrText xml:space="preserve"> PAGEREF _Toc136956300 \h </w:instrText>
      </w:r>
      <w:r>
        <w:fldChar w:fldCharType="separate"/>
      </w:r>
      <w:r>
        <w:t>- 23 -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"_Toc136956301" </w:instrText>
      </w:r>
      <w:r>
        <w:fldChar w:fldCharType="separate"/>
      </w:r>
      <w:r>
        <w:rPr>
          <w:rStyle w:val="73"/>
          <w:rFonts w:ascii="宋体" w:hAnsi="宋体"/>
        </w:rPr>
        <w:t xml:space="preserve">2.3 </w:t>
      </w:r>
      <w:r>
        <w:rPr>
          <w:rStyle w:val="73"/>
          <w:rFonts w:hint="eastAsia" w:ascii="宋体" w:hAnsi="宋体"/>
        </w:rPr>
        <w:t>招标文件的修改</w:t>
      </w:r>
      <w:r>
        <w:tab/>
      </w:r>
      <w:r>
        <w:fldChar w:fldCharType="begin"/>
      </w:r>
      <w:r>
        <w:instrText xml:space="preserve"> PAGEREF _Toc136956301 \h </w:instrText>
      </w:r>
      <w:r>
        <w:fldChar w:fldCharType="separate"/>
      </w:r>
      <w:r>
        <w:t>- 24 -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"_Toc136956302" </w:instrText>
      </w:r>
      <w:r>
        <w:fldChar w:fldCharType="separate"/>
      </w:r>
      <w:r>
        <w:rPr>
          <w:rStyle w:val="73"/>
          <w:rFonts w:hint="eastAsia" w:ascii="宋体" w:hAnsi="宋体"/>
        </w:rPr>
        <w:t>（三）投标文件的编制</w:t>
      </w:r>
      <w:r>
        <w:tab/>
      </w:r>
      <w:r>
        <w:fldChar w:fldCharType="begin"/>
      </w:r>
      <w:r>
        <w:instrText xml:space="preserve"> PAGEREF _Toc136956302 \h </w:instrText>
      </w:r>
      <w:r>
        <w:fldChar w:fldCharType="separate"/>
      </w:r>
      <w:r>
        <w:t>- 24 -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"_Toc136956303" </w:instrText>
      </w:r>
      <w:r>
        <w:fldChar w:fldCharType="separate"/>
      </w:r>
      <w:r>
        <w:rPr>
          <w:rStyle w:val="73"/>
          <w:rFonts w:ascii="宋体" w:hAnsi="宋体"/>
        </w:rPr>
        <w:t xml:space="preserve">3.1 </w:t>
      </w:r>
      <w:r>
        <w:rPr>
          <w:rStyle w:val="73"/>
          <w:rFonts w:hint="eastAsia" w:ascii="宋体" w:hAnsi="宋体"/>
        </w:rPr>
        <w:t>投标文件的组成</w:t>
      </w:r>
      <w:r>
        <w:tab/>
      </w:r>
      <w:r>
        <w:fldChar w:fldCharType="begin"/>
      </w:r>
      <w:r>
        <w:instrText xml:space="preserve"> PAGEREF _Toc136956303 \h </w:instrText>
      </w:r>
      <w:r>
        <w:fldChar w:fldCharType="separate"/>
      </w:r>
      <w:r>
        <w:t>- 24 -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"_Toc136956304" </w:instrText>
      </w:r>
      <w:r>
        <w:fldChar w:fldCharType="separate"/>
      </w:r>
      <w:r>
        <w:rPr>
          <w:rStyle w:val="73"/>
          <w:rFonts w:ascii="宋体" w:hAnsi="宋体"/>
        </w:rPr>
        <w:t xml:space="preserve">3.2 </w:t>
      </w:r>
      <w:r>
        <w:rPr>
          <w:rStyle w:val="73"/>
          <w:rFonts w:hint="eastAsia" w:ascii="宋体" w:hAnsi="宋体"/>
        </w:rPr>
        <w:t>投标报价</w:t>
      </w:r>
      <w:r>
        <w:tab/>
      </w:r>
      <w:r>
        <w:fldChar w:fldCharType="begin"/>
      </w:r>
      <w:r>
        <w:instrText xml:space="preserve"> PAGEREF _Toc136956304 \h </w:instrText>
      </w:r>
      <w:r>
        <w:fldChar w:fldCharType="separate"/>
      </w:r>
      <w:r>
        <w:t>- 24 -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"_Toc136956305" </w:instrText>
      </w:r>
      <w:r>
        <w:fldChar w:fldCharType="separate"/>
      </w:r>
      <w:r>
        <w:rPr>
          <w:rStyle w:val="73"/>
          <w:rFonts w:ascii="宋体" w:hAnsi="宋体"/>
        </w:rPr>
        <w:t xml:space="preserve">3.3 </w:t>
      </w:r>
      <w:r>
        <w:rPr>
          <w:rStyle w:val="73"/>
          <w:rFonts w:hint="eastAsia" w:ascii="宋体" w:hAnsi="宋体"/>
        </w:rPr>
        <w:t>投标有效期</w:t>
      </w:r>
      <w:r>
        <w:tab/>
      </w:r>
      <w:r>
        <w:fldChar w:fldCharType="begin"/>
      </w:r>
      <w:r>
        <w:instrText xml:space="preserve"> PAGEREF _Toc136956305 \h </w:instrText>
      </w:r>
      <w:r>
        <w:fldChar w:fldCharType="separate"/>
      </w:r>
      <w:r>
        <w:t>- 25 -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"_Toc136956306" </w:instrText>
      </w:r>
      <w:r>
        <w:fldChar w:fldCharType="separate"/>
      </w:r>
      <w:r>
        <w:rPr>
          <w:rStyle w:val="73"/>
          <w:rFonts w:ascii="宋体" w:hAnsi="宋体"/>
        </w:rPr>
        <w:t xml:space="preserve">3.4 </w:t>
      </w:r>
      <w:r>
        <w:rPr>
          <w:rStyle w:val="73"/>
          <w:rFonts w:hint="eastAsia" w:ascii="宋体" w:hAnsi="宋体"/>
        </w:rPr>
        <w:t>投标保证金</w:t>
      </w:r>
      <w:r>
        <w:tab/>
      </w:r>
      <w:r>
        <w:fldChar w:fldCharType="begin"/>
      </w:r>
      <w:r>
        <w:instrText xml:space="preserve"> PAGEREF _Toc136956306 \h </w:instrText>
      </w:r>
      <w:r>
        <w:fldChar w:fldCharType="separate"/>
      </w:r>
      <w:r>
        <w:t>- 25 -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"_Toc136956307" </w:instrText>
      </w:r>
      <w:r>
        <w:fldChar w:fldCharType="separate"/>
      </w:r>
      <w:r>
        <w:rPr>
          <w:rStyle w:val="73"/>
          <w:rFonts w:ascii="宋体" w:hAnsi="宋体"/>
        </w:rPr>
        <w:t>3.5</w:t>
      </w:r>
      <w:r>
        <w:rPr>
          <w:rStyle w:val="73"/>
          <w:rFonts w:hint="eastAsia" w:ascii="宋体" w:hAnsi="宋体"/>
        </w:rPr>
        <w:t>备选投标方案</w:t>
      </w:r>
      <w:r>
        <w:tab/>
      </w:r>
      <w:r>
        <w:fldChar w:fldCharType="begin"/>
      </w:r>
      <w:r>
        <w:instrText xml:space="preserve"> PAGEREF _Toc136956307 \h </w:instrText>
      </w:r>
      <w:r>
        <w:fldChar w:fldCharType="separate"/>
      </w:r>
      <w:r>
        <w:t>- 25 -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"_Toc136956308" </w:instrText>
      </w:r>
      <w:r>
        <w:fldChar w:fldCharType="separate"/>
      </w:r>
      <w:r>
        <w:rPr>
          <w:rStyle w:val="73"/>
          <w:rFonts w:ascii="宋体" w:hAnsi="宋体"/>
        </w:rPr>
        <w:t>3.6</w:t>
      </w:r>
      <w:r>
        <w:rPr>
          <w:rStyle w:val="73"/>
          <w:rFonts w:hint="eastAsia" w:ascii="宋体" w:hAnsi="宋体"/>
        </w:rPr>
        <w:t>投标文件的编制</w:t>
      </w:r>
      <w:r>
        <w:tab/>
      </w:r>
      <w:r>
        <w:fldChar w:fldCharType="begin"/>
      </w:r>
      <w:r>
        <w:instrText xml:space="preserve"> PAGEREF _Toc136956308 \h </w:instrText>
      </w:r>
      <w:r>
        <w:fldChar w:fldCharType="separate"/>
      </w:r>
      <w:r>
        <w:t>- 25 -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"_Toc136956309" </w:instrText>
      </w:r>
      <w:r>
        <w:fldChar w:fldCharType="separate"/>
      </w:r>
      <w:r>
        <w:rPr>
          <w:rStyle w:val="73"/>
          <w:rFonts w:hint="eastAsia" w:ascii="宋体" w:hAnsi="宋体"/>
        </w:rPr>
        <w:t>（四）投标</w:t>
      </w:r>
      <w:r>
        <w:tab/>
      </w:r>
      <w:r>
        <w:fldChar w:fldCharType="begin"/>
      </w:r>
      <w:r>
        <w:instrText xml:space="preserve"> PAGEREF _Toc136956309 \h </w:instrText>
      </w:r>
      <w:r>
        <w:fldChar w:fldCharType="separate"/>
      </w:r>
      <w:r>
        <w:t>- 25 -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"_Toc136956310" </w:instrText>
      </w:r>
      <w:r>
        <w:fldChar w:fldCharType="separate"/>
      </w:r>
      <w:r>
        <w:rPr>
          <w:rStyle w:val="73"/>
          <w:rFonts w:ascii="宋体" w:hAnsi="宋体"/>
        </w:rPr>
        <w:t>4.1</w:t>
      </w:r>
      <w:r>
        <w:rPr>
          <w:rStyle w:val="73"/>
          <w:rFonts w:hint="eastAsia" w:ascii="宋体" w:hAnsi="宋体"/>
        </w:rPr>
        <w:t>投标文件的密封和标识</w:t>
      </w:r>
      <w:r>
        <w:tab/>
      </w:r>
      <w:r>
        <w:fldChar w:fldCharType="begin"/>
      </w:r>
      <w:r>
        <w:instrText xml:space="preserve"> PAGEREF _Toc136956310 \h </w:instrText>
      </w:r>
      <w:r>
        <w:fldChar w:fldCharType="separate"/>
      </w:r>
      <w:r>
        <w:t>- 25 -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"_Toc136956311" </w:instrText>
      </w:r>
      <w:r>
        <w:fldChar w:fldCharType="separate"/>
      </w:r>
      <w:r>
        <w:rPr>
          <w:rStyle w:val="73"/>
          <w:rFonts w:ascii="宋体" w:hAnsi="宋体"/>
        </w:rPr>
        <w:t>4.2</w:t>
      </w:r>
      <w:r>
        <w:rPr>
          <w:rStyle w:val="73"/>
          <w:rFonts w:hint="eastAsia" w:ascii="宋体" w:hAnsi="宋体"/>
        </w:rPr>
        <w:t>投标文件的递交</w:t>
      </w:r>
      <w:r>
        <w:tab/>
      </w:r>
      <w:r>
        <w:fldChar w:fldCharType="begin"/>
      </w:r>
      <w:r>
        <w:instrText xml:space="preserve"> PAGEREF _Toc136956311 \h </w:instrText>
      </w:r>
      <w:r>
        <w:fldChar w:fldCharType="separate"/>
      </w:r>
      <w:r>
        <w:t>- 26 -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"_Toc136956312" </w:instrText>
      </w:r>
      <w:r>
        <w:fldChar w:fldCharType="separate"/>
      </w:r>
      <w:r>
        <w:rPr>
          <w:rStyle w:val="73"/>
          <w:rFonts w:ascii="宋体" w:hAnsi="宋体"/>
        </w:rPr>
        <w:t>4.3</w:t>
      </w:r>
      <w:r>
        <w:rPr>
          <w:rStyle w:val="73"/>
          <w:rFonts w:hint="eastAsia" w:ascii="宋体" w:hAnsi="宋体"/>
        </w:rPr>
        <w:t>投标文件的修改与撤回</w:t>
      </w:r>
      <w:r>
        <w:tab/>
      </w:r>
      <w:r>
        <w:fldChar w:fldCharType="begin"/>
      </w:r>
      <w:r>
        <w:instrText xml:space="preserve"> PAGEREF _Toc136956312 \h </w:instrText>
      </w:r>
      <w:r>
        <w:fldChar w:fldCharType="separate"/>
      </w:r>
      <w:r>
        <w:t>- 26 -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"_Toc136956313" </w:instrText>
      </w:r>
      <w:r>
        <w:fldChar w:fldCharType="separate"/>
      </w:r>
      <w:r>
        <w:rPr>
          <w:rStyle w:val="73"/>
          <w:rFonts w:ascii="宋体" w:hAnsi="宋体"/>
        </w:rPr>
        <w:t>4.4</w:t>
      </w:r>
      <w:r>
        <w:rPr>
          <w:rStyle w:val="73"/>
          <w:rFonts w:hint="eastAsia" w:ascii="宋体" w:hAnsi="宋体"/>
        </w:rPr>
        <w:t>迟交的投标文件</w:t>
      </w:r>
      <w:r>
        <w:tab/>
      </w:r>
      <w:r>
        <w:fldChar w:fldCharType="begin"/>
      </w:r>
      <w:r>
        <w:instrText xml:space="preserve"> PAGEREF _Toc136956313 \h </w:instrText>
      </w:r>
      <w:r>
        <w:fldChar w:fldCharType="separate"/>
      </w:r>
      <w:r>
        <w:t>- 26 -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"_Toc136956314" </w:instrText>
      </w:r>
      <w:r>
        <w:fldChar w:fldCharType="separate"/>
      </w:r>
      <w:r>
        <w:rPr>
          <w:rStyle w:val="73"/>
          <w:rFonts w:hint="eastAsia" w:ascii="宋体" w:hAnsi="宋体"/>
        </w:rPr>
        <w:t>（五）开标</w:t>
      </w:r>
      <w:r>
        <w:tab/>
      </w:r>
      <w:r>
        <w:fldChar w:fldCharType="begin"/>
      </w:r>
      <w:r>
        <w:instrText xml:space="preserve"> PAGEREF _Toc136956314 \h </w:instrText>
      </w:r>
      <w:r>
        <w:fldChar w:fldCharType="separate"/>
      </w:r>
      <w:r>
        <w:t>- 26 -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"_Toc136956315" </w:instrText>
      </w:r>
      <w:r>
        <w:fldChar w:fldCharType="separate"/>
      </w:r>
      <w:r>
        <w:rPr>
          <w:rStyle w:val="73"/>
          <w:rFonts w:ascii="宋体" w:hAnsi="宋体"/>
        </w:rPr>
        <w:t>5.1</w:t>
      </w:r>
      <w:r>
        <w:rPr>
          <w:rStyle w:val="73"/>
          <w:rFonts w:hint="eastAsia" w:ascii="宋体" w:hAnsi="宋体"/>
        </w:rPr>
        <w:t>开标时间和地点</w:t>
      </w:r>
      <w:r>
        <w:tab/>
      </w:r>
      <w:r>
        <w:fldChar w:fldCharType="begin"/>
      </w:r>
      <w:r>
        <w:instrText xml:space="preserve"> PAGEREF _Toc136956315 \h </w:instrText>
      </w:r>
      <w:r>
        <w:fldChar w:fldCharType="separate"/>
      </w:r>
      <w:r>
        <w:t>- 26 -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"_Toc136956316" </w:instrText>
      </w:r>
      <w:r>
        <w:fldChar w:fldCharType="separate"/>
      </w:r>
      <w:r>
        <w:rPr>
          <w:rStyle w:val="73"/>
          <w:rFonts w:ascii="宋体" w:hAnsi="宋体"/>
        </w:rPr>
        <w:t>5.2</w:t>
      </w:r>
      <w:r>
        <w:rPr>
          <w:rStyle w:val="73"/>
          <w:rFonts w:hint="eastAsia" w:ascii="宋体" w:hAnsi="宋体"/>
        </w:rPr>
        <w:t>开标程序</w:t>
      </w:r>
      <w:r>
        <w:tab/>
      </w:r>
      <w:r>
        <w:fldChar w:fldCharType="begin"/>
      </w:r>
      <w:r>
        <w:instrText xml:space="preserve"> PAGEREF _Toc136956316 \h </w:instrText>
      </w:r>
      <w:r>
        <w:fldChar w:fldCharType="separate"/>
      </w:r>
      <w:r>
        <w:t>- 26 -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"_Toc136956317" </w:instrText>
      </w:r>
      <w:r>
        <w:fldChar w:fldCharType="separate"/>
      </w:r>
      <w:r>
        <w:rPr>
          <w:rStyle w:val="73"/>
          <w:rFonts w:ascii="宋体" w:hAnsi="宋体"/>
        </w:rPr>
        <w:t>5.3</w:t>
      </w:r>
      <w:r>
        <w:rPr>
          <w:rStyle w:val="73"/>
          <w:rFonts w:hint="eastAsia" w:ascii="宋体" w:hAnsi="宋体"/>
        </w:rPr>
        <w:t>投标文件不予受理情形</w:t>
      </w:r>
      <w:r>
        <w:tab/>
      </w:r>
      <w:r>
        <w:fldChar w:fldCharType="begin"/>
      </w:r>
      <w:r>
        <w:instrText xml:space="preserve"> PAGEREF _Toc136956317 \h </w:instrText>
      </w:r>
      <w:r>
        <w:fldChar w:fldCharType="separate"/>
      </w:r>
      <w:r>
        <w:t>- 26 -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"_Toc136956318" </w:instrText>
      </w:r>
      <w:r>
        <w:fldChar w:fldCharType="separate"/>
      </w:r>
      <w:r>
        <w:rPr>
          <w:rStyle w:val="73"/>
          <w:rFonts w:hint="eastAsia" w:ascii="宋体" w:hAnsi="宋体"/>
        </w:rPr>
        <w:t>（六）评标</w:t>
      </w:r>
      <w:r>
        <w:tab/>
      </w:r>
      <w:r>
        <w:fldChar w:fldCharType="begin"/>
      </w:r>
      <w:r>
        <w:instrText xml:space="preserve"> PAGEREF _Toc136956318 \h </w:instrText>
      </w:r>
      <w:r>
        <w:fldChar w:fldCharType="separate"/>
      </w:r>
      <w:r>
        <w:t>- 27 -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"_Toc136956319" </w:instrText>
      </w:r>
      <w:r>
        <w:fldChar w:fldCharType="separate"/>
      </w:r>
      <w:r>
        <w:rPr>
          <w:rStyle w:val="73"/>
          <w:rFonts w:ascii="宋体" w:hAnsi="宋体"/>
        </w:rPr>
        <w:t xml:space="preserve">6.1 </w:t>
      </w:r>
      <w:r>
        <w:rPr>
          <w:rStyle w:val="73"/>
          <w:rFonts w:hint="eastAsia" w:ascii="宋体" w:hAnsi="宋体"/>
        </w:rPr>
        <w:t>评标委员会</w:t>
      </w:r>
      <w:r>
        <w:tab/>
      </w:r>
      <w:r>
        <w:fldChar w:fldCharType="begin"/>
      </w:r>
      <w:r>
        <w:instrText xml:space="preserve"> PAGEREF _Toc136956319 \h </w:instrText>
      </w:r>
      <w:r>
        <w:fldChar w:fldCharType="separate"/>
      </w:r>
      <w:r>
        <w:t>- 27 -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"_Toc136956320" </w:instrText>
      </w:r>
      <w:r>
        <w:fldChar w:fldCharType="separate"/>
      </w:r>
      <w:r>
        <w:rPr>
          <w:rStyle w:val="73"/>
          <w:rFonts w:ascii="宋体" w:hAnsi="宋体"/>
        </w:rPr>
        <w:t xml:space="preserve">6.2 </w:t>
      </w:r>
      <w:r>
        <w:rPr>
          <w:rStyle w:val="73"/>
          <w:rFonts w:hint="eastAsia" w:ascii="宋体" w:hAnsi="宋体"/>
        </w:rPr>
        <w:t>评标原则</w:t>
      </w:r>
      <w:r>
        <w:tab/>
      </w:r>
      <w:r>
        <w:fldChar w:fldCharType="begin"/>
      </w:r>
      <w:r>
        <w:instrText xml:space="preserve"> PAGEREF _Toc136956320 \h </w:instrText>
      </w:r>
      <w:r>
        <w:fldChar w:fldCharType="separate"/>
      </w:r>
      <w:r>
        <w:t>- 27 -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"_Toc136956321" </w:instrText>
      </w:r>
      <w:r>
        <w:fldChar w:fldCharType="separate"/>
      </w:r>
      <w:r>
        <w:rPr>
          <w:rStyle w:val="73"/>
          <w:rFonts w:ascii="宋体" w:hAnsi="宋体"/>
        </w:rPr>
        <w:t>6.3</w:t>
      </w:r>
      <w:r>
        <w:rPr>
          <w:rStyle w:val="73"/>
          <w:rFonts w:hint="eastAsia" w:ascii="宋体" w:hAnsi="宋体"/>
        </w:rPr>
        <w:t>评标</w:t>
      </w:r>
      <w:r>
        <w:tab/>
      </w:r>
      <w:r>
        <w:fldChar w:fldCharType="begin"/>
      </w:r>
      <w:r>
        <w:instrText xml:space="preserve"> PAGEREF _Toc136956321 \h </w:instrText>
      </w:r>
      <w:r>
        <w:fldChar w:fldCharType="separate"/>
      </w:r>
      <w:r>
        <w:t>- 27 -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"_Toc136956322" </w:instrText>
      </w:r>
      <w:r>
        <w:fldChar w:fldCharType="separate"/>
      </w:r>
      <w:r>
        <w:rPr>
          <w:rStyle w:val="73"/>
          <w:rFonts w:hint="eastAsia" w:ascii="宋体" w:hAnsi="宋体"/>
        </w:rPr>
        <w:t>（七）合同授予</w:t>
      </w:r>
      <w:r>
        <w:tab/>
      </w:r>
      <w:r>
        <w:fldChar w:fldCharType="begin"/>
      </w:r>
      <w:r>
        <w:instrText xml:space="preserve"> PAGEREF _Toc136956322 \h </w:instrText>
      </w:r>
      <w:r>
        <w:fldChar w:fldCharType="separate"/>
      </w:r>
      <w:r>
        <w:t>- 27 -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"_Toc136956323" </w:instrText>
      </w:r>
      <w:r>
        <w:fldChar w:fldCharType="separate"/>
      </w:r>
      <w:r>
        <w:rPr>
          <w:rStyle w:val="73"/>
          <w:rFonts w:ascii="宋体" w:hAnsi="宋体"/>
        </w:rPr>
        <w:t>7.1</w:t>
      </w:r>
      <w:r>
        <w:rPr>
          <w:rStyle w:val="73"/>
          <w:rFonts w:hint="eastAsia" w:ascii="宋体" w:hAnsi="宋体"/>
        </w:rPr>
        <w:t>定标方式</w:t>
      </w:r>
      <w:r>
        <w:tab/>
      </w:r>
      <w:r>
        <w:fldChar w:fldCharType="begin"/>
      </w:r>
      <w:r>
        <w:instrText xml:space="preserve"> PAGEREF _Toc136956323 \h </w:instrText>
      </w:r>
      <w:r>
        <w:fldChar w:fldCharType="separate"/>
      </w:r>
      <w:r>
        <w:t>- 27 -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"_Toc136956324" </w:instrText>
      </w:r>
      <w:r>
        <w:fldChar w:fldCharType="separate"/>
      </w:r>
      <w:r>
        <w:rPr>
          <w:rStyle w:val="73"/>
          <w:rFonts w:ascii="宋体" w:hAnsi="宋体"/>
        </w:rPr>
        <w:t>7.2</w:t>
      </w:r>
      <w:r>
        <w:rPr>
          <w:rStyle w:val="73"/>
          <w:rFonts w:hint="eastAsia" w:ascii="宋体" w:hAnsi="宋体"/>
        </w:rPr>
        <w:t>中标通知</w:t>
      </w:r>
      <w:r>
        <w:tab/>
      </w:r>
      <w:r>
        <w:fldChar w:fldCharType="begin"/>
      </w:r>
      <w:r>
        <w:instrText xml:space="preserve"> PAGEREF _Toc136956324 \h </w:instrText>
      </w:r>
      <w:r>
        <w:fldChar w:fldCharType="separate"/>
      </w:r>
      <w:r>
        <w:t>- 27 -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"_Toc136956325" </w:instrText>
      </w:r>
      <w:r>
        <w:fldChar w:fldCharType="separate"/>
      </w:r>
      <w:r>
        <w:rPr>
          <w:rStyle w:val="73"/>
          <w:rFonts w:ascii="宋体" w:hAnsi="宋体"/>
        </w:rPr>
        <w:t>7.3</w:t>
      </w:r>
      <w:r>
        <w:rPr>
          <w:rStyle w:val="73"/>
          <w:rFonts w:hint="eastAsia" w:ascii="宋体" w:hAnsi="宋体"/>
        </w:rPr>
        <w:t>履约担保</w:t>
      </w:r>
      <w:r>
        <w:tab/>
      </w:r>
      <w:r>
        <w:fldChar w:fldCharType="begin"/>
      </w:r>
      <w:r>
        <w:instrText xml:space="preserve"> PAGEREF _Toc136956325 \h </w:instrText>
      </w:r>
      <w:r>
        <w:fldChar w:fldCharType="separate"/>
      </w:r>
      <w:r>
        <w:t>- 28 -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"_Toc136956326" </w:instrText>
      </w:r>
      <w:r>
        <w:fldChar w:fldCharType="separate"/>
      </w:r>
      <w:r>
        <w:rPr>
          <w:rStyle w:val="73"/>
          <w:rFonts w:ascii="宋体" w:hAnsi="宋体"/>
        </w:rPr>
        <w:t>7.4</w:t>
      </w:r>
      <w:r>
        <w:rPr>
          <w:rStyle w:val="73"/>
          <w:rFonts w:hint="eastAsia" w:ascii="宋体" w:hAnsi="宋体"/>
        </w:rPr>
        <w:t>签订合同</w:t>
      </w:r>
      <w:r>
        <w:tab/>
      </w:r>
      <w:r>
        <w:fldChar w:fldCharType="begin"/>
      </w:r>
      <w:r>
        <w:instrText xml:space="preserve"> PAGEREF _Toc136956326 \h </w:instrText>
      </w:r>
      <w:r>
        <w:fldChar w:fldCharType="separate"/>
      </w:r>
      <w:r>
        <w:t>- 28 -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"_Toc136956327" </w:instrText>
      </w:r>
      <w:r>
        <w:fldChar w:fldCharType="separate"/>
      </w:r>
      <w:r>
        <w:rPr>
          <w:rStyle w:val="73"/>
          <w:rFonts w:hint="eastAsia" w:ascii="宋体" w:hAnsi="宋体"/>
        </w:rPr>
        <w:t>（八）重新招标和不再招标</w:t>
      </w:r>
      <w:r>
        <w:tab/>
      </w:r>
      <w:r>
        <w:fldChar w:fldCharType="begin"/>
      </w:r>
      <w:r>
        <w:instrText xml:space="preserve"> PAGEREF _Toc136956327 \h </w:instrText>
      </w:r>
      <w:r>
        <w:fldChar w:fldCharType="separate"/>
      </w:r>
      <w:r>
        <w:t>- 28 -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"_Toc136956328" </w:instrText>
      </w:r>
      <w:r>
        <w:fldChar w:fldCharType="separate"/>
      </w:r>
      <w:r>
        <w:rPr>
          <w:rStyle w:val="73"/>
          <w:rFonts w:ascii="宋体" w:hAnsi="宋体"/>
        </w:rPr>
        <w:t>8.1</w:t>
      </w:r>
      <w:r>
        <w:rPr>
          <w:rStyle w:val="73"/>
          <w:rFonts w:hint="eastAsia" w:ascii="宋体" w:hAnsi="宋体"/>
        </w:rPr>
        <w:t>重新招标</w:t>
      </w:r>
      <w:r>
        <w:tab/>
      </w:r>
      <w:r>
        <w:fldChar w:fldCharType="begin"/>
      </w:r>
      <w:r>
        <w:instrText xml:space="preserve"> PAGEREF _Toc136956328 \h </w:instrText>
      </w:r>
      <w:r>
        <w:fldChar w:fldCharType="separate"/>
      </w:r>
      <w:r>
        <w:t>- 28 -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"_Toc136956329" </w:instrText>
      </w:r>
      <w:r>
        <w:fldChar w:fldCharType="separate"/>
      </w:r>
      <w:r>
        <w:rPr>
          <w:rStyle w:val="73"/>
          <w:rFonts w:ascii="宋体" w:hAnsi="宋体"/>
        </w:rPr>
        <w:t>8.2</w:t>
      </w:r>
      <w:r>
        <w:rPr>
          <w:rStyle w:val="73"/>
          <w:rFonts w:hint="eastAsia" w:ascii="宋体" w:hAnsi="宋体"/>
        </w:rPr>
        <w:t>不再招标</w:t>
      </w:r>
      <w:r>
        <w:tab/>
      </w:r>
      <w:r>
        <w:fldChar w:fldCharType="begin"/>
      </w:r>
      <w:r>
        <w:instrText xml:space="preserve"> PAGEREF _Toc136956329 \h </w:instrText>
      </w:r>
      <w:r>
        <w:fldChar w:fldCharType="separate"/>
      </w:r>
      <w:r>
        <w:t>- 28 -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"_Toc136956330" </w:instrText>
      </w:r>
      <w:r>
        <w:fldChar w:fldCharType="separate"/>
      </w:r>
      <w:r>
        <w:rPr>
          <w:rStyle w:val="73"/>
          <w:rFonts w:hint="eastAsia" w:ascii="宋体" w:hAnsi="宋体"/>
        </w:rPr>
        <w:t>（九）纪律和监督</w:t>
      </w:r>
      <w:r>
        <w:tab/>
      </w:r>
      <w:r>
        <w:fldChar w:fldCharType="begin"/>
      </w:r>
      <w:r>
        <w:instrText xml:space="preserve"> PAGEREF _Toc136956330 \h </w:instrText>
      </w:r>
      <w:r>
        <w:fldChar w:fldCharType="separate"/>
      </w:r>
      <w:r>
        <w:t>- 29 -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"_Toc136956331" </w:instrText>
      </w:r>
      <w:r>
        <w:fldChar w:fldCharType="separate"/>
      </w:r>
      <w:r>
        <w:rPr>
          <w:rStyle w:val="73"/>
          <w:rFonts w:ascii="宋体" w:hAnsi="宋体"/>
        </w:rPr>
        <w:t xml:space="preserve">9.1 </w:t>
      </w:r>
      <w:r>
        <w:rPr>
          <w:rStyle w:val="73"/>
          <w:rFonts w:hint="eastAsia" w:ascii="宋体" w:hAnsi="宋体"/>
        </w:rPr>
        <w:t>对招标人的纪律要求</w:t>
      </w:r>
      <w:r>
        <w:tab/>
      </w:r>
      <w:r>
        <w:fldChar w:fldCharType="begin"/>
      </w:r>
      <w:r>
        <w:instrText xml:space="preserve"> PAGEREF _Toc136956331 \h </w:instrText>
      </w:r>
      <w:r>
        <w:fldChar w:fldCharType="separate"/>
      </w:r>
      <w:r>
        <w:t>- 29 -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"_Toc136956332" </w:instrText>
      </w:r>
      <w:r>
        <w:fldChar w:fldCharType="separate"/>
      </w:r>
      <w:r>
        <w:rPr>
          <w:rStyle w:val="73"/>
          <w:rFonts w:ascii="宋体" w:hAnsi="宋体"/>
        </w:rPr>
        <w:t xml:space="preserve">9.2 </w:t>
      </w:r>
      <w:r>
        <w:rPr>
          <w:rStyle w:val="73"/>
          <w:rFonts w:hint="eastAsia" w:ascii="宋体" w:hAnsi="宋体"/>
        </w:rPr>
        <w:t>对投标人的纪律要求</w:t>
      </w:r>
      <w:r>
        <w:tab/>
      </w:r>
      <w:r>
        <w:fldChar w:fldCharType="begin"/>
      </w:r>
      <w:r>
        <w:instrText xml:space="preserve"> PAGEREF _Toc136956332 \h </w:instrText>
      </w:r>
      <w:r>
        <w:fldChar w:fldCharType="separate"/>
      </w:r>
      <w:r>
        <w:t>- 29 -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"_Toc136956333" </w:instrText>
      </w:r>
      <w:r>
        <w:fldChar w:fldCharType="separate"/>
      </w:r>
      <w:r>
        <w:rPr>
          <w:rStyle w:val="73"/>
          <w:rFonts w:ascii="宋体" w:hAnsi="宋体"/>
        </w:rPr>
        <w:t xml:space="preserve">9.3 </w:t>
      </w:r>
      <w:r>
        <w:rPr>
          <w:rStyle w:val="73"/>
          <w:rFonts w:hint="eastAsia" w:ascii="宋体" w:hAnsi="宋体"/>
        </w:rPr>
        <w:t>对评标委员会成员的纪律要求</w:t>
      </w:r>
      <w:r>
        <w:tab/>
      </w:r>
      <w:r>
        <w:fldChar w:fldCharType="begin"/>
      </w:r>
      <w:r>
        <w:instrText xml:space="preserve"> PAGEREF _Toc136956333 \h </w:instrText>
      </w:r>
      <w:r>
        <w:fldChar w:fldCharType="separate"/>
      </w:r>
      <w:r>
        <w:t>- 29 -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"_Toc136956334" </w:instrText>
      </w:r>
      <w:r>
        <w:fldChar w:fldCharType="separate"/>
      </w:r>
      <w:r>
        <w:rPr>
          <w:rStyle w:val="73"/>
          <w:rFonts w:ascii="宋体" w:hAnsi="宋体"/>
        </w:rPr>
        <w:t xml:space="preserve">9.4 </w:t>
      </w:r>
      <w:r>
        <w:rPr>
          <w:rStyle w:val="73"/>
          <w:rFonts w:hint="eastAsia" w:ascii="宋体" w:hAnsi="宋体"/>
        </w:rPr>
        <w:t>对与评标活动有关的工作人员的纪律要求</w:t>
      </w:r>
      <w:r>
        <w:tab/>
      </w:r>
      <w:r>
        <w:fldChar w:fldCharType="begin"/>
      </w:r>
      <w:r>
        <w:instrText xml:space="preserve"> PAGEREF _Toc136956334 \h </w:instrText>
      </w:r>
      <w:r>
        <w:fldChar w:fldCharType="separate"/>
      </w:r>
      <w:r>
        <w:t>- 29 -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"_Toc136956335" </w:instrText>
      </w:r>
      <w:r>
        <w:fldChar w:fldCharType="separate"/>
      </w:r>
      <w:r>
        <w:rPr>
          <w:rStyle w:val="73"/>
          <w:rFonts w:ascii="宋体" w:hAnsi="宋体"/>
        </w:rPr>
        <w:t xml:space="preserve">9.5 </w:t>
      </w:r>
      <w:r>
        <w:rPr>
          <w:rStyle w:val="73"/>
          <w:rFonts w:hint="eastAsia" w:ascii="宋体" w:hAnsi="宋体"/>
        </w:rPr>
        <w:t>投诉</w:t>
      </w:r>
      <w:r>
        <w:tab/>
      </w:r>
      <w:r>
        <w:fldChar w:fldCharType="begin"/>
      </w:r>
      <w:r>
        <w:instrText xml:space="preserve"> PAGEREF _Toc136956335 \h </w:instrText>
      </w:r>
      <w:r>
        <w:fldChar w:fldCharType="separate"/>
      </w:r>
      <w:r>
        <w:t>- 29 -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"_Toc136956336" </w:instrText>
      </w:r>
      <w:r>
        <w:fldChar w:fldCharType="separate"/>
      </w:r>
      <w:r>
        <w:rPr>
          <w:rStyle w:val="73"/>
          <w:rFonts w:hint="eastAsia" w:ascii="宋体" w:hAnsi="宋体"/>
        </w:rPr>
        <w:t>（十）需要补充的其他内容</w:t>
      </w:r>
      <w:r>
        <w:tab/>
      </w:r>
      <w:r>
        <w:fldChar w:fldCharType="begin"/>
      </w:r>
      <w:r>
        <w:instrText xml:space="preserve"> PAGEREF _Toc136956336 \h </w:instrText>
      </w:r>
      <w:r>
        <w:fldChar w:fldCharType="separate"/>
      </w:r>
      <w:r>
        <w:t>- 29 -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"_Toc136956337" </w:instrText>
      </w:r>
      <w:r>
        <w:fldChar w:fldCharType="separate"/>
      </w:r>
      <w:r>
        <w:rPr>
          <w:rStyle w:val="73"/>
          <w:rFonts w:hint="eastAsia" w:ascii="宋体" w:hAnsi="宋体"/>
        </w:rPr>
        <w:t>附表一：开标记录表</w:t>
      </w:r>
      <w:r>
        <w:tab/>
      </w:r>
      <w:r>
        <w:fldChar w:fldCharType="begin"/>
      </w:r>
      <w:r>
        <w:instrText xml:space="preserve"> PAGEREF _Toc136956337 \h </w:instrText>
      </w:r>
      <w:r>
        <w:fldChar w:fldCharType="separate"/>
      </w:r>
      <w:r>
        <w:t>- 30 -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"_Toc136956338" </w:instrText>
      </w:r>
      <w:r>
        <w:fldChar w:fldCharType="separate"/>
      </w:r>
      <w:r>
        <w:rPr>
          <w:rStyle w:val="73"/>
          <w:rFonts w:hint="eastAsia" w:ascii="宋体" w:hAnsi="宋体"/>
        </w:rPr>
        <w:t>附表二：问题澄清通知</w:t>
      </w:r>
      <w:r>
        <w:tab/>
      </w:r>
      <w:r>
        <w:fldChar w:fldCharType="begin"/>
      </w:r>
      <w:r>
        <w:instrText xml:space="preserve"> PAGEREF _Toc136956338 \h </w:instrText>
      </w:r>
      <w:r>
        <w:fldChar w:fldCharType="separate"/>
      </w:r>
      <w:r>
        <w:t>- 31 -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"_Toc136956339" </w:instrText>
      </w:r>
      <w:r>
        <w:fldChar w:fldCharType="separate"/>
      </w:r>
      <w:r>
        <w:rPr>
          <w:rStyle w:val="73"/>
          <w:rFonts w:hint="eastAsia" w:ascii="宋体" w:hAnsi="宋体"/>
        </w:rPr>
        <w:t>附表三：问题的澄清</w:t>
      </w:r>
      <w:r>
        <w:tab/>
      </w:r>
      <w:r>
        <w:fldChar w:fldCharType="begin"/>
      </w:r>
      <w:r>
        <w:instrText xml:space="preserve"> PAGEREF _Toc136956339 \h </w:instrText>
      </w:r>
      <w:r>
        <w:fldChar w:fldCharType="separate"/>
      </w:r>
      <w:r>
        <w:t>- 32 -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"_Toc136956340" </w:instrText>
      </w:r>
      <w:r>
        <w:fldChar w:fldCharType="separate"/>
      </w:r>
      <w:r>
        <w:rPr>
          <w:rStyle w:val="73"/>
          <w:rFonts w:hint="eastAsia" w:ascii="宋体" w:hAnsi="宋体"/>
        </w:rPr>
        <w:t>附表四：中标通知书</w:t>
      </w:r>
      <w:r>
        <w:tab/>
      </w:r>
      <w:r>
        <w:fldChar w:fldCharType="begin"/>
      </w:r>
      <w:r>
        <w:instrText xml:space="preserve"> PAGEREF _Toc136956340 \h </w:instrText>
      </w:r>
      <w:r>
        <w:fldChar w:fldCharType="separate"/>
      </w:r>
      <w:r>
        <w:t>- 33 -</w:t>
      </w:r>
      <w:r>
        <w:fldChar w:fldCharType="end"/>
      </w:r>
      <w:r>
        <w:fldChar w:fldCharType="end"/>
      </w:r>
    </w:p>
    <w:p>
      <w:pPr>
        <w:pStyle w:val="39"/>
        <w:tabs>
          <w:tab w:val="right" w:leader="dot" w:pos="9288"/>
        </w:tabs>
        <w:rPr>
          <w:rFonts w:asciiTheme="minorHAnsi" w:hAnsiTheme="minorHAnsi" w:eastAsiaTheme="minorEastAsia" w:cstheme="minorBidi"/>
          <w:szCs w:val="22"/>
        </w:rPr>
      </w:pPr>
      <w:r>
        <w:fldChar w:fldCharType="begin"/>
      </w:r>
      <w:r>
        <w:instrText xml:space="preserve"> HYPERLINK \l "_Toc136956341" </w:instrText>
      </w:r>
      <w:r>
        <w:fldChar w:fldCharType="separate"/>
      </w:r>
      <w:r>
        <w:rPr>
          <w:rStyle w:val="73"/>
          <w:rFonts w:hint="eastAsia" w:ascii="宋体" w:hAnsi="宋体"/>
        </w:rPr>
        <w:t>第二卷</w:t>
      </w:r>
      <w:r>
        <w:tab/>
      </w:r>
      <w:r>
        <w:fldChar w:fldCharType="begin"/>
      </w:r>
      <w:r>
        <w:instrText xml:space="preserve"> PAGEREF _Toc136956341 \h </w:instrText>
      </w:r>
      <w:r>
        <w:fldChar w:fldCharType="separate"/>
      </w:r>
      <w:r>
        <w:t>- 35 -</w:t>
      </w:r>
      <w:r>
        <w:fldChar w:fldCharType="end"/>
      </w:r>
      <w:r>
        <w:fldChar w:fldCharType="end"/>
      </w:r>
    </w:p>
    <w:p>
      <w:pPr>
        <w:pStyle w:val="50"/>
        <w:tabs>
          <w:tab w:val="right" w:leader="dot" w:pos="9288"/>
        </w:tabs>
        <w:rPr>
          <w:rFonts w:asciiTheme="minorHAnsi" w:hAnsiTheme="minorHAnsi" w:eastAsiaTheme="minorEastAsia" w:cstheme="minorBidi"/>
          <w:szCs w:val="22"/>
        </w:rPr>
      </w:pPr>
      <w:r>
        <w:fldChar w:fldCharType="begin"/>
      </w:r>
      <w:r>
        <w:instrText xml:space="preserve"> HYPERLINK \l "_Toc136956342" </w:instrText>
      </w:r>
      <w:r>
        <w:fldChar w:fldCharType="separate"/>
      </w:r>
      <w:r>
        <w:rPr>
          <w:rStyle w:val="73"/>
          <w:rFonts w:hint="eastAsia" w:ascii="宋体" w:hAnsi="宋体"/>
        </w:rPr>
        <w:t>第三章</w:t>
      </w:r>
      <w:r>
        <w:rPr>
          <w:rStyle w:val="73"/>
          <w:rFonts w:ascii="宋体" w:hAnsi="宋体"/>
        </w:rPr>
        <w:t xml:space="preserve"> </w:t>
      </w:r>
      <w:r>
        <w:rPr>
          <w:rStyle w:val="73"/>
          <w:rFonts w:hint="eastAsia" w:ascii="宋体" w:hAnsi="宋体"/>
        </w:rPr>
        <w:t>评标办法</w:t>
      </w:r>
      <w:r>
        <w:tab/>
      </w:r>
      <w:r>
        <w:fldChar w:fldCharType="begin"/>
      </w:r>
      <w:r>
        <w:instrText xml:space="preserve"> PAGEREF _Toc136956342 \h </w:instrText>
      </w:r>
      <w:r>
        <w:fldChar w:fldCharType="separate"/>
      </w:r>
      <w:r>
        <w:t>- 36 -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"_Toc136956343" </w:instrText>
      </w:r>
      <w:r>
        <w:fldChar w:fldCharType="separate"/>
      </w:r>
      <w:r>
        <w:rPr>
          <w:rStyle w:val="73"/>
          <w:rFonts w:hint="eastAsia" w:ascii="宋体" w:hAnsi="宋体"/>
          <w:kern w:val="0"/>
        </w:rPr>
        <w:t>一、评标办法前附表</w:t>
      </w:r>
      <w:r>
        <w:tab/>
      </w:r>
      <w:r>
        <w:fldChar w:fldCharType="begin"/>
      </w:r>
      <w:r>
        <w:instrText xml:space="preserve"> PAGEREF _Toc136956343 \h </w:instrText>
      </w:r>
      <w:r>
        <w:fldChar w:fldCharType="separate"/>
      </w:r>
      <w:r>
        <w:t>- 36 -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"_Toc136956344" </w:instrText>
      </w:r>
      <w:r>
        <w:fldChar w:fldCharType="separate"/>
      </w:r>
      <w:r>
        <w:rPr>
          <w:rStyle w:val="73"/>
          <w:rFonts w:hint="eastAsia" w:ascii="宋体" w:hAnsi="宋体"/>
        </w:rPr>
        <w:t>附件</w:t>
      </w:r>
      <w:r>
        <w:rPr>
          <w:rStyle w:val="73"/>
          <w:rFonts w:ascii="宋体" w:hAnsi="宋体"/>
        </w:rPr>
        <w:t>A</w:t>
      </w:r>
      <w:r>
        <w:rPr>
          <w:rStyle w:val="73"/>
          <w:rFonts w:hint="eastAsia" w:ascii="宋体" w:hAnsi="宋体"/>
        </w:rPr>
        <w:t>：评标详细程序</w:t>
      </w:r>
      <w:r>
        <w:tab/>
      </w:r>
      <w:r>
        <w:fldChar w:fldCharType="begin"/>
      </w:r>
      <w:r>
        <w:instrText xml:space="preserve"> PAGEREF _Toc136956344 \h </w:instrText>
      </w:r>
      <w:r>
        <w:fldChar w:fldCharType="separate"/>
      </w:r>
      <w:r>
        <w:t>- 43 -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"_Toc136956345" </w:instrText>
      </w:r>
      <w:r>
        <w:fldChar w:fldCharType="separate"/>
      </w:r>
      <w:r>
        <w:rPr>
          <w:rStyle w:val="73"/>
          <w:rFonts w:hint="eastAsia" w:ascii="宋体" w:hAnsi="宋体"/>
        </w:rPr>
        <w:t>附件</w:t>
      </w:r>
      <w:r>
        <w:rPr>
          <w:rStyle w:val="73"/>
          <w:rFonts w:ascii="宋体" w:hAnsi="宋体"/>
        </w:rPr>
        <w:t>B</w:t>
      </w:r>
      <w:r>
        <w:rPr>
          <w:rStyle w:val="73"/>
          <w:rFonts w:hint="eastAsia" w:ascii="宋体" w:hAnsi="宋体"/>
        </w:rPr>
        <w:t>：否决条件</w:t>
      </w:r>
      <w:r>
        <w:tab/>
      </w:r>
      <w:r>
        <w:fldChar w:fldCharType="begin"/>
      </w:r>
      <w:r>
        <w:instrText xml:space="preserve"> PAGEREF _Toc136956345 \h </w:instrText>
      </w:r>
      <w:r>
        <w:fldChar w:fldCharType="separate"/>
      </w:r>
      <w:r>
        <w:t>- 48 -</w:t>
      </w:r>
      <w:r>
        <w:fldChar w:fldCharType="end"/>
      </w:r>
      <w:r>
        <w:fldChar w:fldCharType="end"/>
      </w:r>
    </w:p>
    <w:p>
      <w:pPr>
        <w:pStyle w:val="39"/>
        <w:tabs>
          <w:tab w:val="right" w:leader="dot" w:pos="9288"/>
        </w:tabs>
        <w:rPr>
          <w:rFonts w:asciiTheme="minorHAnsi" w:hAnsiTheme="minorHAnsi" w:eastAsiaTheme="minorEastAsia" w:cstheme="minorBidi"/>
          <w:szCs w:val="22"/>
        </w:rPr>
      </w:pPr>
      <w:r>
        <w:fldChar w:fldCharType="begin"/>
      </w:r>
      <w:r>
        <w:instrText xml:space="preserve"> HYPERLINK \l "_Toc136956346" </w:instrText>
      </w:r>
      <w:r>
        <w:fldChar w:fldCharType="separate"/>
      </w:r>
      <w:r>
        <w:rPr>
          <w:rStyle w:val="73"/>
          <w:rFonts w:hint="eastAsia" w:ascii="宋体" w:hAnsi="宋体"/>
        </w:rPr>
        <w:t>第三卷</w:t>
      </w:r>
      <w:r>
        <w:tab/>
      </w:r>
      <w:r>
        <w:fldChar w:fldCharType="begin"/>
      </w:r>
      <w:r>
        <w:instrText xml:space="preserve"> PAGEREF _Toc136956346 \h </w:instrText>
      </w:r>
      <w:r>
        <w:fldChar w:fldCharType="separate"/>
      </w:r>
      <w:r>
        <w:t>- 50 -</w:t>
      </w:r>
      <w:r>
        <w:fldChar w:fldCharType="end"/>
      </w:r>
      <w:r>
        <w:fldChar w:fldCharType="end"/>
      </w:r>
    </w:p>
    <w:p>
      <w:pPr>
        <w:pStyle w:val="50"/>
        <w:tabs>
          <w:tab w:val="right" w:leader="dot" w:pos="9288"/>
        </w:tabs>
        <w:rPr>
          <w:rFonts w:asciiTheme="minorHAnsi" w:hAnsiTheme="minorHAnsi" w:eastAsiaTheme="minorEastAsia" w:cstheme="minorBidi"/>
          <w:szCs w:val="22"/>
        </w:rPr>
      </w:pPr>
      <w:r>
        <w:fldChar w:fldCharType="begin"/>
      </w:r>
      <w:r>
        <w:instrText xml:space="preserve"> HYPERLINK \l "_Toc136956347" </w:instrText>
      </w:r>
      <w:r>
        <w:fldChar w:fldCharType="separate"/>
      </w:r>
      <w:r>
        <w:rPr>
          <w:rStyle w:val="73"/>
          <w:rFonts w:hint="eastAsia" w:ascii="宋体" w:hAnsi="宋体"/>
        </w:rPr>
        <w:t>第四章</w:t>
      </w:r>
      <w:r>
        <w:rPr>
          <w:rStyle w:val="73"/>
          <w:rFonts w:ascii="宋体" w:hAnsi="宋体"/>
        </w:rPr>
        <w:t xml:space="preserve"> </w:t>
      </w:r>
      <w:r>
        <w:rPr>
          <w:rStyle w:val="73"/>
          <w:rFonts w:hint="eastAsia" w:ascii="宋体" w:hAnsi="宋体"/>
        </w:rPr>
        <w:t>合同条款及格式</w:t>
      </w:r>
      <w:r>
        <w:tab/>
      </w:r>
      <w:r>
        <w:fldChar w:fldCharType="begin"/>
      </w:r>
      <w:r>
        <w:instrText xml:space="preserve"> PAGEREF _Toc136956347 \h </w:instrText>
      </w:r>
      <w:r>
        <w:fldChar w:fldCharType="separate"/>
      </w:r>
      <w:r>
        <w:t>- 51 -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"_Toc136956348" </w:instrText>
      </w:r>
      <w:r>
        <w:fldChar w:fldCharType="separate"/>
      </w:r>
      <w:r>
        <w:rPr>
          <w:rStyle w:val="73"/>
          <w:rFonts w:hint="eastAsia" w:ascii="宋体" w:hAnsi="宋体"/>
        </w:rPr>
        <w:t>一、</w:t>
      </w:r>
      <w:r>
        <w:rPr>
          <w:rStyle w:val="73"/>
          <w:rFonts w:hint="eastAsia" w:ascii="宋体" w:hAnsi="宋体"/>
          <w:bCs/>
        </w:rPr>
        <w:t>协议书</w:t>
      </w:r>
      <w:r>
        <w:tab/>
      </w:r>
      <w:r>
        <w:fldChar w:fldCharType="begin"/>
      </w:r>
      <w:r>
        <w:instrText xml:space="preserve"> PAGEREF _Toc136956348 \h </w:instrText>
      </w:r>
      <w:r>
        <w:fldChar w:fldCharType="separate"/>
      </w:r>
      <w:r>
        <w:t>- 52 -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"_Toc136956349" </w:instrText>
      </w:r>
      <w:r>
        <w:fldChar w:fldCharType="separate"/>
      </w:r>
      <w:r>
        <w:rPr>
          <w:rStyle w:val="73"/>
          <w:rFonts w:hint="eastAsia" w:ascii="宋体" w:hAnsi="宋体"/>
        </w:rPr>
        <w:t>二、分项合同</w:t>
      </w:r>
      <w:r>
        <w:rPr>
          <w:rStyle w:val="73"/>
          <w:rFonts w:ascii="宋体" w:hAnsi="宋体"/>
        </w:rPr>
        <w:t>--</w:t>
      </w:r>
      <w:r>
        <w:rPr>
          <w:rStyle w:val="73"/>
          <w:rFonts w:hint="eastAsia" w:ascii="宋体" w:hAnsi="宋体"/>
        </w:rPr>
        <w:t>设计合同</w:t>
      </w:r>
      <w:r>
        <w:tab/>
      </w:r>
      <w:r>
        <w:fldChar w:fldCharType="begin"/>
      </w:r>
      <w:r>
        <w:instrText xml:space="preserve"> PAGEREF _Toc136956349 \h </w:instrText>
      </w:r>
      <w:r>
        <w:fldChar w:fldCharType="separate"/>
      </w:r>
      <w:r>
        <w:t>- 55 -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"_Toc136956350" </w:instrText>
      </w:r>
      <w:r>
        <w:fldChar w:fldCharType="separate"/>
      </w:r>
      <w:r>
        <w:rPr>
          <w:rStyle w:val="73"/>
          <w:rFonts w:hint="eastAsia" w:ascii="宋体" w:hAnsi="宋体"/>
        </w:rPr>
        <w:t>第一部分</w:t>
      </w:r>
      <w:r>
        <w:rPr>
          <w:rStyle w:val="73"/>
          <w:rFonts w:ascii="宋体" w:hAnsi="宋体"/>
        </w:rPr>
        <w:t xml:space="preserve"> </w:t>
      </w:r>
      <w:r>
        <w:rPr>
          <w:rStyle w:val="73"/>
          <w:rFonts w:hint="eastAsia" w:ascii="宋体" w:hAnsi="宋体"/>
        </w:rPr>
        <w:t>合同协议书</w:t>
      </w:r>
      <w:r>
        <w:tab/>
      </w:r>
      <w:r>
        <w:fldChar w:fldCharType="begin"/>
      </w:r>
      <w:r>
        <w:instrText xml:space="preserve"> PAGEREF _Toc136956350 \h </w:instrText>
      </w:r>
      <w:r>
        <w:fldChar w:fldCharType="separate"/>
      </w:r>
      <w:r>
        <w:t>- 56 -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"_Toc136956351" </w:instrText>
      </w:r>
      <w:r>
        <w:fldChar w:fldCharType="separate"/>
      </w:r>
      <w:r>
        <w:rPr>
          <w:rStyle w:val="73"/>
          <w:rFonts w:hint="eastAsia" w:ascii="宋体" w:hAnsi="宋体"/>
        </w:rPr>
        <w:t>第二部分</w:t>
      </w:r>
      <w:r>
        <w:rPr>
          <w:rStyle w:val="73"/>
          <w:rFonts w:ascii="宋体" w:hAnsi="宋体"/>
        </w:rPr>
        <w:t xml:space="preserve"> </w:t>
      </w:r>
      <w:r>
        <w:rPr>
          <w:rStyle w:val="73"/>
          <w:rFonts w:hint="eastAsia" w:ascii="宋体" w:hAnsi="宋体"/>
        </w:rPr>
        <w:t>通用合同条款</w:t>
      </w:r>
      <w:r>
        <w:tab/>
      </w:r>
      <w:r>
        <w:fldChar w:fldCharType="begin"/>
      </w:r>
      <w:r>
        <w:instrText xml:space="preserve"> PAGEREF _Toc136956351 \h </w:instrText>
      </w:r>
      <w:r>
        <w:fldChar w:fldCharType="separate"/>
      </w:r>
      <w:r>
        <w:t>- 60 -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"_Toc136956352" </w:instrText>
      </w:r>
      <w:r>
        <w:fldChar w:fldCharType="separate"/>
      </w:r>
      <w:r>
        <w:rPr>
          <w:rStyle w:val="73"/>
          <w:rFonts w:hint="eastAsia" w:ascii="宋体" w:hAnsi="宋体"/>
        </w:rPr>
        <w:t>第三部分</w:t>
      </w:r>
      <w:r>
        <w:rPr>
          <w:rStyle w:val="73"/>
          <w:rFonts w:ascii="宋体" w:hAnsi="宋体"/>
        </w:rPr>
        <w:t xml:space="preserve"> </w:t>
      </w:r>
      <w:r>
        <w:rPr>
          <w:rStyle w:val="73"/>
          <w:rFonts w:hint="eastAsia" w:ascii="宋体" w:hAnsi="宋体"/>
        </w:rPr>
        <w:t>专用合同条款</w:t>
      </w:r>
      <w:r>
        <w:tab/>
      </w:r>
      <w:r>
        <w:fldChar w:fldCharType="begin"/>
      </w:r>
      <w:r>
        <w:instrText xml:space="preserve"> PAGEREF _Toc136956352 \h </w:instrText>
      </w:r>
      <w:r>
        <w:fldChar w:fldCharType="separate"/>
      </w:r>
      <w:r>
        <w:t>- 60 -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"_Toc136956353" </w:instrText>
      </w:r>
      <w:r>
        <w:fldChar w:fldCharType="separate"/>
      </w:r>
      <w:r>
        <w:rPr>
          <w:rStyle w:val="73"/>
          <w:rFonts w:hint="eastAsia" w:ascii="宋体" w:hAnsi="宋体" w:cs="宋体"/>
        </w:rPr>
        <w:t>一、工程概况</w:t>
      </w:r>
      <w:r>
        <w:tab/>
      </w:r>
      <w:r>
        <w:fldChar w:fldCharType="begin"/>
      </w:r>
      <w:r>
        <w:instrText xml:space="preserve"> PAGEREF _Toc136956353 \h </w:instrText>
      </w:r>
      <w:r>
        <w:fldChar w:fldCharType="separate"/>
      </w:r>
      <w:r>
        <w:t>- 78 -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"_Toc136956354" </w:instrText>
      </w:r>
      <w:r>
        <w:fldChar w:fldCharType="separate"/>
      </w:r>
      <w:r>
        <w:rPr>
          <w:rStyle w:val="73"/>
          <w:rFonts w:hint="eastAsia" w:ascii="宋体" w:hAnsi="宋体" w:cs="宋体"/>
        </w:rPr>
        <w:t>二、合同工期</w:t>
      </w:r>
      <w:r>
        <w:tab/>
      </w:r>
      <w:r>
        <w:fldChar w:fldCharType="begin"/>
      </w:r>
      <w:r>
        <w:instrText xml:space="preserve"> PAGEREF _Toc136956354 \h </w:instrText>
      </w:r>
      <w:r>
        <w:fldChar w:fldCharType="separate"/>
      </w:r>
      <w:r>
        <w:t>- 78 -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"_Toc136956355" </w:instrText>
      </w:r>
      <w:r>
        <w:fldChar w:fldCharType="separate"/>
      </w:r>
      <w:r>
        <w:rPr>
          <w:rStyle w:val="73"/>
          <w:rFonts w:hint="eastAsia" w:ascii="宋体" w:hAnsi="宋体" w:cs="宋体"/>
        </w:rPr>
        <w:t>三、质量标准</w:t>
      </w:r>
      <w:r>
        <w:tab/>
      </w:r>
      <w:r>
        <w:fldChar w:fldCharType="begin"/>
      </w:r>
      <w:r>
        <w:instrText xml:space="preserve"> PAGEREF _Toc136956355 \h </w:instrText>
      </w:r>
      <w:r>
        <w:fldChar w:fldCharType="separate"/>
      </w:r>
      <w:r>
        <w:t>- 79 -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"_Toc136956356" </w:instrText>
      </w:r>
      <w:r>
        <w:fldChar w:fldCharType="separate"/>
      </w:r>
      <w:r>
        <w:rPr>
          <w:rStyle w:val="73"/>
          <w:rFonts w:hint="eastAsia" w:ascii="宋体" w:hAnsi="宋体" w:cs="宋体"/>
        </w:rPr>
        <w:t>四、签约合同价与合同价格形式</w:t>
      </w:r>
      <w:r>
        <w:tab/>
      </w:r>
      <w:r>
        <w:fldChar w:fldCharType="begin"/>
      </w:r>
      <w:r>
        <w:instrText xml:space="preserve"> PAGEREF _Toc136956356 \h </w:instrText>
      </w:r>
      <w:r>
        <w:fldChar w:fldCharType="separate"/>
      </w:r>
      <w:r>
        <w:t>- 79 -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"_Toc136956357" </w:instrText>
      </w:r>
      <w:r>
        <w:fldChar w:fldCharType="separate"/>
      </w:r>
      <w:r>
        <w:rPr>
          <w:rStyle w:val="73"/>
          <w:rFonts w:hint="eastAsia" w:ascii="宋体" w:hAnsi="宋体" w:cs="宋体"/>
        </w:rPr>
        <w:t>五、项目经理</w:t>
      </w:r>
      <w:r>
        <w:tab/>
      </w:r>
      <w:r>
        <w:fldChar w:fldCharType="begin"/>
      </w:r>
      <w:r>
        <w:instrText xml:space="preserve"> PAGEREF _Toc136956357 \h </w:instrText>
      </w:r>
      <w:r>
        <w:fldChar w:fldCharType="separate"/>
      </w:r>
      <w:r>
        <w:t>- 79 -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"_Toc136956358" </w:instrText>
      </w:r>
      <w:r>
        <w:fldChar w:fldCharType="separate"/>
      </w:r>
      <w:r>
        <w:rPr>
          <w:rStyle w:val="73"/>
          <w:rFonts w:hint="eastAsia" w:ascii="宋体" w:hAnsi="宋体" w:cs="宋体"/>
          <w:bCs/>
        </w:rPr>
        <w:t>六、合同文件构成</w:t>
      </w:r>
      <w:r>
        <w:tab/>
      </w:r>
      <w:r>
        <w:fldChar w:fldCharType="begin"/>
      </w:r>
      <w:r>
        <w:instrText xml:space="preserve"> PAGEREF _Toc136956358 \h </w:instrText>
      </w:r>
      <w:r>
        <w:fldChar w:fldCharType="separate"/>
      </w:r>
      <w:r>
        <w:t>- 79 -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"_Toc136956359" </w:instrText>
      </w:r>
      <w:r>
        <w:fldChar w:fldCharType="separate"/>
      </w:r>
      <w:r>
        <w:rPr>
          <w:rStyle w:val="73"/>
          <w:rFonts w:hint="eastAsia" w:ascii="宋体" w:hAnsi="宋体" w:cs="宋体"/>
          <w:bCs/>
        </w:rPr>
        <w:t>七、承诺</w:t>
      </w:r>
      <w:r>
        <w:tab/>
      </w:r>
      <w:r>
        <w:fldChar w:fldCharType="begin"/>
      </w:r>
      <w:r>
        <w:instrText xml:space="preserve"> PAGEREF _Toc136956359 \h </w:instrText>
      </w:r>
      <w:r>
        <w:fldChar w:fldCharType="separate"/>
      </w:r>
      <w:r>
        <w:t>- 79 -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"_Toc136956360" </w:instrText>
      </w:r>
      <w:r>
        <w:fldChar w:fldCharType="separate"/>
      </w:r>
      <w:r>
        <w:rPr>
          <w:rStyle w:val="73"/>
          <w:rFonts w:hint="eastAsia" w:ascii="宋体" w:hAnsi="宋体" w:cs="宋体"/>
          <w:bCs/>
        </w:rPr>
        <w:t>八、词语含义</w:t>
      </w:r>
      <w:r>
        <w:tab/>
      </w:r>
      <w:r>
        <w:fldChar w:fldCharType="begin"/>
      </w:r>
      <w:r>
        <w:instrText xml:space="preserve"> PAGEREF _Toc136956360 \h </w:instrText>
      </w:r>
      <w:r>
        <w:fldChar w:fldCharType="separate"/>
      </w:r>
      <w:r>
        <w:t>- 80 -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"_Toc136956361" </w:instrText>
      </w:r>
      <w:r>
        <w:fldChar w:fldCharType="separate"/>
      </w:r>
      <w:r>
        <w:rPr>
          <w:rStyle w:val="73"/>
          <w:rFonts w:hint="eastAsia" w:ascii="宋体" w:hAnsi="宋体" w:cs="宋体"/>
          <w:bCs/>
        </w:rPr>
        <w:t>九、签订时间</w:t>
      </w:r>
      <w:r>
        <w:tab/>
      </w:r>
      <w:r>
        <w:fldChar w:fldCharType="begin"/>
      </w:r>
      <w:r>
        <w:instrText xml:space="preserve"> PAGEREF _Toc136956361 \h </w:instrText>
      </w:r>
      <w:r>
        <w:fldChar w:fldCharType="separate"/>
      </w:r>
      <w:r>
        <w:t>- 80 -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"_Toc136956362" </w:instrText>
      </w:r>
      <w:r>
        <w:fldChar w:fldCharType="separate"/>
      </w:r>
      <w:r>
        <w:rPr>
          <w:rStyle w:val="73"/>
          <w:rFonts w:hint="eastAsia" w:ascii="宋体" w:hAnsi="宋体" w:cs="宋体"/>
          <w:bCs/>
        </w:rPr>
        <w:t>十、签订地点</w:t>
      </w:r>
      <w:r>
        <w:tab/>
      </w:r>
      <w:r>
        <w:fldChar w:fldCharType="begin"/>
      </w:r>
      <w:r>
        <w:instrText xml:space="preserve"> PAGEREF _Toc136956362 \h </w:instrText>
      </w:r>
      <w:r>
        <w:fldChar w:fldCharType="separate"/>
      </w:r>
      <w:r>
        <w:t>- 80 -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"_Toc136956363" </w:instrText>
      </w:r>
      <w:r>
        <w:fldChar w:fldCharType="separate"/>
      </w:r>
      <w:r>
        <w:rPr>
          <w:rStyle w:val="73"/>
          <w:rFonts w:hint="eastAsia" w:ascii="宋体" w:hAnsi="宋体" w:cs="宋体"/>
          <w:bCs/>
        </w:rPr>
        <w:t>十一、补充协议</w:t>
      </w:r>
      <w:r>
        <w:tab/>
      </w:r>
      <w:r>
        <w:fldChar w:fldCharType="begin"/>
      </w:r>
      <w:r>
        <w:instrText xml:space="preserve"> PAGEREF _Toc136956363 \h </w:instrText>
      </w:r>
      <w:r>
        <w:fldChar w:fldCharType="separate"/>
      </w:r>
      <w:r>
        <w:t>- 80 -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"_Toc136956364" </w:instrText>
      </w:r>
      <w:r>
        <w:fldChar w:fldCharType="separate"/>
      </w:r>
      <w:r>
        <w:rPr>
          <w:rStyle w:val="73"/>
          <w:rFonts w:hint="eastAsia" w:ascii="宋体" w:hAnsi="宋体" w:cs="宋体"/>
          <w:bCs/>
        </w:rPr>
        <w:t>十二、合同生效</w:t>
      </w:r>
      <w:r>
        <w:tab/>
      </w:r>
      <w:r>
        <w:fldChar w:fldCharType="begin"/>
      </w:r>
      <w:r>
        <w:instrText xml:space="preserve"> PAGEREF _Toc136956364 \h </w:instrText>
      </w:r>
      <w:r>
        <w:fldChar w:fldCharType="separate"/>
      </w:r>
      <w:r>
        <w:t>- 80 -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"_Toc136956365" </w:instrText>
      </w:r>
      <w:r>
        <w:fldChar w:fldCharType="separate"/>
      </w:r>
      <w:r>
        <w:rPr>
          <w:rStyle w:val="73"/>
          <w:rFonts w:hint="eastAsia" w:ascii="宋体" w:hAnsi="宋体" w:cs="宋体"/>
          <w:bCs/>
        </w:rPr>
        <w:t>十三、合同份数</w:t>
      </w:r>
      <w:r>
        <w:tab/>
      </w:r>
      <w:r>
        <w:fldChar w:fldCharType="begin"/>
      </w:r>
      <w:r>
        <w:instrText xml:space="preserve"> PAGEREF _Toc136956365 \h </w:instrText>
      </w:r>
      <w:r>
        <w:fldChar w:fldCharType="separate"/>
      </w:r>
      <w:r>
        <w:t>- 80 -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"_Toc136956366" </w:instrText>
      </w:r>
      <w:r>
        <w:fldChar w:fldCharType="separate"/>
      </w:r>
      <w:r>
        <w:rPr>
          <w:rStyle w:val="73"/>
          <w:rFonts w:hint="eastAsia" w:ascii="宋体" w:hAnsi="宋体" w:cs="宋体"/>
          <w:bCs/>
        </w:rPr>
        <w:t>十四、其他</w:t>
      </w:r>
      <w:r>
        <w:tab/>
      </w:r>
      <w:r>
        <w:fldChar w:fldCharType="begin"/>
      </w:r>
      <w:r>
        <w:instrText xml:space="preserve"> PAGEREF _Toc136956366 \h </w:instrText>
      </w:r>
      <w:r>
        <w:fldChar w:fldCharType="separate"/>
      </w:r>
      <w:r>
        <w:t>- 80 -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"_Toc136956367" </w:instrText>
      </w:r>
      <w:r>
        <w:fldChar w:fldCharType="separate"/>
      </w:r>
      <w:r>
        <w:rPr>
          <w:rStyle w:val="73"/>
          <w:rFonts w:hint="eastAsia" w:ascii="宋体" w:hAnsi="宋体"/>
          <w:bCs/>
          <w:kern w:val="0"/>
        </w:rPr>
        <w:t>第二部分</w:t>
      </w:r>
      <w:r>
        <w:rPr>
          <w:rStyle w:val="73"/>
          <w:rFonts w:ascii="宋体" w:hAnsi="宋体"/>
          <w:bCs/>
          <w:kern w:val="0"/>
        </w:rPr>
        <w:t xml:space="preserve"> </w:t>
      </w:r>
      <w:r>
        <w:rPr>
          <w:rStyle w:val="73"/>
          <w:rFonts w:hint="eastAsia" w:ascii="宋体" w:hAnsi="宋体"/>
          <w:bCs/>
          <w:kern w:val="0"/>
        </w:rPr>
        <w:t>通用合同条款</w:t>
      </w:r>
      <w:r>
        <w:tab/>
      </w:r>
      <w:r>
        <w:fldChar w:fldCharType="begin"/>
      </w:r>
      <w:r>
        <w:instrText xml:space="preserve"> PAGEREF _Toc136956367 \h </w:instrText>
      </w:r>
      <w:r>
        <w:fldChar w:fldCharType="separate"/>
      </w:r>
      <w:r>
        <w:t>- 82 -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"_Toc136956368" </w:instrText>
      </w:r>
      <w:r>
        <w:fldChar w:fldCharType="separate"/>
      </w:r>
      <w:r>
        <w:rPr>
          <w:rStyle w:val="73"/>
          <w:rFonts w:hint="eastAsia" w:ascii="宋体" w:hAnsi="宋体"/>
          <w:bCs/>
          <w:kern w:val="0"/>
        </w:rPr>
        <w:t>第三部分</w:t>
      </w:r>
      <w:r>
        <w:rPr>
          <w:rStyle w:val="73"/>
          <w:rFonts w:ascii="宋体" w:hAnsi="宋体"/>
          <w:bCs/>
          <w:kern w:val="0"/>
        </w:rPr>
        <w:t xml:space="preserve"> </w:t>
      </w:r>
      <w:r>
        <w:rPr>
          <w:rStyle w:val="73"/>
          <w:rFonts w:hint="eastAsia" w:ascii="宋体" w:hAnsi="宋体"/>
          <w:bCs/>
          <w:kern w:val="0"/>
        </w:rPr>
        <w:t>专用合同条款</w:t>
      </w:r>
      <w:r>
        <w:tab/>
      </w:r>
      <w:r>
        <w:fldChar w:fldCharType="begin"/>
      </w:r>
      <w:r>
        <w:instrText xml:space="preserve"> PAGEREF _Toc136956368 \h </w:instrText>
      </w:r>
      <w:r>
        <w:fldChar w:fldCharType="separate"/>
      </w:r>
      <w:r>
        <w:t>- 83 -</w:t>
      </w:r>
      <w:r>
        <w:fldChar w:fldCharType="end"/>
      </w:r>
      <w:r>
        <w:fldChar w:fldCharType="end"/>
      </w:r>
    </w:p>
    <w:p>
      <w:pPr>
        <w:pStyle w:val="50"/>
        <w:tabs>
          <w:tab w:val="right" w:leader="dot" w:pos="9288"/>
        </w:tabs>
        <w:rPr>
          <w:rFonts w:asciiTheme="minorHAnsi" w:hAnsiTheme="minorHAnsi" w:eastAsiaTheme="minorEastAsia" w:cstheme="minorBidi"/>
          <w:szCs w:val="22"/>
        </w:rPr>
      </w:pPr>
      <w:r>
        <w:fldChar w:fldCharType="begin"/>
      </w:r>
      <w:r>
        <w:instrText xml:space="preserve"> HYPERLINK \l "_Toc136956369" </w:instrText>
      </w:r>
      <w:r>
        <w:fldChar w:fldCharType="separate"/>
      </w:r>
      <w:r>
        <w:rPr>
          <w:rStyle w:val="73"/>
          <w:rFonts w:hint="eastAsia"/>
        </w:rPr>
        <w:t>以上内容在项目实施过程中承包人应完善相关资料，与竣工结算同时报送，统一调整。</w:t>
      </w:r>
      <w:r>
        <w:tab/>
      </w:r>
      <w:r>
        <w:fldChar w:fldCharType="begin"/>
      </w:r>
      <w:r>
        <w:instrText xml:space="preserve"> PAGEREF _Toc136956369 \h </w:instrText>
      </w:r>
      <w:r>
        <w:fldChar w:fldCharType="separate"/>
      </w:r>
      <w:r>
        <w:t>- 100 -</w:t>
      </w:r>
      <w:r>
        <w:fldChar w:fldCharType="end"/>
      </w:r>
      <w:r>
        <w:fldChar w:fldCharType="end"/>
      </w:r>
    </w:p>
    <w:p>
      <w:pPr>
        <w:pStyle w:val="39"/>
        <w:tabs>
          <w:tab w:val="right" w:leader="dot" w:pos="9288"/>
        </w:tabs>
        <w:rPr>
          <w:rFonts w:asciiTheme="minorHAnsi" w:hAnsiTheme="minorHAnsi" w:eastAsiaTheme="minorEastAsia" w:cstheme="minorBidi"/>
          <w:szCs w:val="22"/>
        </w:rPr>
      </w:pPr>
      <w:r>
        <w:fldChar w:fldCharType="begin"/>
      </w:r>
      <w:r>
        <w:instrText xml:space="preserve"> HYPERLINK \l "_Toc136956370" </w:instrText>
      </w:r>
      <w:r>
        <w:fldChar w:fldCharType="separate"/>
      </w:r>
      <w:r>
        <w:rPr>
          <w:rStyle w:val="73"/>
          <w:rFonts w:hint="eastAsia" w:ascii="宋体" w:hAnsi="宋体"/>
        </w:rPr>
        <w:t>第四卷</w:t>
      </w:r>
      <w:r>
        <w:tab/>
      </w:r>
      <w:r>
        <w:fldChar w:fldCharType="begin"/>
      </w:r>
      <w:r>
        <w:instrText xml:space="preserve"> PAGEREF _Toc136956370 \h </w:instrText>
      </w:r>
      <w:r>
        <w:fldChar w:fldCharType="separate"/>
      </w:r>
      <w:r>
        <w:t>- 123 -</w:t>
      </w:r>
      <w:r>
        <w:fldChar w:fldCharType="end"/>
      </w:r>
      <w:r>
        <w:fldChar w:fldCharType="end"/>
      </w:r>
    </w:p>
    <w:p>
      <w:pPr>
        <w:pStyle w:val="50"/>
        <w:tabs>
          <w:tab w:val="right" w:leader="dot" w:pos="9288"/>
        </w:tabs>
        <w:rPr>
          <w:rFonts w:asciiTheme="minorHAnsi" w:hAnsiTheme="minorHAnsi" w:eastAsiaTheme="minorEastAsia" w:cstheme="minorBidi"/>
          <w:szCs w:val="22"/>
        </w:rPr>
      </w:pPr>
      <w:r>
        <w:fldChar w:fldCharType="begin"/>
      </w:r>
      <w:r>
        <w:instrText xml:space="preserve"> HYPERLINK \l "_Toc136956371" </w:instrText>
      </w:r>
      <w:r>
        <w:fldChar w:fldCharType="separate"/>
      </w:r>
      <w:r>
        <w:rPr>
          <w:rStyle w:val="73"/>
          <w:rFonts w:hint="eastAsia" w:ascii="宋体" w:hAnsi="宋体"/>
        </w:rPr>
        <w:t>第五章</w:t>
      </w:r>
      <w:r>
        <w:rPr>
          <w:rStyle w:val="73"/>
          <w:rFonts w:ascii="宋体" w:hAnsi="宋体"/>
        </w:rPr>
        <w:t xml:space="preserve"> </w:t>
      </w:r>
      <w:r>
        <w:rPr>
          <w:rStyle w:val="73"/>
          <w:rFonts w:hint="eastAsia" w:ascii="宋体" w:hAnsi="宋体"/>
        </w:rPr>
        <w:t>技术标准和要求</w:t>
      </w:r>
      <w:r>
        <w:tab/>
      </w:r>
      <w:r>
        <w:fldChar w:fldCharType="begin"/>
      </w:r>
      <w:r>
        <w:instrText xml:space="preserve"> PAGEREF _Toc136956371 \h </w:instrText>
      </w:r>
      <w:r>
        <w:fldChar w:fldCharType="separate"/>
      </w:r>
      <w:r>
        <w:t>- 124 -</w:t>
      </w:r>
      <w:r>
        <w:fldChar w:fldCharType="end"/>
      </w:r>
      <w:r>
        <w:fldChar w:fldCharType="end"/>
      </w:r>
    </w:p>
    <w:p>
      <w:pPr>
        <w:pStyle w:val="50"/>
        <w:tabs>
          <w:tab w:val="right" w:leader="dot" w:pos="9288"/>
        </w:tabs>
        <w:rPr>
          <w:rFonts w:asciiTheme="minorHAnsi" w:hAnsiTheme="minorHAnsi" w:eastAsiaTheme="minorEastAsia" w:cstheme="minorBidi"/>
          <w:szCs w:val="22"/>
        </w:rPr>
      </w:pPr>
      <w:r>
        <w:fldChar w:fldCharType="begin"/>
      </w:r>
      <w:r>
        <w:instrText xml:space="preserve"> HYPERLINK \l "_Toc136956372" </w:instrText>
      </w:r>
      <w:r>
        <w:fldChar w:fldCharType="separate"/>
      </w:r>
      <w:r>
        <w:rPr>
          <w:rStyle w:val="73"/>
          <w:rFonts w:hint="eastAsia" w:ascii="宋体" w:hAnsi="宋体"/>
        </w:rPr>
        <w:t>第六章</w:t>
      </w:r>
      <w:r>
        <w:rPr>
          <w:rStyle w:val="73"/>
          <w:rFonts w:ascii="宋体" w:hAnsi="宋体"/>
        </w:rPr>
        <w:t xml:space="preserve"> </w:t>
      </w:r>
      <w:r>
        <w:rPr>
          <w:rStyle w:val="73"/>
          <w:rFonts w:hint="eastAsia" w:ascii="宋体" w:hAnsi="宋体"/>
        </w:rPr>
        <w:t>投标文件格式</w:t>
      </w:r>
      <w:r>
        <w:tab/>
      </w:r>
      <w:r>
        <w:fldChar w:fldCharType="begin"/>
      </w:r>
      <w:r>
        <w:instrText xml:space="preserve"> PAGEREF _Toc136956372 \h </w:instrText>
      </w:r>
      <w:r>
        <w:fldChar w:fldCharType="separate"/>
      </w:r>
      <w:r>
        <w:t>- 125 -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"_Toc136956373" </w:instrText>
      </w:r>
      <w:r>
        <w:fldChar w:fldCharType="separate"/>
      </w:r>
      <w:r>
        <w:rPr>
          <w:rStyle w:val="73"/>
          <w:rFonts w:hint="eastAsia" w:ascii="宋体" w:hAnsi="宋体"/>
          <w:kern w:val="0"/>
        </w:rPr>
        <w:t>一、投标文件资格审查部分格式</w:t>
      </w:r>
      <w:r>
        <w:tab/>
      </w:r>
      <w:r>
        <w:fldChar w:fldCharType="begin"/>
      </w:r>
      <w:r>
        <w:instrText xml:space="preserve"> PAGEREF _Toc136956373 \h </w:instrText>
      </w:r>
      <w:r>
        <w:fldChar w:fldCharType="separate"/>
      </w:r>
      <w:r>
        <w:t>- 127 -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"_Toc136956374" </w:instrText>
      </w:r>
      <w:r>
        <w:fldChar w:fldCharType="separate"/>
      </w:r>
      <w:r>
        <w:rPr>
          <w:rStyle w:val="73"/>
          <w:rFonts w:hint="eastAsia" w:ascii="宋体" w:hAnsi="宋体"/>
        </w:rPr>
        <w:t>（一）投标人一般情况表</w:t>
      </w:r>
      <w:r>
        <w:tab/>
      </w:r>
      <w:r>
        <w:fldChar w:fldCharType="begin"/>
      </w:r>
      <w:r>
        <w:instrText xml:space="preserve"> PAGEREF _Toc136956374 \h </w:instrText>
      </w:r>
      <w:r>
        <w:fldChar w:fldCharType="separate"/>
      </w:r>
      <w:r>
        <w:t>- 127 -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"_Toc136956375" </w:instrText>
      </w:r>
      <w:r>
        <w:fldChar w:fldCharType="separate"/>
      </w:r>
      <w:r>
        <w:rPr>
          <w:rStyle w:val="73"/>
          <w:rFonts w:hint="eastAsia" w:ascii="宋体" w:hAnsi="宋体"/>
        </w:rPr>
        <w:t>（二）联合体协议书</w:t>
      </w:r>
      <w:r>
        <w:tab/>
      </w:r>
      <w:r>
        <w:fldChar w:fldCharType="begin"/>
      </w:r>
      <w:r>
        <w:instrText xml:space="preserve"> PAGEREF _Toc136956375 \h </w:instrText>
      </w:r>
      <w:r>
        <w:fldChar w:fldCharType="separate"/>
      </w:r>
      <w:r>
        <w:t>- 128 -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"_Toc136956376" </w:instrText>
      </w:r>
      <w:r>
        <w:fldChar w:fldCharType="separate"/>
      </w:r>
      <w:r>
        <w:rPr>
          <w:rStyle w:val="73"/>
          <w:rFonts w:hint="eastAsia" w:ascii="宋体" w:hAnsi="宋体"/>
        </w:rPr>
        <w:t>（三）法定代表人身份证明书</w:t>
      </w:r>
      <w:r>
        <w:tab/>
      </w:r>
      <w:r>
        <w:fldChar w:fldCharType="begin"/>
      </w:r>
      <w:r>
        <w:instrText xml:space="preserve"> PAGEREF _Toc136956376 \h </w:instrText>
      </w:r>
      <w:r>
        <w:fldChar w:fldCharType="separate"/>
      </w:r>
      <w:r>
        <w:t>- 129 -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"_Toc136956377" </w:instrText>
      </w:r>
      <w:r>
        <w:fldChar w:fldCharType="separate"/>
      </w:r>
      <w:r>
        <w:rPr>
          <w:rStyle w:val="73"/>
          <w:rFonts w:hint="eastAsia" w:ascii="宋体" w:hAnsi="宋体"/>
        </w:rPr>
        <w:t>（四）法定代表人授权委托书</w:t>
      </w:r>
      <w:r>
        <w:tab/>
      </w:r>
      <w:r>
        <w:fldChar w:fldCharType="begin"/>
      </w:r>
      <w:r>
        <w:instrText xml:space="preserve"> PAGEREF _Toc136956377 \h </w:instrText>
      </w:r>
      <w:r>
        <w:fldChar w:fldCharType="separate"/>
      </w:r>
      <w:r>
        <w:t>- 130 -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"_Toc136956378" </w:instrText>
      </w:r>
      <w:r>
        <w:fldChar w:fldCharType="separate"/>
      </w:r>
      <w:r>
        <w:rPr>
          <w:rStyle w:val="73"/>
          <w:rFonts w:hint="eastAsia" w:ascii="宋体" w:hAnsi="宋体"/>
        </w:rPr>
        <w:t>（五）营业执照副本原件扫描件</w:t>
      </w:r>
      <w:r>
        <w:tab/>
      </w:r>
      <w:r>
        <w:fldChar w:fldCharType="begin"/>
      </w:r>
      <w:r>
        <w:instrText xml:space="preserve"> PAGEREF _Toc136956378 \h </w:instrText>
      </w:r>
      <w:r>
        <w:fldChar w:fldCharType="separate"/>
      </w:r>
      <w:r>
        <w:t>- 131 -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"_Toc136956379" </w:instrText>
      </w:r>
      <w:r>
        <w:fldChar w:fldCharType="separate"/>
      </w:r>
      <w:r>
        <w:rPr>
          <w:rStyle w:val="73"/>
          <w:rFonts w:hint="eastAsia" w:ascii="宋体" w:hAnsi="宋体"/>
        </w:rPr>
        <w:t>（六）资质证书副本原件扫描件</w:t>
      </w:r>
      <w:r>
        <w:tab/>
      </w:r>
      <w:r>
        <w:fldChar w:fldCharType="begin"/>
      </w:r>
      <w:r>
        <w:instrText xml:space="preserve"> PAGEREF _Toc136956379 \h </w:instrText>
      </w:r>
      <w:r>
        <w:fldChar w:fldCharType="separate"/>
      </w:r>
      <w:r>
        <w:t>- 131 -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"_Toc136956380" </w:instrText>
      </w:r>
      <w:r>
        <w:fldChar w:fldCharType="separate"/>
      </w:r>
      <w:r>
        <w:rPr>
          <w:rStyle w:val="73"/>
          <w:rFonts w:hint="eastAsia" w:ascii="宋体" w:hAnsi="宋体"/>
        </w:rPr>
        <w:t>（七）安全生产许可证副本原件扫描件</w:t>
      </w:r>
      <w:r>
        <w:tab/>
      </w:r>
      <w:r>
        <w:fldChar w:fldCharType="begin"/>
      </w:r>
      <w:r>
        <w:instrText xml:space="preserve"> PAGEREF _Toc136956380 \h </w:instrText>
      </w:r>
      <w:r>
        <w:fldChar w:fldCharType="separate"/>
      </w:r>
      <w:r>
        <w:t>- 131 -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"_Toc136956381" </w:instrText>
      </w:r>
      <w:r>
        <w:fldChar w:fldCharType="separate"/>
      </w:r>
      <w:r>
        <w:rPr>
          <w:rStyle w:val="73"/>
          <w:rFonts w:hint="eastAsia" w:ascii="宋体" w:hAnsi="宋体"/>
        </w:rPr>
        <w:t>（八）投标人财务报表及审计报告扫描件</w:t>
      </w:r>
      <w:r>
        <w:tab/>
      </w:r>
      <w:r>
        <w:fldChar w:fldCharType="begin"/>
      </w:r>
      <w:r>
        <w:instrText xml:space="preserve"> PAGEREF _Toc136956381 \h </w:instrText>
      </w:r>
      <w:r>
        <w:fldChar w:fldCharType="separate"/>
      </w:r>
      <w:r>
        <w:t>- 131 -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"_Toc136956382" </w:instrText>
      </w:r>
      <w:r>
        <w:fldChar w:fldCharType="separate"/>
      </w:r>
      <w:r>
        <w:rPr>
          <w:rStyle w:val="73"/>
          <w:rFonts w:hint="eastAsia" w:ascii="宋体" w:hAnsi="宋体"/>
        </w:rPr>
        <w:t>（九）企业信誉情况说明</w:t>
      </w:r>
      <w:r>
        <w:tab/>
      </w:r>
      <w:r>
        <w:fldChar w:fldCharType="begin"/>
      </w:r>
      <w:r>
        <w:instrText xml:space="preserve"> PAGEREF _Toc136956382 \h </w:instrText>
      </w:r>
      <w:r>
        <w:fldChar w:fldCharType="separate"/>
      </w:r>
      <w:r>
        <w:t>- 132 -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"_Toc136956383" </w:instrText>
      </w:r>
      <w:r>
        <w:fldChar w:fldCharType="separate"/>
      </w:r>
      <w:r>
        <w:rPr>
          <w:rStyle w:val="73"/>
          <w:rFonts w:hint="eastAsia" w:ascii="宋体" w:hAnsi="宋体"/>
        </w:rPr>
        <w:t>（十）近三年发生的诉讼及仲裁情况</w:t>
      </w:r>
      <w:r>
        <w:tab/>
      </w:r>
      <w:r>
        <w:fldChar w:fldCharType="begin"/>
      </w:r>
      <w:r>
        <w:instrText xml:space="preserve"> PAGEREF _Toc136956383 \h </w:instrText>
      </w:r>
      <w:r>
        <w:fldChar w:fldCharType="separate"/>
      </w:r>
      <w:r>
        <w:t>- 133 -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"_Toc136956384" </w:instrText>
      </w:r>
      <w:r>
        <w:fldChar w:fldCharType="separate"/>
      </w:r>
      <w:r>
        <w:rPr>
          <w:rStyle w:val="73"/>
          <w:rFonts w:hint="eastAsia" w:ascii="宋体" w:hAnsi="宋体"/>
        </w:rPr>
        <w:t>（十一）廉洁自律书</w:t>
      </w:r>
      <w:r>
        <w:tab/>
      </w:r>
      <w:r>
        <w:fldChar w:fldCharType="begin"/>
      </w:r>
      <w:r>
        <w:instrText xml:space="preserve"> PAGEREF _Toc136956384 \h </w:instrText>
      </w:r>
      <w:r>
        <w:fldChar w:fldCharType="separate"/>
      </w:r>
      <w:r>
        <w:t>- 133 -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"_Toc136956385" </w:instrText>
      </w:r>
      <w:r>
        <w:fldChar w:fldCharType="separate"/>
      </w:r>
      <w:r>
        <w:rPr>
          <w:rStyle w:val="73"/>
          <w:rFonts w:hint="eastAsia" w:ascii="宋体" w:hAnsi="宋体"/>
        </w:rPr>
        <w:t>（十二）拟派人员不更换、不缺失承诺</w:t>
      </w:r>
      <w:r>
        <w:tab/>
      </w:r>
      <w:r>
        <w:fldChar w:fldCharType="begin"/>
      </w:r>
      <w:r>
        <w:instrText xml:space="preserve"> PAGEREF _Toc136956385 \h </w:instrText>
      </w:r>
      <w:r>
        <w:fldChar w:fldCharType="separate"/>
      </w:r>
      <w:r>
        <w:t>- 134 -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"_Toc136956386" </w:instrText>
      </w:r>
      <w:r>
        <w:fldChar w:fldCharType="separate"/>
      </w:r>
      <w:r>
        <w:rPr>
          <w:rStyle w:val="73"/>
          <w:rFonts w:hint="eastAsia" w:ascii="宋体" w:hAnsi="宋体"/>
        </w:rPr>
        <w:t>（十三）类似业绩证明材料原件扫描件</w:t>
      </w:r>
      <w:r>
        <w:tab/>
      </w:r>
      <w:r>
        <w:fldChar w:fldCharType="begin"/>
      </w:r>
      <w:r>
        <w:instrText xml:space="preserve"> PAGEREF _Toc136956386 \h </w:instrText>
      </w:r>
      <w:r>
        <w:fldChar w:fldCharType="separate"/>
      </w:r>
      <w:r>
        <w:t>- 134 -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"_Toc136956387" </w:instrText>
      </w:r>
      <w:r>
        <w:fldChar w:fldCharType="separate"/>
      </w:r>
      <w:r>
        <w:rPr>
          <w:rStyle w:val="73"/>
          <w:rFonts w:hint="eastAsia" w:ascii="宋体" w:hAnsi="宋体"/>
        </w:rPr>
        <w:t>（十四）项目负责人（兼设计负责人）简历表</w:t>
      </w:r>
      <w:r>
        <w:tab/>
      </w:r>
      <w:r>
        <w:fldChar w:fldCharType="begin"/>
      </w:r>
      <w:r>
        <w:instrText xml:space="preserve"> PAGEREF _Toc136956387 \h </w:instrText>
      </w:r>
      <w:r>
        <w:fldChar w:fldCharType="separate"/>
      </w:r>
      <w:r>
        <w:t>- 135 -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"_Toc136956388" </w:instrText>
      </w:r>
      <w:r>
        <w:fldChar w:fldCharType="separate"/>
      </w:r>
      <w:r>
        <w:rPr>
          <w:rStyle w:val="73"/>
          <w:rFonts w:hint="eastAsia" w:ascii="宋体" w:hAnsi="宋体"/>
        </w:rPr>
        <w:t>（十五）施工负责人（项目经理）简历表</w:t>
      </w:r>
      <w:r>
        <w:tab/>
      </w:r>
      <w:r>
        <w:fldChar w:fldCharType="begin"/>
      </w:r>
      <w:r>
        <w:instrText xml:space="preserve"> PAGEREF _Toc136956388 \h </w:instrText>
      </w:r>
      <w:r>
        <w:fldChar w:fldCharType="separate"/>
      </w:r>
      <w:r>
        <w:t>- 136 -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"_Toc136956389" </w:instrText>
      </w:r>
      <w:r>
        <w:fldChar w:fldCharType="separate"/>
      </w:r>
      <w:r>
        <w:rPr>
          <w:rStyle w:val="73"/>
          <w:rFonts w:hint="eastAsia" w:ascii="宋体" w:hAnsi="宋体"/>
        </w:rPr>
        <w:t>（十六）施工技术负责人简历表</w:t>
      </w:r>
      <w:r>
        <w:tab/>
      </w:r>
      <w:r>
        <w:fldChar w:fldCharType="begin"/>
      </w:r>
      <w:r>
        <w:instrText xml:space="preserve"> PAGEREF _Toc136956389 \h </w:instrText>
      </w:r>
      <w:r>
        <w:fldChar w:fldCharType="separate"/>
      </w:r>
      <w:r>
        <w:t>- 137 -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"_Toc136956390" </w:instrText>
      </w:r>
      <w:r>
        <w:fldChar w:fldCharType="separate"/>
      </w:r>
      <w:r>
        <w:rPr>
          <w:rStyle w:val="73"/>
          <w:rFonts w:hint="eastAsia" w:ascii="宋体" w:hAnsi="宋体"/>
        </w:rPr>
        <w:t>（十七）投标人承诺书</w:t>
      </w:r>
      <w:r>
        <w:tab/>
      </w:r>
      <w:r>
        <w:fldChar w:fldCharType="begin"/>
      </w:r>
      <w:r>
        <w:instrText xml:space="preserve"> PAGEREF _Toc136956390 \h </w:instrText>
      </w:r>
      <w:r>
        <w:fldChar w:fldCharType="separate"/>
      </w:r>
      <w:r>
        <w:t>- 138 -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"_Toc136956391" </w:instrText>
      </w:r>
      <w:r>
        <w:fldChar w:fldCharType="separate"/>
      </w:r>
      <w:r>
        <w:rPr>
          <w:rStyle w:val="73"/>
          <w:rFonts w:hint="eastAsia" w:ascii="宋体" w:hAnsi="宋体"/>
        </w:rPr>
        <w:t>（十八）其他资料</w:t>
      </w:r>
      <w:r>
        <w:tab/>
      </w:r>
      <w:r>
        <w:fldChar w:fldCharType="begin"/>
      </w:r>
      <w:r>
        <w:instrText xml:space="preserve"> PAGEREF _Toc136956391 \h </w:instrText>
      </w:r>
      <w:r>
        <w:fldChar w:fldCharType="separate"/>
      </w:r>
      <w:r>
        <w:t>- 138 -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"_Toc136956392" </w:instrText>
      </w:r>
      <w:r>
        <w:fldChar w:fldCharType="separate"/>
      </w:r>
      <w:r>
        <w:rPr>
          <w:rStyle w:val="73"/>
          <w:rFonts w:hint="eastAsia" w:ascii="宋体" w:hAnsi="宋体"/>
          <w:kern w:val="0"/>
        </w:rPr>
        <w:t>二、投标文件技术部分格式</w:t>
      </w:r>
      <w:r>
        <w:tab/>
      </w:r>
      <w:r>
        <w:fldChar w:fldCharType="begin"/>
      </w:r>
      <w:r>
        <w:instrText xml:space="preserve"> PAGEREF _Toc136956392 \h </w:instrText>
      </w:r>
      <w:r>
        <w:fldChar w:fldCharType="separate"/>
      </w:r>
      <w:r>
        <w:t>- 139 -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"_Toc136956393" </w:instrText>
      </w:r>
      <w:r>
        <w:fldChar w:fldCharType="separate"/>
      </w:r>
      <w:r>
        <w:rPr>
          <w:rStyle w:val="73"/>
          <w:rFonts w:hint="eastAsia" w:ascii="宋体" w:hAnsi="宋体"/>
        </w:rPr>
        <w:t>（一）设计及施工组织技术部分</w:t>
      </w:r>
      <w:r>
        <w:tab/>
      </w:r>
      <w:r>
        <w:fldChar w:fldCharType="begin"/>
      </w:r>
      <w:r>
        <w:instrText xml:space="preserve"> PAGEREF _Toc136956393 \h </w:instrText>
      </w:r>
      <w:r>
        <w:fldChar w:fldCharType="separate"/>
      </w:r>
      <w:r>
        <w:t>- 139 -</w:t>
      </w:r>
      <w:r>
        <w:fldChar w:fldCharType="end"/>
      </w:r>
      <w:r>
        <w:fldChar w:fldCharType="end"/>
      </w:r>
    </w:p>
    <w:p>
      <w:pPr>
        <w:pStyle w:val="29"/>
        <w:tabs>
          <w:tab w:val="right" w:leader="dot" w:pos="9288"/>
        </w:tabs>
        <w:rPr>
          <w:rFonts w:asciiTheme="minorHAnsi" w:hAnsiTheme="minorHAnsi" w:eastAsiaTheme="minorEastAsia" w:cstheme="minorBidi"/>
          <w:szCs w:val="22"/>
        </w:rPr>
      </w:pPr>
      <w:r>
        <w:fldChar w:fldCharType="begin"/>
      </w:r>
      <w:r>
        <w:instrText xml:space="preserve"> HYPERLINK \l "_Toc136956394" </w:instrText>
      </w:r>
      <w:r>
        <w:fldChar w:fldCharType="separate"/>
      </w:r>
      <w:r>
        <w:rPr>
          <w:rStyle w:val="73"/>
          <w:rFonts w:hint="eastAsia" w:ascii="宋体" w:hAnsi="宋体"/>
          <w:kern w:val="0"/>
        </w:rPr>
        <w:t>三、投标文件商务部分格式</w:t>
      </w:r>
      <w:r>
        <w:tab/>
      </w:r>
      <w:r>
        <w:fldChar w:fldCharType="begin"/>
      </w:r>
      <w:r>
        <w:instrText xml:space="preserve"> PAGEREF _Toc136956394 \h </w:instrText>
      </w:r>
      <w:r>
        <w:fldChar w:fldCharType="separate"/>
      </w:r>
      <w:r>
        <w:t>- 141 -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"_Toc136956395" </w:instrText>
      </w:r>
      <w:r>
        <w:fldChar w:fldCharType="separate"/>
      </w:r>
      <w:r>
        <w:rPr>
          <w:rStyle w:val="73"/>
          <w:rFonts w:hint="eastAsia" w:ascii="宋体" w:hAnsi="宋体"/>
        </w:rPr>
        <w:t>（一）投标函</w:t>
      </w:r>
      <w:r>
        <w:tab/>
      </w:r>
      <w:r>
        <w:fldChar w:fldCharType="begin"/>
      </w:r>
      <w:r>
        <w:instrText xml:space="preserve"> PAGEREF _Toc136956395 \h </w:instrText>
      </w:r>
      <w:r>
        <w:fldChar w:fldCharType="separate"/>
      </w:r>
      <w:r>
        <w:t>- 141 -</w:t>
      </w:r>
      <w:r>
        <w:fldChar w:fldCharType="end"/>
      </w:r>
      <w:r>
        <w:fldChar w:fldCharType="end"/>
      </w:r>
    </w:p>
    <w:p>
      <w:pPr>
        <w:pStyle w:val="40"/>
        <w:tabs>
          <w:tab w:val="right" w:leader="dot" w:pos="9288"/>
        </w:tabs>
        <w:rPr>
          <w:rFonts w:asciiTheme="minorHAnsi" w:hAnsiTheme="minorHAnsi" w:eastAsiaTheme="minorEastAsia" w:cstheme="minorBidi"/>
          <w:kern w:val="2"/>
          <w:sz w:val="21"/>
          <w:szCs w:val="22"/>
        </w:rPr>
      </w:pPr>
      <w:r>
        <w:fldChar w:fldCharType="begin"/>
      </w:r>
      <w:r>
        <w:instrText xml:space="preserve"> HYPERLINK \l "_Toc136956396" </w:instrText>
      </w:r>
      <w:r>
        <w:fldChar w:fldCharType="separate"/>
      </w:r>
      <w:r>
        <w:rPr>
          <w:rStyle w:val="73"/>
          <w:rFonts w:hint="eastAsia" w:ascii="宋体" w:hAnsi="宋体"/>
        </w:rPr>
        <w:t>（二）投标报价一览表</w:t>
      </w:r>
      <w:r>
        <w:tab/>
      </w:r>
      <w:r>
        <w:fldChar w:fldCharType="begin"/>
      </w:r>
      <w:r>
        <w:instrText xml:space="preserve"> PAGEREF _Toc136956396 \h </w:instrText>
      </w:r>
      <w:r>
        <w:fldChar w:fldCharType="separate"/>
      </w:r>
      <w:r>
        <w:t>- 142 -</w:t>
      </w:r>
      <w:r>
        <w:fldChar w:fldCharType="end"/>
      </w:r>
      <w:r>
        <w:fldChar w:fldCharType="end"/>
      </w:r>
    </w:p>
    <w:p>
      <w:pPr>
        <w:pStyle w:val="4"/>
        <w:spacing w:before="120" w:after="120" w:line="360" w:lineRule="exact"/>
        <w:jc w:val="center"/>
        <w:rPr>
          <w:rFonts w:ascii="宋体" w:hAnsi="宋体"/>
          <w:bCs w:val="0"/>
          <w:color w:val="000000" w:themeColor="text1"/>
          <w:szCs w:val="21"/>
          <w14:textFill>
            <w14:solidFill>
              <w14:schemeClr w14:val="tx1"/>
            </w14:solidFill>
          </w14:textFill>
        </w:rPr>
      </w:pPr>
      <w:r>
        <w:rPr>
          <w:rFonts w:ascii="宋体" w:hAnsi="宋体"/>
          <w:bCs w:val="0"/>
          <w:caps/>
          <w:color w:val="000000" w:themeColor="text1"/>
          <w:kern w:val="2"/>
          <w:szCs w:val="21"/>
          <w14:textFill>
            <w14:solidFill>
              <w14:schemeClr w14:val="tx1"/>
            </w14:solidFill>
          </w14:textFill>
        </w:rPr>
        <w:fldChar w:fldCharType="end"/>
      </w:r>
      <w:r>
        <w:rPr>
          <w:rFonts w:ascii="宋体" w:hAnsi="宋体"/>
          <w:bCs w:val="0"/>
          <w:color w:val="000000" w:themeColor="text1"/>
          <w:szCs w:val="21"/>
          <w14:textFill>
            <w14:solidFill>
              <w14:schemeClr w14:val="tx1"/>
            </w14:solidFill>
          </w14:textFill>
        </w:rPr>
        <w:br w:type="page"/>
      </w:r>
      <w:bookmarkStart w:id="1" w:name="_Toc99789128"/>
    </w:p>
    <w:p>
      <w:pPr>
        <w:pStyle w:val="4"/>
        <w:spacing w:before="120" w:after="120" w:line="380" w:lineRule="exact"/>
        <w:jc w:val="center"/>
        <w:rPr>
          <w:rFonts w:ascii="宋体" w:hAnsi="宋体"/>
          <w:bCs w:val="0"/>
          <w:color w:val="000000" w:themeColor="text1"/>
          <w:szCs w:val="21"/>
          <w14:textFill>
            <w14:solidFill>
              <w14:schemeClr w14:val="tx1"/>
            </w14:solidFill>
          </w14:textFill>
        </w:rPr>
      </w:pPr>
    </w:p>
    <w:p>
      <w:pPr>
        <w:pStyle w:val="4"/>
        <w:spacing w:before="120" w:after="120" w:line="520" w:lineRule="exact"/>
        <w:jc w:val="center"/>
        <w:rPr>
          <w:rFonts w:ascii="宋体" w:hAnsi="宋体"/>
          <w:bCs w:val="0"/>
          <w:color w:val="000000" w:themeColor="text1"/>
          <w:sz w:val="40"/>
          <w14:textFill>
            <w14:solidFill>
              <w14:schemeClr w14:val="tx1"/>
            </w14:solidFill>
          </w14:textFill>
        </w:rPr>
      </w:pPr>
      <w:bookmarkStart w:id="2" w:name="_Toc136956279"/>
      <w:r>
        <w:rPr>
          <w:rFonts w:hint="eastAsia" w:ascii="宋体" w:hAnsi="宋体"/>
          <w:bCs w:val="0"/>
          <w:color w:val="000000" w:themeColor="text1"/>
          <w:sz w:val="40"/>
          <w14:textFill>
            <w14:solidFill>
              <w14:schemeClr w14:val="tx1"/>
            </w14:solidFill>
          </w14:textFill>
        </w:rPr>
        <w:t>注意事项</w:t>
      </w:r>
      <w:bookmarkEnd w:id="1"/>
      <w:bookmarkEnd w:id="2"/>
    </w:p>
    <w:p>
      <w:pPr>
        <w:tabs>
          <w:tab w:val="left" w:pos="840"/>
          <w:tab w:val="left" w:pos="945"/>
        </w:tabs>
        <w:spacing w:line="44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各投标人：</w:t>
      </w:r>
    </w:p>
    <w:p>
      <w:pPr>
        <w:tabs>
          <w:tab w:val="left" w:pos="840"/>
          <w:tab w:val="left" w:pos="945"/>
        </w:tabs>
        <w:spacing w:line="440" w:lineRule="exact"/>
        <w:ind w:firstLine="434" w:firstLineChars="200"/>
        <w:jc w:val="left"/>
        <w:rPr>
          <w:rFonts w:ascii="宋体" w:hAnsi="宋体" w:cs="宋体"/>
          <w:b/>
          <w:color w:val="000000" w:themeColor="text1"/>
          <w:spacing w:val="-12"/>
          <w:sz w:val="24"/>
          <w14:textFill>
            <w14:solidFill>
              <w14:schemeClr w14:val="tx1"/>
            </w14:solidFill>
          </w14:textFill>
        </w:rPr>
      </w:pPr>
      <w:r>
        <w:rPr>
          <w:rFonts w:hint="eastAsia" w:ascii="宋体" w:hAnsi="宋体" w:cs="宋体"/>
          <w:b/>
          <w:color w:val="000000" w:themeColor="text1"/>
          <w:spacing w:val="-12"/>
          <w:sz w:val="24"/>
          <w14:textFill>
            <w14:solidFill>
              <w14:schemeClr w14:val="tx1"/>
            </w14:solidFill>
          </w14:textFill>
        </w:rPr>
        <w:t>根据相关要求，本项目开标采用“智能开标”的方式（即投标人无需到现场参加开标会议），开标网址为：云南省公共资源交易信息网</w:t>
      </w:r>
      <w:r>
        <w:rPr>
          <w:rFonts w:ascii="宋体" w:hAnsi="宋体" w:cs="宋体"/>
          <w:b/>
          <w:color w:val="000000" w:themeColor="text1"/>
          <w:spacing w:val="-12"/>
          <w:sz w:val="24"/>
          <w14:textFill>
            <w14:solidFill>
              <w14:schemeClr w14:val="tx1"/>
            </w14:solidFill>
          </w14:textFill>
        </w:rPr>
        <w:t>（昆明市）</w:t>
      </w:r>
      <w:r>
        <w:rPr>
          <w:rFonts w:hint="eastAsia" w:ascii="宋体" w:hAnsi="宋体" w:cs="宋体"/>
          <w:b/>
          <w:color w:val="000000" w:themeColor="text1"/>
          <w:spacing w:val="-12"/>
          <w:sz w:val="24"/>
          <w14:textFill>
            <w14:solidFill>
              <w14:schemeClr w14:val="tx1"/>
            </w14:solidFill>
          </w14:textFill>
        </w:rPr>
        <w:t>（网址：</w:t>
      </w:r>
      <w:r>
        <w:rPr>
          <w:rFonts w:ascii="宋体" w:hAnsi="宋体" w:cs="宋体"/>
          <w:b/>
          <w:color w:val="000000" w:themeColor="text1"/>
          <w:spacing w:val="-12"/>
          <w:sz w:val="24"/>
          <w14:textFill>
            <w14:solidFill>
              <w14:schemeClr w14:val="tx1"/>
            </w14:solidFill>
          </w14:textFill>
        </w:rPr>
        <w:t>https://ggzy.yn.gov.cn/#/homePage）。</w:t>
      </w:r>
    </w:p>
    <w:p>
      <w:pPr>
        <w:tabs>
          <w:tab w:val="left" w:pos="840"/>
          <w:tab w:val="left" w:pos="945"/>
        </w:tabs>
        <w:spacing w:line="440" w:lineRule="exact"/>
        <w:ind w:firstLine="450" w:firstLineChars="200"/>
        <w:jc w:val="left"/>
        <w:rPr>
          <w:rFonts w:ascii="宋体" w:hAnsi="宋体" w:cs="宋体"/>
          <w:b/>
          <w:color w:val="000000" w:themeColor="text1"/>
          <w:spacing w:val="-8"/>
          <w:sz w:val="24"/>
          <w14:textFill>
            <w14:solidFill>
              <w14:schemeClr w14:val="tx1"/>
            </w14:solidFill>
          </w14:textFill>
        </w:rPr>
      </w:pPr>
      <w:r>
        <w:rPr>
          <w:rFonts w:hint="eastAsia" w:ascii="宋体" w:hAnsi="宋体" w:cs="宋体"/>
          <w:b/>
          <w:color w:val="000000" w:themeColor="text1"/>
          <w:spacing w:val="-8"/>
          <w:sz w:val="24"/>
          <w14:textFill>
            <w14:solidFill>
              <w14:schemeClr w14:val="tx1"/>
            </w14:solidFill>
          </w14:textFill>
        </w:rPr>
        <w:t>注：①智能开标的操作流程详见《云南省公共资源交易电子化平台智能开标系统培训教材（适用投标人和供应商）》（</w:t>
      </w:r>
      <w:r>
        <w:rPr>
          <w:rFonts w:ascii="宋体" w:hAnsi="宋体" w:cs="宋体"/>
          <w:b/>
          <w:color w:val="000000" w:themeColor="text1"/>
          <w:spacing w:val="-8"/>
          <w:sz w:val="24"/>
          <w14:textFill>
            <w14:solidFill>
              <w14:schemeClr w14:val="tx1"/>
            </w14:solidFill>
          </w14:textFill>
        </w:rPr>
        <w:t>http://116.55.195.71:8001/ynggfwpt-xinxi-web/#/homePage）及附件。</w:t>
      </w:r>
    </w:p>
    <w:p>
      <w:pPr>
        <w:tabs>
          <w:tab w:val="left" w:pos="840"/>
          <w:tab w:val="left" w:pos="945"/>
        </w:tabs>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②投标人提前熟悉智能开标的相关操作。</w:t>
      </w:r>
    </w:p>
    <w:p>
      <w:pPr>
        <w:tabs>
          <w:tab w:val="left" w:pos="840"/>
          <w:tab w:val="left" w:pos="945"/>
        </w:tabs>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③投标人须在招标文件规定的投标截止时间前登录“网上开标室”，根据网上远程解密、开标的要求，在规定的时间完成解密等操作。若投标人未在规定时间完成相关操作，则视为撤销其投标文件，不再进入评标阶段。</w:t>
      </w:r>
    </w:p>
    <w:p>
      <w:pPr>
        <w:tabs>
          <w:tab w:val="left" w:pos="840"/>
          <w:tab w:val="left" w:pos="945"/>
        </w:tabs>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④投标人无需到现场参加开标会议。开标过程中如有问题，可以在线提出异议，由代理机构给予回复。在规定的异议询问时间内未提出异议的，则视为对开标结果无异议。</w:t>
      </w:r>
    </w:p>
    <w:p>
      <w:pPr>
        <w:tabs>
          <w:tab w:val="left" w:pos="840"/>
          <w:tab w:val="left" w:pos="945"/>
        </w:tabs>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技术操作咨询：北京筑龙信息技术有限责任公司服务热线：</w:t>
      </w:r>
      <w:r>
        <w:rPr>
          <w:rFonts w:ascii="宋体" w:hAnsi="宋体" w:cs="宋体"/>
          <w:b/>
          <w:color w:val="000000" w:themeColor="text1"/>
          <w:sz w:val="24"/>
          <w14:textFill>
            <w14:solidFill>
              <w14:schemeClr w14:val="tx1"/>
            </w14:solidFill>
          </w14:textFill>
        </w:rPr>
        <w:t>010-86483801。</w:t>
      </w:r>
    </w:p>
    <w:p>
      <w:pPr>
        <w:pStyle w:val="5"/>
        <w:tabs>
          <w:tab w:val="right" w:leader="dot" w:pos="9214"/>
        </w:tabs>
        <w:spacing w:line="320" w:lineRule="exact"/>
        <w:jc w:val="center"/>
        <w:rPr>
          <w:rFonts w:ascii="宋体" w:hAnsi="宋体"/>
          <w:bCs w:val="0"/>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firstLine="422"/>
        <w:rPr>
          <w:b/>
          <w:color w:val="000000" w:themeColor="text1"/>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r>
        <w:rPr>
          <w:rFonts w:ascii="宋体" w:hAnsi="宋体"/>
          <w:b/>
          <w:color w:val="000000" w:themeColor="text1"/>
          <w:sz w:val="30"/>
          <w:szCs w:val="30"/>
          <w:u w:val="singl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4810760" cy="2278380"/>
                <wp:effectExtent l="19050" t="19050" r="27940" b="26670"/>
                <wp:wrapNone/>
                <wp:docPr id="18" name="Rectangle 2"/>
                <wp:cNvGraphicFramePr/>
                <a:graphic xmlns:a="http://schemas.openxmlformats.org/drawingml/2006/main">
                  <a:graphicData uri="http://schemas.microsoft.com/office/word/2010/wordprocessingShape">
                    <wps:wsp>
                      <wps:cNvSpPr txBox="1">
                        <a:spLocks noChangeArrowheads="1"/>
                      </wps:cNvSpPr>
                      <wps:spPr bwMode="auto">
                        <a:xfrm>
                          <a:off x="0" y="0"/>
                          <a:ext cx="4810760" cy="2278380"/>
                        </a:xfrm>
                        <a:prstGeom prst="rect">
                          <a:avLst/>
                        </a:prstGeom>
                        <a:solidFill>
                          <a:srgbClr val="FFFFFF"/>
                        </a:solidFill>
                        <a:ln w="57150" cmpd="thickThin">
                          <a:solidFill>
                            <a:srgbClr val="000000"/>
                          </a:solidFill>
                          <a:miter lim="800000"/>
                        </a:ln>
                      </wps:spPr>
                      <wps:txbx>
                        <w:txbxContent>
                          <w:p/>
                        </w:txbxContent>
                      </wps:txbx>
                      <wps:bodyPr rot="0" vert="horz" wrap="square" anchor="t" anchorCtr="0" upright="1"/>
                    </wps:wsp>
                  </a:graphicData>
                </a:graphic>
              </wp:anchor>
            </w:drawing>
          </mc:Choice>
          <mc:Fallback>
            <w:pict>
              <v:shape id="Rectangle 2" o:spid="_x0000_s1026" o:spt="202" type="#_x0000_t202" style="position:absolute;left:0pt;margin-top:0pt;height:179.4pt;width:378.8pt;mso-position-horizontal:center;z-index:-251657216;mso-width-relative:page;mso-height-relative:page;" fillcolor="#FFFFFF" filled="t" stroked="t" coordsize="21600,21600" o:gfxdata="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yQHL2AAAAAUBAAAP&#10;AAAAAAAAAAEAIAAAACIAAABkcnMvZG93bnJldi54bWxQSwECFAAUAAAACACHTuJAy0yPPxgCAABN&#10;BAAADgAAAAAAAAABACAAAAAnAQAAZHJzL2Uyb0RvYy54bWxQSwUGAAAAAAYABgBZAQAAsQUAAAAA&#10;">
                <v:fill on="t" focussize="0,0"/>
                <v:stroke weight="4.5pt" color="#000000" linestyle="thickThin" miterlimit="8" joinstyle="miter"/>
                <v:imagedata o:title=""/>
                <o:lock v:ext="edit" aspectratio="f"/>
                <v:textbox>
                  <w:txbxContent>
                    <w:p/>
                  </w:txbxContent>
                </v:textbox>
              </v:shape>
            </w:pict>
          </mc:Fallback>
        </mc:AlternateContent>
      </w:r>
    </w:p>
    <w:p>
      <w:pPr>
        <w:spacing w:line="360" w:lineRule="auto"/>
        <w:rPr>
          <w:rFonts w:ascii="宋体" w:hAnsi="宋体"/>
          <w:b/>
          <w:color w:val="000000" w:themeColor="text1"/>
          <w:sz w:val="24"/>
          <w:u w:val="single"/>
          <w14:textFill>
            <w14:solidFill>
              <w14:schemeClr w14:val="tx1"/>
            </w14:solidFill>
          </w14:textFill>
        </w:rPr>
      </w:pPr>
    </w:p>
    <w:p>
      <w:pPr>
        <w:spacing w:line="360" w:lineRule="auto"/>
        <w:rPr>
          <w:rFonts w:ascii="宋体" w:hAnsi="宋体"/>
          <w:b/>
          <w:color w:val="000000" w:themeColor="text1"/>
          <w:sz w:val="24"/>
          <w:u w:val="single"/>
          <w14:textFill>
            <w14:solidFill>
              <w14:schemeClr w14:val="tx1"/>
            </w14:solidFill>
          </w14:textFill>
        </w:rPr>
      </w:pPr>
    </w:p>
    <w:p>
      <w:pPr>
        <w:rPr>
          <w:rFonts w:ascii="宋体" w:hAnsi="宋体"/>
          <w:b/>
          <w:color w:val="000000" w:themeColor="text1"/>
          <w:sz w:val="24"/>
          <w:u w:val="single"/>
          <w14:textFill>
            <w14:solidFill>
              <w14:schemeClr w14:val="tx1"/>
            </w14:solidFill>
          </w14:textFill>
        </w:rPr>
      </w:pPr>
    </w:p>
    <w:p>
      <w:pPr>
        <w:pStyle w:val="4"/>
        <w:jc w:val="center"/>
        <w:rPr>
          <w:rFonts w:ascii="宋体" w:hAnsi="宋体"/>
          <w:bCs w:val="0"/>
          <w:color w:val="000000" w:themeColor="text1"/>
          <w:sz w:val="44"/>
          <w:u w:val="single"/>
          <w14:textFill>
            <w14:solidFill>
              <w14:schemeClr w14:val="tx1"/>
            </w14:solidFill>
          </w14:textFill>
        </w:rPr>
      </w:pPr>
      <w:bookmarkStart w:id="3" w:name="_Toc300848183"/>
      <w:bookmarkStart w:id="4" w:name="_Toc224363892"/>
      <w:bookmarkStart w:id="5" w:name="_Toc136956280"/>
      <w:bookmarkStart w:id="6" w:name="_Toc347307757"/>
      <w:bookmarkStart w:id="7" w:name="_Toc229583196"/>
      <w:bookmarkStart w:id="8" w:name="_Toc529797917"/>
      <w:r>
        <w:rPr>
          <w:rFonts w:hint="eastAsia" w:ascii="宋体" w:hAnsi="宋体"/>
          <w:bCs w:val="0"/>
          <w:color w:val="000000" w:themeColor="text1"/>
          <w:sz w:val="44"/>
          <w14:textFill>
            <w14:solidFill>
              <w14:schemeClr w14:val="tx1"/>
            </w14:solidFill>
          </w14:textFill>
        </w:rPr>
        <w:t>第一卷</w:t>
      </w:r>
      <w:bookmarkEnd w:id="3"/>
      <w:bookmarkEnd w:id="4"/>
      <w:bookmarkEnd w:id="5"/>
      <w:bookmarkEnd w:id="6"/>
      <w:bookmarkEnd w:id="7"/>
      <w:bookmarkEnd w:id="8"/>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14:textFill>
            <w14:solidFill>
              <w14:schemeClr w14:val="tx1"/>
            </w14:solidFill>
          </w14:textFill>
        </w:rPr>
        <w:sectPr>
          <w:footerReference r:id="rId6" w:type="default"/>
          <w:type w:val="nextColumn"/>
          <w:pgSz w:w="11906" w:h="16838"/>
          <w:pgMar w:top="1304" w:right="1304" w:bottom="1304" w:left="1304" w:header="851" w:footer="992" w:gutter="0"/>
          <w:pgNumType w:fmt="numberInDash"/>
          <w:cols w:space="720" w:num="1"/>
          <w:titlePg/>
          <w:docGrid w:linePitch="312" w:charSpace="0"/>
        </w:sectPr>
      </w:pPr>
    </w:p>
    <w:p>
      <w:pPr>
        <w:pStyle w:val="5"/>
        <w:spacing w:line="400" w:lineRule="exact"/>
        <w:jc w:val="center"/>
        <w:rPr>
          <w:rFonts w:ascii="宋体" w:hAnsi="宋体" w:eastAsia="宋体"/>
          <w:bCs w:val="0"/>
          <w:color w:val="000000" w:themeColor="text1"/>
          <w:sz w:val="44"/>
          <w:szCs w:val="44"/>
          <w14:textFill>
            <w14:solidFill>
              <w14:schemeClr w14:val="tx1"/>
            </w14:solidFill>
          </w14:textFill>
        </w:rPr>
      </w:pPr>
      <w:bookmarkStart w:id="9" w:name="_Toc300848184"/>
      <w:bookmarkStart w:id="10" w:name="_Toc347307758"/>
      <w:bookmarkStart w:id="11" w:name="_Toc136956281"/>
      <w:bookmarkStart w:id="12" w:name="_Toc529797918"/>
      <w:r>
        <w:rPr>
          <w:rFonts w:hint="eastAsia" w:ascii="宋体" w:hAnsi="宋体" w:eastAsia="宋体"/>
          <w:bCs w:val="0"/>
          <w:color w:val="000000" w:themeColor="text1"/>
          <w:sz w:val="44"/>
          <w:szCs w:val="44"/>
          <w14:textFill>
            <w14:solidFill>
              <w14:schemeClr w14:val="tx1"/>
            </w14:solidFill>
          </w14:textFill>
        </w:rPr>
        <w:t>第一章</w:t>
      </w:r>
      <w:bookmarkEnd w:id="9"/>
      <w:r>
        <w:rPr>
          <w:rFonts w:hint="eastAsia" w:ascii="宋体" w:hAnsi="宋体" w:eastAsia="宋体"/>
          <w:bCs w:val="0"/>
          <w:color w:val="000000" w:themeColor="text1"/>
          <w:sz w:val="44"/>
          <w:szCs w:val="44"/>
          <w14:textFill>
            <w14:solidFill>
              <w14:schemeClr w14:val="tx1"/>
            </w14:solidFill>
          </w14:textFill>
        </w:rPr>
        <w:t xml:space="preserve"> 招标公告</w:t>
      </w:r>
      <w:bookmarkEnd w:id="10"/>
      <w:bookmarkEnd w:id="11"/>
      <w:bookmarkEnd w:id="12"/>
    </w:p>
    <w:p>
      <w:pPr>
        <w:spacing w:line="276"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经开区143号路设计施工总承包招标公告</w:t>
      </w:r>
    </w:p>
    <w:p>
      <w:pPr>
        <w:spacing w:line="400" w:lineRule="exact"/>
        <w:ind w:right="139" w:rightChars="66"/>
        <w:jc w:val="center"/>
        <w:rPr>
          <w:rFonts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pict>
          <v:rect id="_x0000_i1025" o:spt="1" style="height:0.75pt;width:0.05pt;" fillcolor="#808080" filled="t" stroked="f" coordsize="21600,21600" o:hr="t" o:hrstd="t" o:hralign="center">
            <v:path/>
            <v:fill on="t" focussize="0,0"/>
            <v:stroke on="f"/>
            <v:imagedata o:title=""/>
            <o:lock v:ext="edit"/>
            <w10:wrap type="none"/>
            <w10:anchorlock/>
          </v:rect>
        </w:pict>
      </w:r>
    </w:p>
    <w:p>
      <w:pPr>
        <w:spacing w:line="360" w:lineRule="auto"/>
        <w:rPr>
          <w:rFonts w:ascii="宋体" w:hAnsi="宋体"/>
          <w:b/>
          <w:color w:val="000000" w:themeColor="text1"/>
          <w:sz w:val="24"/>
          <w14:textFill>
            <w14:solidFill>
              <w14:schemeClr w14:val="tx1"/>
            </w14:solidFill>
          </w14:textFill>
        </w:rPr>
      </w:pPr>
      <w:bookmarkStart w:id="13" w:name="_Toc281431818"/>
      <w:bookmarkStart w:id="14" w:name="_Toc281521267"/>
      <w:bookmarkStart w:id="15" w:name="_Toc281305532"/>
      <w:r>
        <w:rPr>
          <w:rFonts w:ascii="宋体" w:hAnsi="宋体"/>
          <w:b/>
          <w:color w:val="000000" w:themeColor="text1"/>
          <w:sz w:val="24"/>
          <w14:textFill>
            <w14:solidFill>
              <w14:schemeClr w14:val="tx1"/>
            </w14:solidFill>
          </w14:textFill>
        </w:rPr>
        <w:t>1．招标条件</w:t>
      </w:r>
    </w:p>
    <w:p>
      <w:pPr>
        <w:autoSpaceDE w:val="0"/>
        <w:autoSpaceDN w:val="0"/>
        <w:adjustRightInd w:val="0"/>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snapToGrid w:val="0"/>
          <w:color w:val="000000" w:themeColor="text1"/>
          <w:sz w:val="24"/>
          <w14:textFill>
            <w14:solidFill>
              <w14:schemeClr w14:val="tx1"/>
            </w14:solidFill>
          </w14:textFill>
        </w:rPr>
        <w:t>本招标项目</w:t>
      </w:r>
      <w:r>
        <w:rPr>
          <w:rFonts w:hint="eastAsia" w:ascii="宋体" w:hAnsi="宋体"/>
          <w:snapToGrid w:val="0"/>
          <w:color w:val="000000" w:themeColor="text1"/>
          <w:sz w:val="24"/>
          <w:u w:val="single"/>
          <w14:textFill>
            <w14:solidFill>
              <w14:schemeClr w14:val="tx1"/>
            </w14:solidFill>
          </w14:textFill>
        </w:rPr>
        <w:t>经开区143号路设计施工总承包</w:t>
      </w:r>
      <w:r>
        <w:rPr>
          <w:rFonts w:ascii="宋体" w:hAnsi="宋体"/>
          <w:snapToGrid w:val="0"/>
          <w:color w:val="000000" w:themeColor="text1"/>
          <w:sz w:val="24"/>
          <w:u w:val="single"/>
          <w14:textFill>
            <w14:solidFill>
              <w14:schemeClr w14:val="tx1"/>
            </w14:solidFill>
          </w14:textFill>
        </w:rPr>
        <w:fldChar w:fldCharType="begin"/>
      </w:r>
      <w:r>
        <w:rPr>
          <w:rFonts w:ascii="宋体" w:hAnsi="宋体"/>
          <w:snapToGrid w:val="0"/>
          <w:color w:val="000000" w:themeColor="text1"/>
          <w:sz w:val="24"/>
          <w:u w:val="single"/>
          <w14:textFill>
            <w14:solidFill>
              <w14:schemeClr w14:val="tx1"/>
            </w14:solidFill>
          </w14:textFill>
        </w:rPr>
        <w:instrText xml:space="preserve"> AUTOTEXT  input10 \* MERGEFORMAT </w:instrText>
      </w:r>
      <w:r>
        <w:rPr>
          <w:rFonts w:ascii="宋体" w:hAnsi="宋体"/>
          <w:snapToGrid w:val="0"/>
          <w:color w:val="000000" w:themeColor="text1"/>
          <w:sz w:val="24"/>
          <w:u w:val="single"/>
          <w14:textFill>
            <w14:solidFill>
              <w14:schemeClr w14:val="tx1"/>
            </w14:solidFill>
          </w14:textFill>
        </w:rPr>
        <w:fldChar w:fldCharType="end"/>
      </w:r>
      <w:r>
        <w:rPr>
          <w:rFonts w:hint="eastAsia" w:ascii="宋体" w:hAnsi="宋体"/>
          <w:snapToGrid w:val="0"/>
          <w:color w:val="000000" w:themeColor="text1"/>
          <w:sz w:val="24"/>
          <w14:textFill>
            <w14:solidFill>
              <w14:schemeClr w14:val="tx1"/>
            </w14:solidFill>
          </w14:textFill>
        </w:rPr>
        <w:t>（项目名称）已由</w:t>
      </w:r>
      <w:r>
        <w:rPr>
          <w:rFonts w:hint="eastAsia" w:ascii="宋体" w:hAnsi="宋体"/>
          <w:snapToGrid w:val="0"/>
          <w:color w:val="000000" w:themeColor="text1"/>
          <w:sz w:val="24"/>
          <w:u w:val="single"/>
          <w14:textFill>
            <w14:solidFill>
              <w14:schemeClr w14:val="tx1"/>
            </w14:solidFill>
          </w14:textFill>
        </w:rPr>
        <w:t xml:space="preserve"> 昆明经济技术开发区规划建设局</w:t>
      </w:r>
      <w:r>
        <w:rPr>
          <w:rFonts w:hint="eastAsia" w:ascii="宋体" w:hAnsi="宋体"/>
          <w:snapToGrid w:val="0"/>
          <w:color w:val="000000" w:themeColor="text1"/>
          <w:sz w:val="24"/>
          <w14:textFill>
            <w14:solidFill>
              <w14:schemeClr w14:val="tx1"/>
            </w14:solidFill>
          </w14:textFill>
        </w:rPr>
        <w:t>批准建设</w:t>
      </w:r>
      <w:r>
        <w:rPr>
          <w:rFonts w:hint="eastAsia" w:ascii="宋体" w:hAnsi="宋体"/>
          <w:color w:val="000000" w:themeColor="text1"/>
          <w:sz w:val="24"/>
          <w14:textFill>
            <w14:solidFill>
              <w14:schemeClr w14:val="tx1"/>
            </w14:solidFill>
          </w14:textFill>
        </w:rPr>
        <w:t>，</w:t>
      </w:r>
      <w:r>
        <w:rPr>
          <w:rFonts w:hint="eastAsia" w:ascii="宋体" w:hAnsi="宋体"/>
          <w:snapToGrid w:val="0"/>
          <w:color w:val="000000" w:themeColor="text1"/>
          <w:sz w:val="24"/>
          <w14:textFill>
            <w14:solidFill>
              <w14:schemeClr w14:val="tx1"/>
            </w14:solidFill>
          </w14:textFill>
        </w:rPr>
        <w:t>现已具备招标条件。建设资金来自</w:t>
      </w:r>
      <w:r>
        <w:rPr>
          <w:rFonts w:hint="eastAsia" w:ascii="宋体" w:hAnsi="宋体"/>
          <w:snapToGrid w:val="0"/>
          <w:color w:val="000000" w:themeColor="text1"/>
          <w:sz w:val="24"/>
          <w:u w:val="single"/>
          <w14:textFill>
            <w14:solidFill>
              <w14:schemeClr w14:val="tx1"/>
            </w14:solidFill>
          </w14:textFill>
        </w:rPr>
        <w:t>政府投资</w:t>
      </w:r>
      <w:r>
        <w:rPr>
          <w:rFonts w:ascii="宋体" w:hAnsi="宋体"/>
          <w:color w:val="000000" w:themeColor="text1"/>
          <w:sz w:val="24"/>
          <w14:textFill>
            <w14:solidFill>
              <w14:schemeClr w14:val="tx1"/>
            </w14:solidFill>
          </w14:textFill>
        </w:rPr>
        <w:t>，</w:t>
      </w:r>
      <w:r>
        <w:rPr>
          <w:rFonts w:hint="eastAsia" w:ascii="宋体" w:hAnsi="宋体"/>
          <w:snapToGrid w:val="0"/>
          <w:color w:val="000000" w:themeColor="text1"/>
          <w:sz w:val="24"/>
          <w:u w:val="single"/>
          <w14:textFill>
            <w14:solidFill>
              <w14:schemeClr w14:val="tx1"/>
            </w14:solidFill>
          </w14:textFill>
        </w:rPr>
        <w:t>云南新创竣建设工程管理有限公司</w:t>
      </w:r>
      <w:r>
        <w:rPr>
          <w:rFonts w:hint="eastAsia" w:ascii="宋体" w:hAnsi="宋体"/>
          <w:color w:val="000000" w:themeColor="text1"/>
          <w:sz w:val="24"/>
          <w14:textFill>
            <w14:solidFill>
              <w14:schemeClr w14:val="tx1"/>
            </w14:solidFill>
          </w14:textFill>
        </w:rPr>
        <w:t>受招标人</w:t>
      </w:r>
      <w:r>
        <w:rPr>
          <w:rFonts w:hint="eastAsia" w:ascii="宋体" w:hAnsi="宋体"/>
          <w:snapToGrid w:val="0"/>
          <w:color w:val="000000" w:themeColor="text1"/>
          <w:sz w:val="24"/>
          <w:u w:val="single"/>
          <w14:textFill>
            <w14:solidFill>
              <w14:schemeClr w14:val="tx1"/>
            </w14:solidFill>
          </w14:textFill>
        </w:rPr>
        <w:t>昆明经济技术开发区规划建设局</w:t>
      </w:r>
      <w:r>
        <w:rPr>
          <w:rFonts w:hint="eastAsia" w:ascii="宋体" w:hAnsi="宋体"/>
          <w:color w:val="000000" w:themeColor="text1"/>
          <w:sz w:val="24"/>
          <w14:textFill>
            <w14:solidFill>
              <w14:schemeClr w14:val="tx1"/>
            </w14:solidFill>
          </w14:textFill>
        </w:rPr>
        <w:t>委托对本项目</w:t>
      </w:r>
      <w:r>
        <w:rPr>
          <w:rFonts w:hint="eastAsia" w:ascii="宋体" w:hAnsi="宋体"/>
          <w:snapToGrid w:val="0"/>
          <w:color w:val="000000" w:themeColor="text1"/>
          <w:sz w:val="24"/>
          <w:u w:val="single"/>
          <w14:textFill>
            <w14:solidFill>
              <w14:schemeClr w14:val="tx1"/>
            </w14:solidFill>
          </w14:textFill>
        </w:rPr>
        <w:t>经开区143号路设计施工总承包</w:t>
      </w:r>
      <w:r>
        <w:rPr>
          <w:rFonts w:hint="eastAsia" w:ascii="宋体" w:hAnsi="宋体"/>
          <w:color w:val="000000" w:themeColor="text1"/>
          <w:sz w:val="24"/>
          <w14:textFill>
            <w14:solidFill>
              <w14:schemeClr w14:val="tx1"/>
            </w14:solidFill>
          </w14:textFill>
        </w:rPr>
        <w:t>采用公开招标的方式进行招标，欢迎有实力的潜在投标人参与投标，现将有关事项公告如下：</w:t>
      </w:r>
    </w:p>
    <w:p>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2．项目概况与招标范围</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w:t>
      </w:r>
      <w:r>
        <w:rPr>
          <w:rFonts w:hint="eastAsia" w:ascii="宋体" w:hAnsi="宋体"/>
          <w:color w:val="000000" w:themeColor="text1"/>
          <w:sz w:val="24"/>
          <w14:textFill>
            <w14:solidFill>
              <w14:schemeClr w14:val="tx1"/>
            </w14:solidFill>
          </w14:textFill>
        </w:rPr>
        <w:t>项目名称：经开区143号路设计施工总承包</w:t>
      </w:r>
      <w:r>
        <w:rPr>
          <w:rFonts w:ascii="宋体" w:hAnsi="宋体"/>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 项目概况：</w:t>
      </w:r>
      <w:r>
        <w:rPr>
          <w:rFonts w:hint="eastAsia" w:ascii="宋体" w:hAnsi="宋体"/>
          <w:color w:val="000000" w:themeColor="text1"/>
          <w:sz w:val="24"/>
          <w14:textFill>
            <w14:solidFill>
              <w14:schemeClr w14:val="tx1"/>
            </w14:solidFill>
          </w14:textFill>
        </w:rPr>
        <w:t>经开区143号道路起于鸿翔路，止于139号路，全长约437米，红线宽20米，143号路为连接 139号路与鸿翔路的连接线，规划为城市支路，道路红线宽度 20m，设计速度 20km/h，为保证周边地块通行，同步实施139号路景明北路至143号路交叉口段南半幅（采用永临结合方案），长135米，红线宽13.5米。主要建设内容包括道路工程、综合管线工程、交通工程、照明工程、绿化景观工程、其他附属配套设施等。鸿翔路西侧设置污水管进行定向引排，新建雨污水管长度各约500米，</w:t>
      </w:r>
      <w:r>
        <w:rPr>
          <w:rFonts w:ascii="宋体" w:hAnsi="宋体"/>
          <w:color w:val="000000" w:themeColor="text1"/>
          <w:sz w:val="24"/>
          <w14:textFill>
            <w14:solidFill>
              <w14:schemeClr w14:val="tx1"/>
            </w14:solidFill>
          </w14:textFill>
        </w:rPr>
        <w:t>具体</w:t>
      </w:r>
      <w:r>
        <w:rPr>
          <w:rFonts w:hint="eastAsia" w:ascii="宋体" w:hAnsi="宋体"/>
          <w:color w:val="000000" w:themeColor="text1"/>
          <w:sz w:val="24"/>
          <w14:textFill>
            <w14:solidFill>
              <w14:schemeClr w14:val="tx1"/>
            </w14:solidFill>
          </w14:textFill>
        </w:rPr>
        <w:t>实施内容</w:t>
      </w:r>
      <w:r>
        <w:rPr>
          <w:rFonts w:ascii="宋体" w:hAnsi="宋体"/>
          <w:color w:val="000000" w:themeColor="text1"/>
          <w:sz w:val="24"/>
          <w14:textFill>
            <w14:solidFill>
              <w14:schemeClr w14:val="tx1"/>
            </w14:solidFill>
          </w14:textFill>
        </w:rPr>
        <w:t>以</w:t>
      </w:r>
      <w:r>
        <w:rPr>
          <w:rFonts w:hint="eastAsia" w:ascii="宋体" w:hAnsi="宋体"/>
          <w:color w:val="000000" w:themeColor="text1"/>
          <w:sz w:val="24"/>
          <w14:textFill>
            <w14:solidFill>
              <w14:schemeClr w14:val="tx1"/>
            </w14:solidFill>
          </w14:textFill>
        </w:rPr>
        <w:t>经批准的施工设计图</w:t>
      </w:r>
      <w:r>
        <w:rPr>
          <w:rFonts w:ascii="宋体" w:hAnsi="宋体"/>
          <w:color w:val="000000" w:themeColor="text1"/>
          <w:sz w:val="24"/>
          <w14:textFill>
            <w14:solidFill>
              <w14:schemeClr w14:val="tx1"/>
            </w14:solidFill>
          </w14:textFill>
        </w:rPr>
        <w:t>为准。</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规模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经开区143号路设计施工总承包,项目总投资</w:t>
      </w:r>
      <w:r>
        <w:rPr>
          <w:rFonts w:hint="eastAsia" w:ascii="宋体" w:hAnsi="宋体"/>
          <w:sz w:val="24"/>
          <w:u w:val="single"/>
        </w:rPr>
        <w:t>3645.6</w:t>
      </w:r>
      <w:r>
        <w:rPr>
          <w:rFonts w:ascii="宋体" w:hAnsi="宋体"/>
          <w:sz w:val="24"/>
        </w:rPr>
        <w:t>万</w:t>
      </w:r>
      <w:r>
        <w:rPr>
          <w:rFonts w:ascii="宋体" w:hAnsi="宋体"/>
          <w:color w:val="000000" w:themeColor="text1"/>
          <w:sz w:val="24"/>
          <w14:textFill>
            <w14:solidFill>
              <w14:schemeClr w14:val="tx1"/>
            </w14:solidFill>
          </w14:textFill>
        </w:rPr>
        <w:t>元，其中，设计费约</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85</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w:t>
      </w:r>
      <w:r>
        <w:rPr>
          <w:rFonts w:hint="eastAsia" w:ascii="宋体" w:hAnsi="宋体"/>
          <w:color w:val="000000" w:themeColor="text1"/>
          <w:sz w:val="24"/>
          <w14:textFill>
            <w14:solidFill>
              <w14:schemeClr w14:val="tx1"/>
            </w14:solidFill>
          </w14:textFill>
        </w:rPr>
        <w:t>；建安工程费约</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2200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招标范围：</w:t>
      </w:r>
      <w:r>
        <w:rPr>
          <w:rFonts w:hint="eastAsia" w:ascii="宋体" w:hAnsi="宋体"/>
          <w:color w:val="000000" w:themeColor="text1"/>
          <w:sz w:val="24"/>
          <w14:textFill>
            <w14:solidFill>
              <w14:schemeClr w14:val="tx1"/>
            </w14:solidFill>
          </w14:textFill>
        </w:rPr>
        <w:t>该项目属于设计施工总承包工程</w:t>
      </w:r>
      <w:r>
        <w:rPr>
          <w:rFonts w:ascii="宋体" w:hAnsi="宋体"/>
          <w:color w:val="000000" w:themeColor="text1"/>
          <w:sz w:val="24"/>
          <w14:textFill>
            <w14:solidFill>
              <w14:schemeClr w14:val="tx1"/>
            </w14:solidFill>
          </w14:textFill>
        </w:rPr>
        <w:t>，包括但不限于：</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1）工程设计部分：</w:t>
      </w:r>
      <w:r>
        <w:rPr>
          <w:rFonts w:hint="eastAsia" w:ascii="宋体" w:hAnsi="宋体"/>
          <w:color w:val="000000" w:themeColor="text1"/>
          <w:sz w:val="24"/>
          <w14:textFill>
            <w14:solidFill>
              <w14:schemeClr w14:val="tx1"/>
            </w14:solidFill>
          </w14:textFill>
        </w:rPr>
        <w:t>经开区143号路设计施工总承包</w:t>
      </w:r>
      <w:r>
        <w:rPr>
          <w:rFonts w:ascii="宋体" w:hAnsi="宋体"/>
          <w:color w:val="000000" w:themeColor="text1"/>
          <w:sz w:val="24"/>
          <w14:textFill>
            <w14:solidFill>
              <w14:schemeClr w14:val="tx1"/>
            </w14:solidFill>
          </w14:textFill>
        </w:rPr>
        <w:t xml:space="preserve">的初步设计（含概算编制）、施工图设计等满足施工要求的设计内容，并配合完成工程设计有关报批、审批工作，完成初步设计和施工图设计阶段专项技术方案审查，完成全套设计成果资料制作，配合审图公司完成施工图审查，配合招标人报批报建、专家咨询、资料收集等相关工作，以及施工过程中的全过程设计服务及协调工作，工程质量缺陷责任期内的设计等后续跟踪服务。 </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）工程施工部分：</w:t>
      </w:r>
      <w:r>
        <w:rPr>
          <w:rFonts w:hint="eastAsia" w:ascii="宋体" w:hAnsi="宋体"/>
          <w:color w:val="000000" w:themeColor="text1"/>
          <w:sz w:val="24"/>
          <w14:textFill>
            <w14:solidFill>
              <w14:schemeClr w14:val="tx1"/>
            </w14:solidFill>
          </w14:textFill>
        </w:rPr>
        <w:t>完成经招标人、审图公司审核通过的各子项目设计施工图，及经招标人审核通过的施工图预算中所包括的全部工程施工任务，具体内容以工程实际情况为准</w:t>
      </w:r>
      <w:r>
        <w:rPr>
          <w:rFonts w:ascii="宋体" w:hAnsi="宋体"/>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）实施过程管理中协助</w:t>
      </w:r>
      <w:r>
        <w:rPr>
          <w:rFonts w:hint="eastAsia" w:ascii="宋体" w:hAnsi="宋体"/>
          <w:color w:val="000000" w:themeColor="text1"/>
          <w:sz w:val="24"/>
          <w14:textFill>
            <w14:solidFill>
              <w14:schemeClr w14:val="tx1"/>
            </w14:solidFill>
          </w14:textFill>
        </w:rPr>
        <w:t>招标</w:t>
      </w:r>
      <w:r>
        <w:rPr>
          <w:rFonts w:ascii="宋体" w:hAnsi="宋体"/>
          <w:color w:val="000000" w:themeColor="text1"/>
          <w:sz w:val="24"/>
          <w14:textFill>
            <w14:solidFill>
              <w14:schemeClr w14:val="tx1"/>
            </w14:solidFill>
          </w14:textFill>
        </w:rPr>
        <w:t>人办理</w:t>
      </w:r>
      <w:r>
        <w:rPr>
          <w:rFonts w:hint="eastAsia" w:ascii="宋体" w:hAnsi="宋体"/>
          <w:color w:val="000000" w:themeColor="text1"/>
          <w:sz w:val="24"/>
          <w14:textFill>
            <w14:solidFill>
              <w14:schemeClr w14:val="tx1"/>
            </w14:solidFill>
          </w14:textFill>
        </w:rPr>
        <w:t>设计施工</w:t>
      </w:r>
      <w:r>
        <w:rPr>
          <w:rFonts w:ascii="宋体" w:hAnsi="宋体"/>
          <w:color w:val="000000" w:themeColor="text1"/>
          <w:sz w:val="24"/>
          <w14:textFill>
            <w14:solidFill>
              <w14:schemeClr w14:val="tx1"/>
            </w14:solidFill>
          </w14:textFill>
        </w:rPr>
        <w:t>总承包各阶段的报建、审查、审批、办证、备案等的相关手续</w:t>
      </w:r>
      <w:r>
        <w:rPr>
          <w:rFonts w:hint="eastAsia" w:ascii="宋体" w:hAnsi="宋体"/>
          <w:color w:val="000000" w:themeColor="text1"/>
          <w:sz w:val="24"/>
          <w14:textFill>
            <w14:solidFill>
              <w14:schemeClr w14:val="tx1"/>
            </w14:solidFill>
          </w14:textFill>
        </w:rPr>
        <w:t>，配合完成</w:t>
      </w:r>
      <w:r>
        <w:rPr>
          <w:rFonts w:ascii="宋体" w:hAnsi="宋体"/>
          <w:color w:val="000000" w:themeColor="text1"/>
          <w:sz w:val="24"/>
          <w14:textFill>
            <w14:solidFill>
              <w14:schemeClr w14:val="tx1"/>
            </w14:solidFill>
          </w14:textFill>
        </w:rPr>
        <w:t>必要的安全评估和检查、综合调试、施工图的审核、试运行考核、竣工验收、移交、工程缺陷责任期的工程缺陷修复、保修等内容。</w:t>
      </w:r>
    </w:p>
    <w:p>
      <w:pPr>
        <w:autoSpaceDE w:val="0"/>
        <w:autoSpaceDN w:val="0"/>
        <w:adjustRightIn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注意事项：</w:t>
      </w: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项目实际委托内容以招标人下发的书面任务通知单为准；</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招标人在项目实施过程中可根据项目具体情况保留对以上招标范围及项目规模调整的权利，中标人需配合招标人工作且不得以此作为索赔、调整中标价的理由。</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计划工期：①设计</w:t>
      </w:r>
      <w:r>
        <w:rPr>
          <w:rFonts w:hint="eastAsia" w:ascii="宋体" w:hAnsi="宋体"/>
          <w:color w:val="000000" w:themeColor="text1"/>
          <w:sz w:val="24"/>
          <w14:textFill>
            <w14:solidFill>
              <w14:schemeClr w14:val="tx1"/>
            </w14:solidFill>
          </w14:textFill>
        </w:rPr>
        <w:t>周期</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合同签订后</w:t>
      </w:r>
      <w:r>
        <w:rPr>
          <w:rFonts w:hint="eastAsia" w:ascii="宋体" w:hAnsi="宋体"/>
          <w:color w:val="000000" w:themeColor="text1"/>
          <w:sz w:val="24"/>
          <w:u w:val="single"/>
          <w14:textFill>
            <w14:solidFill>
              <w14:schemeClr w14:val="tx1"/>
            </w14:solidFill>
          </w14:textFill>
        </w:rPr>
        <w:t>30</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日历天内提交全套成果资料；②施工工期：</w:t>
      </w:r>
      <w:r>
        <w:rPr>
          <w:rFonts w:ascii="宋体" w:hAnsi="宋体"/>
          <w:color w:val="000000" w:themeColor="text1"/>
          <w:sz w:val="24"/>
          <w14:textFill>
            <w14:solidFill>
              <w14:schemeClr w14:val="tx1"/>
            </w14:solidFill>
          </w14:textFill>
        </w:rPr>
        <w:t>180</w:t>
      </w:r>
      <w:r>
        <w:rPr>
          <w:rFonts w:hint="eastAsia" w:ascii="宋体" w:hAnsi="宋体"/>
          <w:color w:val="000000" w:themeColor="text1"/>
          <w:sz w:val="24"/>
          <w14:textFill>
            <w14:solidFill>
              <w14:schemeClr w14:val="tx1"/>
            </w14:solidFill>
          </w14:textFill>
        </w:rPr>
        <w:t>日历天。</w:t>
      </w:r>
    </w:p>
    <w:p>
      <w:pPr>
        <w:spacing w:line="360" w:lineRule="auto"/>
        <w:ind w:firstLine="496" w:firstLineChars="207"/>
        <w:rPr>
          <w:rFonts w:ascii="宋体" w:hAnsi="宋体"/>
          <w:snapToGrid w:val="0"/>
          <w:color w:val="000000" w:themeColor="text1"/>
          <w:kern w:val="0"/>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质量要求：</w:t>
      </w:r>
      <w:r>
        <w:rPr>
          <w:rFonts w:hint="eastAsia" w:ascii="宋体" w:hAnsi="宋体"/>
          <w:snapToGrid w:val="0"/>
          <w:color w:val="000000" w:themeColor="text1"/>
          <w:kern w:val="0"/>
          <w:sz w:val="24"/>
          <w14:textFill>
            <w14:solidFill>
              <w14:schemeClr w14:val="tx1"/>
            </w14:solidFill>
          </w14:textFill>
        </w:rPr>
        <w:t>①工程设计部分：符合国家及地方现行的设计标准及规范要求，确保通过审批，并对所提供的设计成果负终身质量责任；②工程施工部分：符合《建筑工程施工质量验收统一标准》（</w:t>
      </w:r>
      <w:r>
        <w:rPr>
          <w:rFonts w:ascii="宋体" w:hAnsi="宋体"/>
          <w:snapToGrid w:val="0"/>
          <w:color w:val="000000" w:themeColor="text1"/>
          <w:kern w:val="0"/>
          <w:sz w:val="24"/>
          <w14:textFill>
            <w14:solidFill>
              <w14:schemeClr w14:val="tx1"/>
            </w14:solidFill>
          </w14:textFill>
        </w:rPr>
        <w:t>GB50300-2013）及现行国家相关规范及要求，一次性验收合格</w:t>
      </w: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 xml:space="preserve"> </w:t>
      </w:r>
    </w:p>
    <w:p>
      <w:pPr>
        <w:spacing w:line="360" w:lineRule="auto"/>
        <w:ind w:firstLine="496" w:firstLineChars="20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标段划分：</w:t>
      </w:r>
      <w:r>
        <w:rPr>
          <w:rFonts w:hint="eastAsia" w:ascii="宋体" w:hAnsi="宋体"/>
          <w:snapToGrid w:val="0"/>
          <w:color w:val="000000" w:themeColor="text1"/>
          <w:kern w:val="0"/>
          <w:sz w:val="24"/>
          <w14:textFill>
            <w14:solidFill>
              <w14:schemeClr w14:val="tx1"/>
            </w14:solidFill>
          </w14:textFill>
        </w:rPr>
        <w:t>本项目不划分标段。</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本次招标资格审查方式采用</w:t>
      </w:r>
      <w:r>
        <w:rPr>
          <w:rFonts w:hint="eastAsia" w:ascii="宋体" w:hAnsi="宋体"/>
          <w:snapToGrid w:val="0"/>
          <w:color w:val="000000" w:themeColor="text1"/>
          <w:kern w:val="0"/>
          <w:sz w:val="24"/>
          <w14:textFill>
            <w14:solidFill>
              <w14:schemeClr w14:val="tx1"/>
            </w14:solidFill>
          </w14:textFill>
        </w:rPr>
        <w:t>资格后审</w:t>
      </w:r>
      <w:r>
        <w:rPr>
          <w:rFonts w:hint="eastAsia" w:ascii="宋体" w:hAnsi="宋体"/>
          <w:color w:val="000000" w:themeColor="text1"/>
          <w:sz w:val="24"/>
          <w14:textFill>
            <w14:solidFill>
              <w14:schemeClr w14:val="tx1"/>
            </w14:solidFill>
          </w14:textFill>
        </w:rPr>
        <w:t>。</w:t>
      </w:r>
    </w:p>
    <w:p>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3．投标人资格要求</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3.1</w:t>
      </w:r>
      <w:r>
        <w:rPr>
          <w:rFonts w:hint="eastAsia" w:ascii="宋体" w:hAnsi="宋体"/>
          <w:snapToGrid w:val="0"/>
          <w:color w:val="000000" w:themeColor="text1"/>
          <w:kern w:val="0"/>
          <w:sz w:val="24"/>
          <w14:textFill>
            <w14:solidFill>
              <w14:schemeClr w14:val="tx1"/>
            </w14:solidFill>
          </w14:textFill>
        </w:rPr>
        <w:t>本项目对失信被执行人，按照《关于在招标投标活动中对失信被执行人实施联合惩戒的通知》（法【</w:t>
      </w:r>
      <w:r>
        <w:rPr>
          <w:rFonts w:ascii="宋体" w:hAnsi="宋体"/>
          <w:snapToGrid w:val="0"/>
          <w:color w:val="000000" w:themeColor="text1"/>
          <w:kern w:val="0"/>
          <w:sz w:val="24"/>
          <w14:textFill>
            <w14:solidFill>
              <w14:schemeClr w14:val="tx1"/>
            </w14:solidFill>
          </w14:textFill>
        </w:rPr>
        <w:t>2016】285号）执行。通过“信用中国”网站（www.creditchina.gov.cn）或各级信用信息共享平台查询投标人是否为失信被执行人</w:t>
      </w:r>
      <w:r>
        <w:rPr>
          <w:rFonts w:hint="eastAsia" w:ascii="宋体" w:hAnsi="宋体"/>
          <w:color w:val="000000" w:themeColor="text1"/>
          <w:sz w:val="24"/>
          <w14:textFill>
            <w14:solidFill>
              <w14:schemeClr w14:val="tx1"/>
            </w14:solidFill>
          </w14:textFill>
        </w:rPr>
        <w:t>，提供给评标委员会</w:t>
      </w:r>
      <w:r>
        <w:rPr>
          <w:rFonts w:hint="eastAsia" w:ascii="宋体" w:hAnsi="宋体"/>
          <w:snapToGrid w:val="0"/>
          <w:color w:val="000000" w:themeColor="text1"/>
          <w:kern w:val="0"/>
          <w:sz w:val="24"/>
          <w14:textFill>
            <w14:solidFill>
              <w14:schemeClr w14:val="tx1"/>
            </w14:solidFill>
          </w14:textFill>
        </w:rPr>
        <w:t>。对被列入失信被执行人的投标人处理方法和评标标准：</w:t>
      </w:r>
      <w:r>
        <w:rPr>
          <w:rFonts w:hint="eastAsia" w:ascii="宋体" w:hAnsi="宋体"/>
          <w:snapToGrid w:val="0"/>
          <w:color w:val="000000" w:themeColor="text1"/>
          <w:kern w:val="0"/>
          <w:sz w:val="24"/>
          <w:u w:val="single"/>
          <w14:textFill>
            <w14:solidFill>
              <w14:schemeClr w14:val="tx1"/>
            </w14:solidFill>
          </w14:textFill>
        </w:rPr>
        <w:t>按否决投标处理</w:t>
      </w:r>
      <w:r>
        <w:rPr>
          <w:rFonts w:hint="eastAsia" w:ascii="宋体" w:hAnsi="宋体"/>
          <w:snapToGrid w:val="0"/>
          <w:color w:val="000000" w:themeColor="text1"/>
          <w:kern w:val="0"/>
          <w:sz w:val="24"/>
          <w14:textFill>
            <w14:solidFill>
              <w14:schemeClr w14:val="tx1"/>
            </w14:solidFill>
          </w14:textFill>
        </w:rPr>
        <w:t>。</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3.2</w:t>
      </w:r>
      <w:r>
        <w:rPr>
          <w:rFonts w:hint="eastAsia" w:ascii="宋体" w:hAnsi="宋体"/>
          <w:snapToGrid w:val="0"/>
          <w:color w:val="000000" w:themeColor="text1"/>
          <w:kern w:val="0"/>
          <w:sz w:val="24"/>
          <w14:textFill>
            <w14:solidFill>
              <w14:schemeClr w14:val="tx1"/>
            </w14:solidFill>
          </w14:textFill>
        </w:rPr>
        <w:t>根据《云南省人民政府办公厅关于全面治理拖欠农民工工资问题的实施意见》（云政办发【</w:t>
      </w:r>
      <w:r>
        <w:rPr>
          <w:rFonts w:ascii="宋体" w:hAnsi="宋体"/>
          <w:snapToGrid w:val="0"/>
          <w:color w:val="000000" w:themeColor="text1"/>
          <w:kern w:val="0"/>
          <w:sz w:val="24"/>
          <w14:textFill>
            <w14:solidFill>
              <w14:schemeClr w14:val="tx1"/>
            </w14:solidFill>
          </w14:textFill>
        </w:rPr>
        <w:t>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r>
        <w:rPr>
          <w:rFonts w:hint="eastAsia" w:ascii="宋体" w:hAnsi="宋体"/>
          <w:snapToGrid w:val="0"/>
          <w:color w:val="000000" w:themeColor="text1"/>
          <w:kern w:val="0"/>
          <w:sz w:val="24"/>
          <w14:textFill>
            <w14:solidFill>
              <w14:schemeClr w14:val="tx1"/>
            </w14:solidFill>
          </w14:textFill>
        </w:rPr>
        <w:t>仅针对独立投标人或联合体中施工单位</w:t>
      </w:r>
      <w:r>
        <w:rPr>
          <w:rFonts w:ascii="宋体" w:hAnsi="宋体"/>
          <w:snapToGrid w:val="0"/>
          <w:color w:val="000000" w:themeColor="text1"/>
          <w:kern w:val="0"/>
          <w:sz w:val="24"/>
          <w14:textFill>
            <w14:solidFill>
              <w14:schemeClr w14:val="tx1"/>
            </w14:solidFill>
          </w14:textFill>
        </w:rPr>
        <w:t>）。</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3.3</w:t>
      </w:r>
      <w:r>
        <w:rPr>
          <w:rFonts w:hint="eastAsia" w:ascii="宋体" w:hAnsi="宋体"/>
          <w:snapToGrid w:val="0"/>
          <w:color w:val="000000" w:themeColor="text1"/>
          <w:kern w:val="0"/>
          <w:sz w:val="24"/>
          <w14:textFill>
            <w14:solidFill>
              <w14:schemeClr w14:val="tx1"/>
            </w14:solidFill>
          </w14:textFill>
        </w:rPr>
        <w:t>其他：</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3.3.1营业执照等证明文件：投标人须为具备经国家市场监督管理部门登记注册的独立企业（事业）法人或其它组织，</w:t>
      </w:r>
      <w:r>
        <w:rPr>
          <w:rFonts w:hint="eastAsia" w:ascii="宋体" w:hAnsi="宋体"/>
          <w:color w:val="000000" w:themeColor="text1"/>
          <w:sz w:val="24"/>
          <w14:textFill>
            <w14:solidFill>
              <w14:schemeClr w14:val="tx1"/>
            </w14:solidFill>
          </w14:textFill>
        </w:rPr>
        <w:t>具备有效的营业执照或事业单位法人证书或其他类似法定凭证</w:t>
      </w:r>
      <w:r>
        <w:rPr>
          <w:rFonts w:ascii="宋体" w:hAnsi="宋体"/>
          <w:snapToGrid w:val="0"/>
          <w:color w:val="000000" w:themeColor="text1"/>
          <w:kern w:val="0"/>
          <w:sz w:val="24"/>
          <w14:textFill>
            <w14:solidFill>
              <w14:schemeClr w14:val="tx1"/>
            </w14:solidFill>
          </w14:textFill>
        </w:rPr>
        <w:t>。</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3.3.2资质证书：投标人须同时具备</w:t>
      </w:r>
      <w:r>
        <w:rPr>
          <w:rFonts w:hint="eastAsia" w:ascii="宋体" w:hAnsi="宋体"/>
          <w:snapToGrid w:val="0"/>
          <w:color w:val="000000" w:themeColor="text1"/>
          <w:kern w:val="0"/>
          <w:sz w:val="24"/>
          <w14:textFill>
            <w14:solidFill>
              <w14:schemeClr w14:val="tx1"/>
            </w14:solidFill>
          </w14:textFill>
        </w:rPr>
        <w:t>①</w:t>
      </w:r>
      <w:r>
        <w:rPr>
          <w:rFonts w:ascii="宋体" w:hAnsi="宋体"/>
          <w:snapToGrid w:val="0"/>
          <w:color w:val="000000" w:themeColor="text1"/>
          <w:kern w:val="0"/>
          <w:sz w:val="24"/>
          <w14:textFill>
            <w14:solidFill>
              <w14:schemeClr w14:val="tx1"/>
            </w14:solidFill>
          </w14:textFill>
        </w:rPr>
        <w:t>工程设计：具备建设行政主管部门颁发的工程设计综合</w:t>
      </w:r>
      <w:r>
        <w:rPr>
          <w:rFonts w:hint="eastAsia" w:ascii="宋体" w:hAnsi="宋体"/>
          <w:snapToGrid w:val="0"/>
          <w:color w:val="000000" w:themeColor="text1"/>
          <w:kern w:val="0"/>
          <w:sz w:val="24"/>
          <w14:textFill>
            <w14:solidFill>
              <w14:schemeClr w14:val="tx1"/>
            </w14:solidFill>
          </w14:textFill>
        </w:rPr>
        <w:t>甲级资质或市政行业（道路工程）专业乙级或以上资质；②工程施工：具备建设行政主管部门颁发的市政公用工程施工总承包贰级或以上资质。</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3.3.3安全生产许可证：投标人（</w:t>
      </w:r>
      <w:r>
        <w:rPr>
          <w:rFonts w:hint="eastAsia" w:ascii="宋体" w:hAnsi="宋体"/>
          <w:snapToGrid w:val="0"/>
          <w:color w:val="000000" w:themeColor="text1"/>
          <w:kern w:val="0"/>
          <w:sz w:val="24"/>
          <w14:textFill>
            <w14:solidFill>
              <w14:schemeClr w14:val="tx1"/>
            </w14:solidFill>
          </w14:textFill>
        </w:rPr>
        <w:t>指独立投标人或联合体中的</w:t>
      </w:r>
      <w:r>
        <w:rPr>
          <w:rFonts w:ascii="宋体" w:hAnsi="宋体"/>
          <w:snapToGrid w:val="0"/>
          <w:color w:val="000000" w:themeColor="text1"/>
          <w:kern w:val="0"/>
          <w:sz w:val="24"/>
          <w14:textFill>
            <w14:solidFill>
              <w14:schemeClr w14:val="tx1"/>
            </w14:solidFill>
          </w14:textFill>
        </w:rPr>
        <w:t>施工</w:t>
      </w:r>
      <w:r>
        <w:rPr>
          <w:rFonts w:hint="eastAsia" w:ascii="宋体" w:hAnsi="宋体"/>
          <w:snapToGrid w:val="0"/>
          <w:color w:val="000000" w:themeColor="text1"/>
          <w:kern w:val="0"/>
          <w:sz w:val="24"/>
          <w14:textFill>
            <w14:solidFill>
              <w14:schemeClr w14:val="tx1"/>
            </w14:solidFill>
          </w14:textFill>
        </w:rPr>
        <w:t>单位</w:t>
      </w:r>
      <w:r>
        <w:rPr>
          <w:rFonts w:ascii="宋体" w:hAnsi="宋体"/>
          <w:snapToGrid w:val="0"/>
          <w:color w:val="000000" w:themeColor="text1"/>
          <w:kern w:val="0"/>
          <w:sz w:val="24"/>
          <w14:textFill>
            <w14:solidFill>
              <w14:schemeClr w14:val="tx1"/>
            </w14:solidFill>
          </w14:textFill>
        </w:rPr>
        <w:t>）须具备建设行政主管部门颁发的安全生产许可证，并在有效期内。</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3.3.4财务状况：投标人应具有良好的财务状况，具备近三年（2019-2021</w:t>
      </w:r>
      <w:r>
        <w:rPr>
          <w:rFonts w:hint="eastAsia" w:ascii="宋体" w:hAnsi="宋体"/>
          <w:snapToGrid w:val="0"/>
          <w:color w:val="000000" w:themeColor="text1"/>
          <w:kern w:val="0"/>
          <w:sz w:val="24"/>
          <w14:textFill>
            <w14:solidFill>
              <w14:schemeClr w14:val="tx1"/>
            </w14:solidFill>
          </w14:textFill>
        </w:rPr>
        <w:t>）经会计师事务所或审计机构审计的财务报表及审计报告（成立时间不足三年的，自成立初年提供），联合体牵头方和成员方均需提供。</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3.3.5</w:t>
      </w:r>
      <w:r>
        <w:rPr>
          <w:rFonts w:hint="eastAsia" w:ascii="宋体" w:hAnsi="宋体"/>
          <w:snapToGrid w:val="0"/>
          <w:color w:val="000000" w:themeColor="text1"/>
          <w:kern w:val="0"/>
          <w:sz w:val="24"/>
          <w14:textFill>
            <w14:solidFill>
              <w14:schemeClr w14:val="tx1"/>
            </w14:solidFill>
          </w14:textFill>
        </w:rPr>
        <w:t>企业类似业绩：近三年（</w:t>
      </w:r>
      <w:r>
        <w:rPr>
          <w:rFonts w:ascii="宋体" w:hAnsi="宋体"/>
          <w:snapToGrid w:val="0"/>
          <w:color w:val="000000" w:themeColor="text1"/>
          <w:kern w:val="0"/>
          <w:sz w:val="24"/>
          <w14:textFill>
            <w14:solidFill>
              <w14:schemeClr w14:val="tx1"/>
            </w14:solidFill>
          </w14:textFill>
        </w:rPr>
        <w:t>201</w:t>
      </w:r>
      <w:r>
        <w:rPr>
          <w:rFonts w:hint="eastAsia" w:ascii="宋体" w:hAnsi="宋体"/>
          <w:snapToGrid w:val="0"/>
          <w:color w:val="000000" w:themeColor="text1"/>
          <w:kern w:val="0"/>
          <w:sz w:val="24"/>
          <w14:textFill>
            <w14:solidFill>
              <w14:schemeClr w14:val="tx1"/>
            </w14:solidFill>
          </w14:textFill>
        </w:rPr>
        <w:t>9年-</w:t>
      </w:r>
      <w:r>
        <w:rPr>
          <w:rFonts w:ascii="宋体" w:hAnsi="宋体"/>
          <w:snapToGrid w:val="0"/>
          <w:color w:val="000000" w:themeColor="text1"/>
          <w:kern w:val="0"/>
          <w:sz w:val="24"/>
          <w14:textFill>
            <w14:solidFill>
              <w14:schemeClr w14:val="tx1"/>
            </w14:solidFill>
          </w14:textFill>
        </w:rPr>
        <w:t>至今）承担过下述类似业绩，已完成或正在实施均可：</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设计业绩：建安工程费2000万元及以上或设计费</w:t>
      </w:r>
      <w:r>
        <w:rPr>
          <w:rFonts w:hint="eastAsia" w:ascii="宋体" w:hAnsi="宋体"/>
          <w:snapToGrid w:val="0"/>
          <w:color w:val="000000" w:themeColor="text1"/>
          <w:kern w:val="0"/>
          <w:sz w:val="24"/>
          <w:u w:val="single"/>
          <w14:textFill>
            <w14:solidFill>
              <w14:schemeClr w14:val="tx1"/>
            </w14:solidFill>
          </w14:textFill>
        </w:rPr>
        <w:t xml:space="preserve"> 50 </w:t>
      </w:r>
      <w:r>
        <w:rPr>
          <w:rFonts w:hint="eastAsia" w:ascii="宋体" w:hAnsi="宋体"/>
          <w:snapToGrid w:val="0"/>
          <w:color w:val="000000" w:themeColor="text1"/>
          <w:kern w:val="0"/>
          <w:sz w:val="24"/>
          <w14:textFill>
            <w14:solidFill>
              <w14:schemeClr w14:val="tx1"/>
            </w14:solidFill>
          </w14:textFill>
        </w:rPr>
        <w:t>万元及以上的市政工程设计至少</w:t>
      </w:r>
      <w:r>
        <w:rPr>
          <w:rFonts w:ascii="宋体" w:hAnsi="宋体"/>
          <w:snapToGrid w:val="0"/>
          <w:color w:val="000000" w:themeColor="text1"/>
          <w:kern w:val="0"/>
          <w:sz w:val="24"/>
          <w14:textFill>
            <w14:solidFill>
              <w14:schemeClr w14:val="tx1"/>
            </w14:solidFill>
          </w14:textFill>
        </w:rPr>
        <w:t>1个；</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施工业绩：建安工程费2000万元及其以上的市政工程施工至少1个；</w:t>
      </w:r>
    </w:p>
    <w:p>
      <w:pPr>
        <w:autoSpaceDE w:val="0"/>
        <w:autoSpaceDN w:val="0"/>
        <w:adjustRightInd w:val="0"/>
        <w:spacing w:line="360" w:lineRule="auto"/>
        <w:ind w:firstLine="482" w:firstLineChars="200"/>
        <w:rPr>
          <w:rFonts w:ascii="宋体" w:hAnsi="宋体"/>
          <w:b/>
          <w:snapToGrid w:val="0"/>
          <w:color w:val="000000" w:themeColor="text1"/>
          <w:kern w:val="0"/>
          <w:sz w:val="24"/>
          <w14:textFill>
            <w14:solidFill>
              <w14:schemeClr w14:val="tx1"/>
            </w14:solidFill>
          </w14:textFill>
        </w:rPr>
      </w:pPr>
      <w:r>
        <w:rPr>
          <w:rFonts w:hint="eastAsia" w:ascii="宋体" w:hAnsi="宋体"/>
          <w:b/>
          <w:snapToGrid w:val="0"/>
          <w:color w:val="000000" w:themeColor="text1"/>
          <w:kern w:val="0"/>
          <w:sz w:val="24"/>
          <w14:textFill>
            <w14:solidFill>
              <w14:schemeClr w14:val="tx1"/>
            </w14:solidFill>
          </w14:textFill>
        </w:rPr>
        <w:t>注意事项：1、如某个业绩同时满足上述标准的，可视为同时满足要求；2、提供业绩证明材料如中标通知书或合同协议书。</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 xml:space="preserve">3.3.6 </w:t>
      </w:r>
      <w:r>
        <w:rPr>
          <w:rFonts w:hint="eastAsia" w:ascii="宋体" w:hAnsi="宋体"/>
          <w:snapToGrid w:val="0"/>
          <w:color w:val="000000" w:themeColor="text1"/>
          <w:kern w:val="0"/>
          <w:sz w:val="24"/>
          <w14:textFill>
            <w14:solidFill>
              <w14:schemeClr w14:val="tx1"/>
            </w14:solidFill>
          </w14:textFill>
        </w:rPr>
        <w:t>主要管理人员：</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①项目负责人（兼任设计负责人）：应具有建设行政主管部门颁发的注册土木工程师（道路工程）证书，具有高级工程师及其以上专业技术职称证书，提供劳动合同及社保缴费证明。</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②施工负责人（项目经理）：施工项目经理须为施工单位人员，应具有建设行政主管部门颁发的一级注册建造师证书（市政公用工程），并取得有效的安全生产考核合格证书，具有工程师及其以上专业技术职称证书，且不得担任其他在建项目的项目经理(提供承诺)，提供劳动合同及社保缴费证明。</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m:oMath>
        <m:r>
          <m:rPr>
            <m:sty m:val="p"/>
          </m:rPr>
          <w:rPr>
            <w:rFonts w:hint="eastAsia" w:ascii="Cambria Math" w:hAnsi="Cambria Math"/>
            <w:snapToGrid w:val="0"/>
            <w:color w:val="000000" w:themeColor="text1"/>
            <w:kern w:val="0"/>
            <w:sz w:val="24"/>
            <w14:textFill>
              <w14:solidFill>
                <w14:schemeClr w14:val="tx1"/>
              </w14:solidFill>
            </w14:textFill>
          </w:rPr>
          <m:t>③</m:t>
        </m:r>
      </m:oMath>
      <w:r>
        <w:rPr>
          <w:rFonts w:hint="eastAsia" w:ascii="宋体" w:hAnsi="宋体"/>
          <w:snapToGrid w:val="0"/>
          <w:color w:val="000000" w:themeColor="text1"/>
          <w:kern w:val="0"/>
          <w:sz w:val="24"/>
          <w14:textFill>
            <w14:solidFill>
              <w14:schemeClr w14:val="tx1"/>
            </w14:solidFill>
          </w14:textFill>
        </w:rPr>
        <w:t>施工技术负责人：应具有工程师及其以上专业技术职称证书，提供劳动合同及社保缴费证明。</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 xml:space="preserve">3.3.7 </w:t>
      </w:r>
      <w:r>
        <w:rPr>
          <w:rFonts w:hint="eastAsia" w:ascii="宋体" w:hAnsi="宋体"/>
          <w:snapToGrid w:val="0"/>
          <w:color w:val="000000" w:themeColor="text1"/>
          <w:kern w:val="0"/>
          <w:sz w:val="24"/>
          <w14:textFill>
            <w14:solidFill>
              <w14:schemeClr w14:val="tx1"/>
            </w14:solidFill>
          </w14:textFill>
        </w:rPr>
        <w:t>施工管理项目组成员：除施工项目经理和施工技术负责人外，拟派往本工程的的施工管理人员至少还应</w:t>
      </w:r>
      <w:r>
        <w:rPr>
          <w:rFonts w:ascii="宋体" w:hAnsi="宋体"/>
          <w:snapToGrid w:val="0"/>
          <w:color w:val="000000" w:themeColor="text1"/>
          <w:kern w:val="0"/>
          <w:sz w:val="24"/>
          <w14:textFill>
            <w14:solidFill>
              <w14:schemeClr w14:val="tx1"/>
            </w14:solidFill>
          </w14:textFill>
        </w:rPr>
        <w:t>包括施工员、安全员、质量员、材料员、标准员、机械员、劳务员、资料员、造价人员（具有注册造价工程师资格证书）</w:t>
      </w: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提供相应岗位证书、注册证书（如有）、劳动合同及社保缴费证明</w:t>
      </w:r>
      <w:r>
        <w:rPr>
          <w:rFonts w:hint="eastAsia" w:ascii="宋体" w:hAnsi="宋体"/>
          <w:snapToGrid w:val="0"/>
          <w:color w:val="000000" w:themeColor="text1"/>
          <w:kern w:val="0"/>
          <w:sz w:val="24"/>
          <w14:textFill>
            <w14:solidFill>
              <w14:schemeClr w14:val="tx1"/>
            </w14:solidFill>
          </w14:textFill>
        </w:rPr>
        <w:t>。</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3.3.</w:t>
      </w:r>
      <w:r>
        <w:rPr>
          <w:rFonts w:hint="eastAsia" w:ascii="宋体" w:hAnsi="宋体"/>
          <w:snapToGrid w:val="0"/>
          <w:color w:val="000000" w:themeColor="text1"/>
          <w:kern w:val="0"/>
          <w:sz w:val="24"/>
          <w14:textFill>
            <w14:solidFill>
              <w14:schemeClr w14:val="tx1"/>
            </w14:solidFill>
          </w14:textFill>
        </w:rPr>
        <w:t>8企业信誉：投标人没有处于被责令停业、投标资格被暂停或取消、财产被接管、冻结、破产等状态；近三年（</w:t>
      </w:r>
      <w:r>
        <w:rPr>
          <w:rFonts w:ascii="宋体" w:hAnsi="宋体"/>
          <w:snapToGrid w:val="0"/>
          <w:color w:val="000000" w:themeColor="text1"/>
          <w:kern w:val="0"/>
          <w:sz w:val="24"/>
          <w14:textFill>
            <w14:solidFill>
              <w14:schemeClr w14:val="tx1"/>
            </w14:solidFill>
          </w14:textFill>
        </w:rPr>
        <w:t>2019</w:t>
      </w:r>
      <w:r>
        <w:rPr>
          <w:rFonts w:hint="eastAsia" w:ascii="宋体" w:hAnsi="宋体"/>
          <w:snapToGrid w:val="0"/>
          <w:color w:val="000000" w:themeColor="text1"/>
          <w:kern w:val="0"/>
          <w:sz w:val="24"/>
          <w14:textFill>
            <w14:solidFill>
              <w14:schemeClr w14:val="tx1"/>
            </w14:solidFill>
          </w14:textFill>
        </w:rPr>
        <w:t>年</w:t>
      </w:r>
      <w:r>
        <w:rPr>
          <w:rFonts w:ascii="宋体" w:hAnsi="宋体"/>
          <w:snapToGrid w:val="0"/>
          <w:color w:val="000000" w:themeColor="text1"/>
          <w:kern w:val="0"/>
          <w:sz w:val="24"/>
          <w14:textFill>
            <w14:solidFill>
              <w14:schemeClr w14:val="tx1"/>
            </w14:solidFill>
          </w14:textFill>
        </w:rPr>
        <w:t xml:space="preserve">1月1日起至今）没有骗取中标和严重违约、没有处于被项目所在地政府或国家部委禁止市场准入等情形；未因不良记录被禁止投标资格，在“信用中国”网站(www.creditchina.gov.cn)无 </w:t>
      </w:r>
      <w:r>
        <w:rPr>
          <w:rFonts w:hint="eastAsia" w:ascii="宋体" w:hAnsi="宋体"/>
          <w:snapToGrid w:val="0"/>
          <w:color w:val="000000" w:themeColor="text1"/>
          <w:kern w:val="0"/>
          <w:sz w:val="24"/>
          <w14:textFill>
            <w14:solidFill>
              <w14:schemeClr w14:val="tx1"/>
            </w14:solidFill>
          </w14:textFill>
        </w:rPr>
        <w:t>“失信被执行人”记录。</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3.3.</w:t>
      </w:r>
      <w:r>
        <w:rPr>
          <w:rFonts w:hint="eastAsia" w:ascii="宋体" w:hAnsi="宋体"/>
          <w:snapToGrid w:val="0"/>
          <w:color w:val="000000" w:themeColor="text1"/>
          <w:kern w:val="0"/>
          <w:sz w:val="24"/>
          <w14:textFill>
            <w14:solidFill>
              <w14:schemeClr w14:val="tx1"/>
            </w14:solidFill>
          </w14:textFill>
        </w:rPr>
        <w:t>9联合体投标人：本次招标接受联合体投标，联合体的成</w:t>
      </w:r>
      <w:r>
        <w:rPr>
          <w:rFonts w:hint="eastAsia" w:ascii="宋体" w:hAnsi="宋体"/>
          <w:snapToGrid w:val="0"/>
          <w:kern w:val="0"/>
          <w:sz w:val="24"/>
        </w:rPr>
        <w:t>员不得超过2</w:t>
      </w:r>
      <w:r>
        <w:rPr>
          <w:rFonts w:ascii="宋体" w:hAnsi="宋体"/>
          <w:snapToGrid w:val="0"/>
          <w:kern w:val="0"/>
          <w:sz w:val="24"/>
        </w:rPr>
        <w:t>家，联</w:t>
      </w:r>
      <w:r>
        <w:rPr>
          <w:rFonts w:ascii="宋体" w:hAnsi="宋体"/>
          <w:snapToGrid w:val="0"/>
          <w:color w:val="000000" w:themeColor="text1"/>
          <w:kern w:val="0"/>
          <w:sz w:val="24"/>
          <w14:textFill>
            <w14:solidFill>
              <w14:schemeClr w14:val="tx1"/>
            </w14:solidFill>
          </w14:textFill>
        </w:rPr>
        <w:t>合体牵头人须为联合体中满足资格要求的</w:t>
      </w:r>
      <w:r>
        <w:rPr>
          <w:rFonts w:hint="eastAsia" w:ascii="宋体" w:hAnsi="宋体"/>
          <w:snapToGrid w:val="0"/>
          <w:color w:val="000000" w:themeColor="text1"/>
          <w:kern w:val="0"/>
          <w:sz w:val="24"/>
          <w14:textFill>
            <w14:solidFill>
              <w14:schemeClr w14:val="tx1"/>
            </w14:solidFill>
          </w14:textFill>
        </w:rPr>
        <w:t>设计</w:t>
      </w:r>
      <w:r>
        <w:rPr>
          <w:rFonts w:ascii="宋体" w:hAnsi="宋体"/>
          <w:snapToGrid w:val="0"/>
          <w:color w:val="000000" w:themeColor="text1"/>
          <w:kern w:val="0"/>
          <w:sz w:val="24"/>
          <w14:textFill>
            <w14:solidFill>
              <w14:schemeClr w14:val="tx1"/>
            </w14:solidFill>
          </w14:textFill>
        </w:rPr>
        <w:t>企业，且承担本项目的</w:t>
      </w:r>
      <w:r>
        <w:rPr>
          <w:rFonts w:hint="eastAsia" w:ascii="宋体" w:hAnsi="宋体"/>
          <w:snapToGrid w:val="0"/>
          <w:color w:val="000000" w:themeColor="text1"/>
          <w:kern w:val="0"/>
          <w:sz w:val="24"/>
          <w14:textFill>
            <w14:solidFill>
              <w14:schemeClr w14:val="tx1"/>
            </w14:solidFill>
          </w14:textFill>
        </w:rPr>
        <w:t>设计咨询</w:t>
      </w:r>
      <w:r>
        <w:rPr>
          <w:rFonts w:ascii="宋体" w:hAnsi="宋体"/>
          <w:snapToGrid w:val="0"/>
          <w:color w:val="000000" w:themeColor="text1"/>
          <w:kern w:val="0"/>
          <w:sz w:val="24"/>
          <w14:textFill>
            <w14:solidFill>
              <w14:schemeClr w14:val="tx1"/>
            </w14:solidFill>
          </w14:textFill>
        </w:rPr>
        <w:t>工作，除符合招标文件对投标人资质条件、能力和信誉的要求外，还应符合下列要求：</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1）联合体各方应签订共同投标协议，明确约定各方拟承担的工作和责任，并将该共同投标协议随投标文件一并提交。</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2）投标人的投标文件及中标后签署的合同协议书对联合体各方均具有法律约束力。</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3）联合体中标后，联合体各方应当共同与招标人签订合同，为履行合同向招标人承担连带责任。</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（4）在合同履约过程中，若联合体成员之一不能履约或工作质量达不到合同要求及招标人要求的，招标人可与其解除合同，其合同项下的权利义务由联合体牵头人全权承接。各方具体责任承接详见合同条款。</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（5</w:t>
      </w:r>
      <w:r>
        <w:rPr>
          <w:rFonts w:ascii="宋体" w:hAnsi="宋体"/>
          <w:snapToGrid w:val="0"/>
          <w:color w:val="000000" w:themeColor="text1"/>
          <w:kern w:val="0"/>
          <w:sz w:val="24"/>
          <w14:textFill>
            <w14:solidFill>
              <w14:schemeClr w14:val="tx1"/>
            </w14:solidFill>
          </w14:textFill>
        </w:rPr>
        <w:t>）联合体各方应提交一份授权书（格式自拟），证明其牵头人资格，该授权书作为投标文件的组成部分一并提交。</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（6</w:t>
      </w:r>
      <w:r>
        <w:rPr>
          <w:rFonts w:ascii="宋体" w:hAnsi="宋体"/>
          <w:snapToGrid w:val="0"/>
          <w:color w:val="000000" w:themeColor="text1"/>
          <w:kern w:val="0"/>
          <w:sz w:val="24"/>
          <w14:textFill>
            <w14:solidFill>
              <w14:schemeClr w14:val="tx1"/>
            </w14:solidFill>
          </w14:textFill>
        </w:rPr>
        <w:t>）联合体各方签订共同投标协议后，不得再以自己名义单独投标，也不得组成新的联合体或参加其他联合体在同一项目中投标。</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（7</w:t>
      </w:r>
      <w:r>
        <w:rPr>
          <w:rFonts w:ascii="宋体" w:hAnsi="宋体"/>
          <w:snapToGrid w:val="0"/>
          <w:color w:val="000000" w:themeColor="text1"/>
          <w:kern w:val="0"/>
          <w:sz w:val="24"/>
          <w14:textFill>
            <w14:solidFill>
              <w14:schemeClr w14:val="tx1"/>
            </w14:solidFill>
          </w14:textFill>
        </w:rPr>
        <w:t>）由同一专业的单位组成的联合体，按照资质等级较低的单位确定资质等级。</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w:t>
      </w:r>
      <w:r>
        <w:rPr>
          <w:rFonts w:ascii="宋体" w:hAnsi="宋体"/>
          <w:b/>
          <w:color w:val="000000" w:themeColor="text1"/>
          <w:sz w:val="24"/>
          <w14:textFill>
            <w14:solidFill>
              <w14:schemeClr w14:val="tx1"/>
            </w14:solidFill>
          </w14:textFill>
        </w:rPr>
        <w:t>．招标文件的获取</w:t>
      </w:r>
    </w:p>
    <w:p>
      <w:pPr>
        <w:spacing w:line="360" w:lineRule="auto"/>
        <w:ind w:firstLine="472" w:firstLineChars="200"/>
        <w:rPr>
          <w:rFonts w:ascii="宋体" w:hAnsi="宋体"/>
          <w:color w:val="000000" w:themeColor="text1"/>
          <w:spacing w:val="-2"/>
          <w:sz w:val="24"/>
          <w:u w:val="single"/>
          <w14:textFill>
            <w14:solidFill>
              <w14:schemeClr w14:val="tx1"/>
            </w14:solidFill>
          </w14:textFill>
        </w:rPr>
      </w:pPr>
      <w:r>
        <w:rPr>
          <w:rFonts w:ascii="宋体" w:hAnsi="宋体"/>
          <w:color w:val="000000" w:themeColor="text1"/>
          <w:spacing w:val="-2"/>
          <w:sz w:val="24"/>
          <w14:textFill>
            <w14:solidFill>
              <w14:schemeClr w14:val="tx1"/>
            </w14:solidFill>
          </w14:textFill>
        </w:rPr>
        <w:t>4.1</w:t>
      </w:r>
      <w:r>
        <w:rPr>
          <w:rStyle w:val="1102"/>
          <w:rFonts w:hint="eastAsia" w:ascii="宋体" w:hAnsi="宋体"/>
          <w:color w:val="000000" w:themeColor="text1"/>
          <w:sz w:val="24"/>
          <w14:textFill>
            <w14:solidFill>
              <w14:schemeClr w14:val="tx1"/>
            </w14:solidFill>
          </w14:textFill>
        </w:rPr>
        <w:t>凡有意参加投标者（以网上公告时间为准），登录云南省公共资源交易信息网（昆明市）（网址：</w:t>
      </w:r>
      <w:r>
        <w:rPr>
          <w:rStyle w:val="1102"/>
          <w:rFonts w:ascii="宋体" w:hAnsi="宋体"/>
          <w:color w:val="000000" w:themeColor="text1"/>
          <w:sz w:val="24"/>
          <w14:textFill>
            <w14:solidFill>
              <w14:schemeClr w14:val="tx1"/>
            </w14:solidFill>
          </w14:textFill>
        </w:rPr>
        <w:t>http://ggzy.yn.gov.cn/），凭企业数字证书（CA）在网上获取招标文件及其它招标资料。未办理企业数字证书（CA）的企业需要按照云南省公共资源交易电子认证</w:t>
      </w:r>
      <w:r>
        <w:rPr>
          <w:rStyle w:val="1102"/>
          <w:rFonts w:hint="eastAsia" w:ascii="宋体" w:hAnsi="宋体"/>
          <w:color w:val="000000" w:themeColor="text1"/>
          <w:sz w:val="24"/>
          <w14:textFill>
            <w14:solidFill>
              <w14:schemeClr w14:val="tx1"/>
            </w14:solidFill>
          </w14:textFill>
        </w:rPr>
        <w:t>的要求，办理企业数字证书（</w:t>
      </w:r>
      <w:r>
        <w:rPr>
          <w:rStyle w:val="1102"/>
          <w:rFonts w:ascii="宋体" w:hAnsi="宋体"/>
          <w:color w:val="000000" w:themeColor="text1"/>
          <w:sz w:val="24"/>
          <w14:textFill>
            <w14:solidFill>
              <w14:schemeClr w14:val="tx1"/>
            </w14:solidFill>
          </w14:textFill>
        </w:rPr>
        <w:t>CA），并在云南省公共资源交易信息网（昆明市）完成注册通过后，便可获取招标文件，此为获取招标文件的唯一途径</w:t>
      </w:r>
      <w:r>
        <w:rPr>
          <w:rFonts w:hint="eastAsia" w:ascii="宋体" w:hAnsi="宋体"/>
          <w:color w:val="000000" w:themeColor="text1"/>
          <w:spacing w:val="-2"/>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4.2 </w:t>
      </w:r>
      <w:r>
        <w:rPr>
          <w:rFonts w:hint="eastAsia" w:ascii="宋体" w:hAnsi="宋体"/>
          <w:color w:val="000000" w:themeColor="text1"/>
          <w:sz w:val="24"/>
          <w14:textFill>
            <w14:solidFill>
              <w14:schemeClr w14:val="tx1"/>
            </w14:solidFill>
          </w14:textFill>
        </w:rPr>
        <w:t>招标文件（含电子招标文件，格式为</w:t>
      </w:r>
      <w:r>
        <w:rPr>
          <w:rFonts w:ascii="宋体" w:hAnsi="宋体"/>
          <w:color w:val="000000" w:themeColor="text1"/>
          <w:sz w:val="24"/>
          <w14:textFill>
            <w14:solidFill>
              <w14:schemeClr w14:val="tx1"/>
            </w14:solidFill>
          </w14:textFill>
        </w:rPr>
        <w:t>*.BZBJ等）供投标人下载使用。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4.3 </w:t>
      </w:r>
      <w:r>
        <w:rPr>
          <w:rFonts w:hint="eastAsia" w:ascii="宋体" w:hAnsi="宋体"/>
          <w:color w:val="000000" w:themeColor="text1"/>
          <w:sz w:val="24"/>
          <w14:textFill>
            <w14:solidFill>
              <w14:schemeClr w14:val="tx1"/>
            </w14:solidFill>
          </w14:textFill>
        </w:rPr>
        <w:t>招标人不提供邮购招标文件服务。</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w:t>
      </w:r>
      <w:r>
        <w:rPr>
          <w:rFonts w:ascii="宋体" w:hAnsi="宋体"/>
          <w:b/>
          <w:color w:val="000000" w:themeColor="text1"/>
          <w:sz w:val="24"/>
          <w14:textFill>
            <w14:solidFill>
              <w14:schemeClr w14:val="tx1"/>
            </w14:solidFill>
          </w14:textFill>
        </w:rPr>
        <w:t>．投标文件的递交</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5.1 </w:t>
      </w:r>
      <w:r>
        <w:rPr>
          <w:rFonts w:hint="eastAsia" w:ascii="宋体" w:hAnsi="宋体"/>
          <w:color w:val="000000" w:themeColor="text1"/>
          <w:sz w:val="24"/>
          <w14:textFill>
            <w14:solidFill>
              <w14:schemeClr w14:val="tx1"/>
            </w14:solidFill>
          </w14:textFill>
        </w:rPr>
        <w:t>投标文件递交的截止时间（投标截止时间，下同）（以网上公告时间为准），登录云南省公共资源交易信息网（昆明市）（网址：</w:t>
      </w:r>
      <w:r>
        <w:rPr>
          <w:rFonts w:ascii="宋体" w:hAnsi="宋体"/>
          <w:color w:val="000000" w:themeColor="text1"/>
          <w:sz w:val="24"/>
          <w14:textFill>
            <w14:solidFill>
              <w14:schemeClr w14:val="tx1"/>
            </w14:solidFill>
          </w14:textFill>
        </w:rPr>
        <w:t>https://ggzy.yn.gov.cn/#/homePage）。</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5.2电子投标文件递交方式：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网上递交：网上递交网址为：</w:t>
      </w:r>
      <w:r>
        <w:rPr>
          <w:rFonts w:hint="eastAsia" w:ascii="宋体" w:hAnsi="宋体"/>
          <w:snapToGrid w:val="0"/>
          <w:color w:val="000000" w:themeColor="text1"/>
          <w:kern w:val="0"/>
          <w:sz w:val="24"/>
          <w:u w:val="single"/>
          <w14:textFill>
            <w14:solidFill>
              <w14:schemeClr w14:val="tx1"/>
            </w14:solidFill>
          </w14:textFill>
        </w:rPr>
        <w:t>云南省公共资源交易信息网（网址：</w:t>
      </w:r>
      <w:r>
        <w:rPr>
          <w:rFonts w:ascii="宋体" w:hAnsi="宋体"/>
          <w:snapToGrid w:val="0"/>
          <w:color w:val="000000" w:themeColor="text1"/>
          <w:kern w:val="0"/>
          <w:sz w:val="24"/>
          <w:u w:val="single"/>
          <w14:textFill>
            <w14:solidFill>
              <w14:schemeClr w14:val="tx1"/>
            </w14:solidFill>
          </w14:textFill>
        </w:rPr>
        <w:t>https://ggzy.yn.gov.cn/#/homePage）</w:t>
      </w:r>
      <w:r>
        <w:rPr>
          <w:rFonts w:hint="eastAsia" w:ascii="宋体" w:hAnsi="宋体"/>
          <w:color w:val="000000" w:themeColor="text1"/>
          <w:sz w:val="24"/>
          <w14:textFill>
            <w14:solidFill>
              <w14:schemeClr w14:val="tx1"/>
            </w14:solidFill>
          </w14:textFill>
        </w:rPr>
        <w:t>，投标人须在投标截止时间前完成所有投标文件的上传，网上确认电子签名，并打印“上传投标文件回执”，投标截止时间前未完成投标文件传输的，视为撤回投标文件；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5.3其他（开标规定等）：开标网址为：云南省公共资源交易信息网（网址：https://ggzy.yn.gov.cn/#/homePage）。</w:t>
      </w:r>
    </w:p>
    <w:p>
      <w:pPr>
        <w:spacing w:line="360" w:lineRule="auto"/>
        <w:ind w:firstLine="448" w:firstLineChars="200"/>
        <w:rPr>
          <w:rFonts w:ascii="宋体" w:hAnsi="宋体"/>
          <w:color w:val="000000" w:themeColor="text1"/>
          <w:spacing w:val="-8"/>
          <w:sz w:val="24"/>
          <w14:textFill>
            <w14:solidFill>
              <w14:schemeClr w14:val="tx1"/>
            </w14:solidFill>
          </w14:textFill>
        </w:rPr>
      </w:pPr>
      <w:r>
        <w:rPr>
          <w:rFonts w:hint="eastAsia" w:ascii="宋体" w:hAnsi="宋体"/>
          <w:color w:val="000000" w:themeColor="text1"/>
          <w:spacing w:val="-8"/>
          <w:sz w:val="24"/>
          <w14:textFill>
            <w14:solidFill>
              <w14:schemeClr w14:val="tx1"/>
            </w14:solidFill>
          </w14:textFill>
        </w:rPr>
        <w:t>注意事项：①开标的操作流程详见《云南省公共资源交易电子化平台智能开标系统培训教材（适用投标人和供应商）》（</w:t>
      </w:r>
      <w:r>
        <w:rPr>
          <w:rFonts w:ascii="宋体" w:hAnsi="宋体"/>
          <w:color w:val="000000" w:themeColor="text1"/>
          <w:spacing w:val="-8"/>
          <w:sz w:val="24"/>
          <w14:textFill>
            <w14:solidFill>
              <w14:schemeClr w14:val="tx1"/>
            </w14:solidFill>
          </w14:textFill>
        </w:rPr>
        <w:t>http://116.55.195.71:8001/ynggfwpt-xinxi-web/#/homePage）及附件。②投标人提前熟悉智能开标的相关操作。③投标人须在招标文件规定的投标截止时间前登录“网上开标室”，根据网上远程解密、开标的要求，在规定的时间完成解密等操作。若投标人未在规定时间完成相关操作，则视为撤销其投标文件，不再进入评标阶段。④投标人无需到现场参加开标会议。开标过程中如有问题，可以在线提出异议，由代理机构给予回复。在规定的异议询问时间内未提出异议的，则视为对开标结果无异议。</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w:t>
      </w:r>
      <w:r>
        <w:rPr>
          <w:rFonts w:ascii="宋体" w:hAnsi="宋体"/>
          <w:b/>
          <w:color w:val="000000" w:themeColor="text1"/>
          <w:sz w:val="24"/>
          <w14:textFill>
            <w14:solidFill>
              <w14:schemeClr w14:val="tx1"/>
            </w14:solidFill>
          </w14:textFill>
        </w:rPr>
        <w:t>．发布公告的媒介</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本次招标公告同时在</w:t>
      </w:r>
      <w:r>
        <w:rPr>
          <w:rFonts w:hint="eastAsia" w:ascii="宋体" w:hAnsi="宋体"/>
          <w:color w:val="000000" w:themeColor="text1"/>
          <w:sz w:val="24"/>
          <w:u w:val="single"/>
          <w14:textFill>
            <w14:solidFill>
              <w14:schemeClr w14:val="tx1"/>
            </w14:solidFill>
          </w14:textFill>
        </w:rPr>
        <w:t>云南省公共资源交易信息网（昆明市）（网址：</w:t>
      </w:r>
      <w:r>
        <w:rPr>
          <w:rFonts w:ascii="宋体" w:hAnsi="宋体"/>
          <w:color w:val="000000" w:themeColor="text1"/>
          <w:sz w:val="24"/>
          <w:u w:val="single"/>
          <w14:textFill>
            <w14:solidFill>
              <w14:schemeClr w14:val="tx1"/>
            </w14:solidFill>
          </w14:textFill>
        </w:rPr>
        <w:t>https://ggzy.yn.gov.cn/#/homePage）</w:t>
      </w:r>
      <w:r>
        <w:rPr>
          <w:rFonts w:hint="eastAsia" w:ascii="宋体" w:hAnsi="宋体"/>
          <w:color w:val="000000" w:themeColor="text1"/>
          <w:sz w:val="24"/>
          <w14:textFill>
            <w14:solidFill>
              <w14:schemeClr w14:val="tx1"/>
            </w14:solidFill>
          </w14:textFill>
        </w:rPr>
        <w:t>（发布公告的所有媒介名称）上发布，我公司对其他网站或媒体转载的公告及公告内容不承担任何责任。</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．联系方式</w:t>
      </w:r>
    </w:p>
    <w:p>
      <w:pPr>
        <w:spacing w:line="43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招标人：昆明经济技术开发区规划建设局</w:t>
      </w:r>
    </w:p>
    <w:p>
      <w:pPr>
        <w:spacing w:line="43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址：昆明经济技术开发区信息产业基地春漫大道16号</w:t>
      </w:r>
    </w:p>
    <w:p>
      <w:pPr>
        <w:spacing w:line="43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联系人：刘工</w:t>
      </w:r>
    </w:p>
    <w:p>
      <w:pPr>
        <w:spacing w:line="43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联系电话：0871-68162958</w:t>
      </w:r>
    </w:p>
    <w:p>
      <w:pPr>
        <w:tabs>
          <w:tab w:val="left" w:pos="5580"/>
        </w:tabs>
        <w:spacing w:line="430" w:lineRule="exact"/>
        <w:ind w:firstLine="480" w:firstLineChars="200"/>
        <w:rPr>
          <w:rFonts w:ascii="宋体" w:hAnsi="宋体"/>
          <w:color w:val="000000" w:themeColor="text1"/>
          <w:sz w:val="24"/>
          <w14:textFill>
            <w14:solidFill>
              <w14:schemeClr w14:val="tx1"/>
            </w14:solidFill>
          </w14:textFill>
        </w:rPr>
      </w:pPr>
    </w:p>
    <w:p>
      <w:pPr>
        <w:tabs>
          <w:tab w:val="left" w:pos="1980"/>
        </w:tabs>
        <w:spacing w:line="43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招标代理机构：云南新创竣建设工程管理有限公司</w:t>
      </w:r>
    </w:p>
    <w:p>
      <w:pPr>
        <w:tabs>
          <w:tab w:val="left" w:pos="1980"/>
        </w:tabs>
        <w:spacing w:line="43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昆明市呈贡区朝云街七彩云南第壹城橙香苑8栋405</w:t>
      </w:r>
    </w:p>
    <w:p>
      <w:pPr>
        <w:tabs>
          <w:tab w:val="left" w:pos="1980"/>
        </w:tabs>
        <w:spacing w:line="43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ascii="宋体" w:hAnsi="宋体"/>
          <w:color w:val="000000" w:themeColor="text1"/>
          <w:sz w:val="24"/>
          <w14:textFill>
            <w14:solidFill>
              <w14:schemeClr w14:val="tx1"/>
            </w14:solidFill>
          </w14:textFill>
        </w:rPr>
        <w:t>系人：</w:t>
      </w:r>
      <w:r>
        <w:rPr>
          <w:rFonts w:hint="eastAsia" w:ascii="宋体" w:hAnsi="宋体"/>
          <w:color w:val="000000" w:themeColor="text1"/>
          <w:sz w:val="24"/>
          <w14:textFill>
            <w14:solidFill>
              <w14:schemeClr w14:val="tx1"/>
            </w14:solidFill>
          </w14:textFill>
        </w:rPr>
        <w:t>熊工</w:t>
      </w:r>
    </w:p>
    <w:p>
      <w:pPr>
        <w:tabs>
          <w:tab w:val="left" w:pos="1980"/>
        </w:tabs>
        <w:spacing w:line="43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话：0871-67017713</w:t>
      </w:r>
    </w:p>
    <w:p>
      <w:pPr>
        <w:spacing w:line="430" w:lineRule="exact"/>
        <w:ind w:firstLine="422" w:firstLineChars="200"/>
        <w:rPr>
          <w:rFonts w:ascii="宋体" w:hAnsi="宋体"/>
          <w:b/>
          <w:color w:val="000000" w:themeColor="text1"/>
          <w:szCs w:val="21"/>
          <w14:textFill>
            <w14:solidFill>
              <w14:schemeClr w14:val="tx1"/>
            </w14:solidFill>
          </w14:textFill>
        </w:rPr>
        <w:sectPr>
          <w:footerReference r:id="rId7" w:type="default"/>
          <w:type w:val="nextColumn"/>
          <w:pgSz w:w="11906" w:h="16838"/>
          <w:pgMar w:top="1304" w:right="1304" w:bottom="1304" w:left="1304" w:header="851" w:footer="832" w:gutter="0"/>
          <w:pgNumType w:fmt="numberInDash"/>
          <w:cols w:space="720" w:num="1"/>
          <w:titlePg/>
          <w:docGrid w:linePitch="312" w:charSpace="0"/>
        </w:sectPr>
      </w:pPr>
    </w:p>
    <w:bookmarkEnd w:id="13"/>
    <w:bookmarkEnd w:id="14"/>
    <w:bookmarkEnd w:id="15"/>
    <w:p>
      <w:pPr>
        <w:pStyle w:val="5"/>
        <w:spacing w:line="440" w:lineRule="exact"/>
        <w:jc w:val="center"/>
        <w:rPr>
          <w:rFonts w:ascii="宋体" w:hAnsi="宋体" w:eastAsia="宋体"/>
          <w:bCs w:val="0"/>
          <w:color w:val="000000" w:themeColor="text1"/>
          <w:sz w:val="40"/>
          <w:szCs w:val="44"/>
          <w14:textFill>
            <w14:solidFill>
              <w14:schemeClr w14:val="tx1"/>
            </w14:solidFill>
          </w14:textFill>
        </w:rPr>
      </w:pPr>
      <w:bookmarkStart w:id="16" w:name="_Toc136956282"/>
      <w:bookmarkStart w:id="17" w:name="_Toc529797919"/>
      <w:bookmarkStart w:id="18" w:name="_Toc347307760"/>
      <w:r>
        <w:rPr>
          <w:rFonts w:hint="eastAsia" w:ascii="宋体" w:hAnsi="宋体" w:eastAsia="宋体"/>
          <w:bCs w:val="0"/>
          <w:color w:val="000000" w:themeColor="text1"/>
          <w:sz w:val="40"/>
          <w:szCs w:val="44"/>
          <w14:textFill>
            <w14:solidFill>
              <w14:schemeClr w14:val="tx1"/>
            </w14:solidFill>
          </w14:textFill>
        </w:rPr>
        <w:t>第二章投标人须知前附表及投标人须知</w:t>
      </w:r>
      <w:bookmarkEnd w:id="16"/>
      <w:bookmarkEnd w:id="17"/>
      <w:bookmarkEnd w:id="18"/>
    </w:p>
    <w:p>
      <w:pPr>
        <w:pStyle w:val="6"/>
        <w:widowControl/>
        <w:spacing w:before="260" w:after="260" w:line="440" w:lineRule="exact"/>
        <w:jc w:val="center"/>
        <w:rPr>
          <w:rFonts w:ascii="宋体" w:hAnsi="宋体"/>
          <w:bCs w:val="0"/>
          <w:color w:val="000000" w:themeColor="text1"/>
          <w:kern w:val="0"/>
          <w:sz w:val="32"/>
          <w:szCs w:val="36"/>
          <w14:textFill>
            <w14:solidFill>
              <w14:schemeClr w14:val="tx1"/>
            </w14:solidFill>
          </w14:textFill>
        </w:rPr>
      </w:pPr>
      <w:bookmarkStart w:id="19" w:name="_Toc136956283"/>
      <w:bookmarkStart w:id="20" w:name="_Toc38462871"/>
      <w:bookmarkStart w:id="21" w:name="_Toc529797920"/>
      <w:bookmarkStart w:id="22" w:name="_Toc347307761"/>
      <w:bookmarkStart w:id="23" w:name="_Toc38031558"/>
      <w:r>
        <w:rPr>
          <w:rFonts w:hint="eastAsia" w:ascii="宋体" w:hAnsi="宋体"/>
          <w:bCs w:val="0"/>
          <w:color w:val="000000" w:themeColor="text1"/>
          <w:kern w:val="0"/>
          <w:sz w:val="32"/>
          <w:szCs w:val="36"/>
          <w14:textFill>
            <w14:solidFill>
              <w14:schemeClr w14:val="tx1"/>
            </w14:solidFill>
          </w14:textFill>
        </w:rPr>
        <w:t>一、投标人须知前附表</w:t>
      </w:r>
      <w:bookmarkEnd w:id="19"/>
      <w:bookmarkEnd w:id="20"/>
      <w:bookmarkEnd w:id="21"/>
      <w:bookmarkEnd w:id="22"/>
      <w:bookmarkEnd w:id="23"/>
    </w:p>
    <w:tbl>
      <w:tblPr>
        <w:tblStyle w:val="62"/>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97"/>
        <w:gridCol w:w="23"/>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条款号</w:t>
            </w:r>
          </w:p>
        </w:tc>
        <w:tc>
          <w:tcPr>
            <w:tcW w:w="2097" w:type="dxa"/>
            <w:vAlign w:val="center"/>
          </w:tcPr>
          <w:p>
            <w:pPr>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条款名称</w:t>
            </w:r>
          </w:p>
        </w:tc>
        <w:tc>
          <w:tcPr>
            <w:tcW w:w="6408" w:type="dxa"/>
            <w:gridSpan w:val="2"/>
            <w:vAlign w:val="center"/>
          </w:tcPr>
          <w:p>
            <w:pPr>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招标人</w:t>
            </w:r>
          </w:p>
        </w:tc>
        <w:tc>
          <w:tcPr>
            <w:tcW w:w="6408" w:type="dxa"/>
            <w:gridSpan w:val="2"/>
            <w:vAlign w:val="center"/>
          </w:tcPr>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招标人：昆明经济技术开发区规划建设局</w:t>
            </w:r>
          </w:p>
          <w:p>
            <w:pPr>
              <w:spacing w:line="43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地址：</w:t>
            </w:r>
            <w:r>
              <w:rPr>
                <w:rFonts w:hint="eastAsia" w:ascii="宋体" w:hAnsi="宋体"/>
                <w:color w:val="000000" w:themeColor="text1"/>
                <w:sz w:val="24"/>
                <w14:textFill>
                  <w14:solidFill>
                    <w14:schemeClr w14:val="tx1"/>
                  </w14:solidFill>
                </w14:textFill>
              </w:rPr>
              <w:t>昆明经济技术开发区信息产业基地春漫大道16号</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联系人：刘工</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联系电话：0871-68162958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1.1.3</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招标代理机构</w:t>
            </w:r>
          </w:p>
        </w:tc>
        <w:tc>
          <w:tcPr>
            <w:tcW w:w="6408" w:type="dxa"/>
            <w:gridSpan w:val="2"/>
            <w:vAlign w:val="center"/>
          </w:tcPr>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招标代理机构：云南新创竣建设工程管理有限公司</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地址：昆明市呈贡区朝云街七彩云南第壹城橙香苑8栋405</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联系人：熊工</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电话：</w:t>
            </w:r>
            <w:r>
              <w:rPr>
                <w:rFonts w:ascii="宋体" w:hAnsi="宋体"/>
                <w:snapToGrid w:val="0"/>
                <w:color w:val="000000" w:themeColor="text1"/>
                <w:kern w:val="0"/>
                <w:sz w:val="24"/>
                <w14:textFill>
                  <w14:solidFill>
                    <w14:schemeClr w14:val="tx1"/>
                  </w14:solidFill>
                </w14:textFill>
              </w:rPr>
              <w:t>0871-67017713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1.1.4</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项目名称及概况</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snapToGrid w:val="0"/>
                <w:color w:val="000000" w:themeColor="text1"/>
                <w:kern w:val="0"/>
                <w:sz w:val="24"/>
                <w14:textFill>
                  <w14:solidFill>
                    <w14:schemeClr w14:val="tx1"/>
                  </w14:solidFill>
                </w14:textFill>
              </w:rPr>
              <w:t>经开区143号路设计施工总承包</w:t>
            </w:r>
          </w:p>
          <w:p>
            <w:pPr>
              <w:autoSpaceDE w:val="0"/>
              <w:autoSpaceDN w:val="0"/>
              <w:adjustRightInd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项目概况：</w:t>
            </w:r>
            <w:r>
              <w:rPr>
                <w:rFonts w:hint="eastAsia" w:ascii="宋体" w:hAnsi="宋体"/>
                <w:color w:val="000000" w:themeColor="text1"/>
                <w:sz w:val="24"/>
                <w14:textFill>
                  <w14:solidFill>
                    <w14:schemeClr w14:val="tx1"/>
                  </w14:solidFill>
                </w14:textFill>
              </w:rPr>
              <w:t>经开区143号道路起于鸿翔路，止于139号路，全长约437米，红线宽20米，143号路为连接 139号路与鸿翔路的连接线，规划为城市支路，道路红线宽度 20m，设计速度 20km/h，为保证周边地块通行，同步实施139号路景明北路至143号路交叉口段南半幅（采用永临结合方案），长135米，红线宽13.5米。主要建设内容包括道路工程、综合管线工程、交通工程、照明工程、绿化景观工程、其他附属配套设施等。鸿翔路西侧设置污水管进行定向引排，新建雨污水管长度各约500米，具体实施内容以经批准的施工设计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资金来源</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政府投资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1.2.2</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出资比例</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ascii="宋体" w:hAnsi="宋体"/>
                <w:snapToGrid w:val="0"/>
                <w:color w:val="000000" w:themeColor="text1"/>
                <w:sz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1.2.3</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资金落实情况</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招标范围</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该项目为设计施工总承包工程，包括但不限于：</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工程设计部分：经开区143号路设计施工总承包的初步设计（含概算编制）、施工图设计等满足施工要求的设计内容，并配合完成工程设计有关报批、审批工作，完成初步设计和施工图设计阶段专项技术方案审查，完成全套设计成果资料制作，配合审图公司完成施工图审查，配合招标人报批报建、专家咨询、资料收集等相关工作，以及施工过程中的全过程设计服务及协调工作，工程质量缺陷责任期内的设计等后续跟踪服务。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（2）工程施工部分：完成经招标人、审图公司审核通过的各子项目设计施工图，及经招标人审核通过的施工图预算中所包括的全部工程施工任务，具体内容以工程实际情况为准。</w:t>
            </w:r>
          </w:p>
          <w:p>
            <w:pPr>
              <w:spacing w:line="44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实施过程管理中协助招标人办理设计施工总承包各阶段的报建、审查、审批、办证、备案等的相关手续，配合完成必要的安全评估和检查、综合调试、施工图的审核、试运行考核、竣工验收、移交、工程缺陷责任期的工程缺陷修复、保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1.3.2</w:t>
            </w:r>
          </w:p>
        </w:tc>
        <w:tc>
          <w:tcPr>
            <w:tcW w:w="2097" w:type="dxa"/>
            <w:vAlign w:val="center"/>
          </w:tcPr>
          <w:p>
            <w:pPr>
              <w:spacing w:line="440" w:lineRule="exact"/>
              <w:ind w:left="480" w:hanging="480" w:hanging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计划工期</w:t>
            </w:r>
          </w:p>
        </w:tc>
        <w:tc>
          <w:tcPr>
            <w:tcW w:w="6408" w:type="dxa"/>
            <w:gridSpan w:val="2"/>
            <w:vAlign w:val="center"/>
          </w:tcPr>
          <w:p>
            <w:pPr>
              <w:autoSpaceDE w:val="0"/>
              <w:autoSpaceDN w:val="0"/>
              <w:adjustRightInd w:val="0"/>
              <w:spacing w:line="440" w:lineRule="exac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①设计周期：合同签订后30 日历天内提交全套成果资料；②施工工期：</w:t>
            </w:r>
            <w:r>
              <w:rPr>
                <w:rFonts w:asciiTheme="majorEastAsia" w:hAnsiTheme="majorEastAsia" w:eastAsiaTheme="majorEastAsia"/>
                <w:color w:val="000000" w:themeColor="text1"/>
                <w:sz w:val="24"/>
                <w14:textFill>
                  <w14:solidFill>
                    <w14:schemeClr w14:val="tx1"/>
                  </w14:solidFill>
                </w14:textFill>
              </w:rPr>
              <w:t>18</w:t>
            </w:r>
            <w:r>
              <w:rPr>
                <w:rFonts w:hint="eastAsia" w:asciiTheme="majorEastAsia" w:hAnsiTheme="majorEastAsia" w:eastAsiaTheme="majorEastAsia"/>
                <w:color w:val="000000" w:themeColor="text1"/>
                <w:sz w:val="24"/>
                <w14:textFill>
                  <w14:solidFill>
                    <w14:schemeClr w14:val="tx1"/>
                  </w14:solidFill>
                </w14:textFill>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1.3.3</w:t>
            </w:r>
          </w:p>
        </w:tc>
        <w:tc>
          <w:tcPr>
            <w:tcW w:w="2097" w:type="dxa"/>
            <w:vAlign w:val="center"/>
          </w:tcPr>
          <w:p>
            <w:pPr>
              <w:spacing w:line="440" w:lineRule="exact"/>
              <w:ind w:left="480" w:hanging="480" w:hanging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质量要求</w:t>
            </w:r>
          </w:p>
        </w:tc>
        <w:tc>
          <w:tcPr>
            <w:tcW w:w="6408" w:type="dxa"/>
            <w:gridSpan w:val="2"/>
            <w:vAlign w:val="center"/>
          </w:tcPr>
          <w:p>
            <w:pPr>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①工程设计部分：符合国家及地方现行的设计标准及规范要求，确保通过审批，并对所提供的设计成果负终身质量责任；②工程施工部分：符合《建筑工程施工质量验收统一标准》（</w:t>
            </w:r>
            <w:r>
              <w:rPr>
                <w:rFonts w:ascii="宋体" w:hAnsi="宋体"/>
                <w:snapToGrid w:val="0"/>
                <w:color w:val="000000" w:themeColor="text1"/>
                <w:kern w:val="0"/>
                <w:sz w:val="24"/>
                <w14:textFill>
                  <w14:solidFill>
                    <w14:schemeClr w14:val="tx1"/>
                  </w14:solidFill>
                </w14:textFill>
              </w:rPr>
              <w:t>GB50300-2013）及现行国家相关规范及要求，一次性验收合格</w:t>
            </w: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1.3.4</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标段划分</w:t>
            </w:r>
          </w:p>
        </w:tc>
        <w:tc>
          <w:tcPr>
            <w:tcW w:w="6408" w:type="dxa"/>
            <w:gridSpan w:val="2"/>
            <w:vAlign w:val="center"/>
          </w:tcPr>
          <w:p>
            <w:pPr>
              <w:spacing w:line="440" w:lineRule="exact"/>
              <w:ind w:left="720" w:hanging="720" w:hangingChars="300"/>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本项目不划分标段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投标人资质条件、能力和信誉</w:t>
            </w:r>
          </w:p>
        </w:tc>
        <w:tc>
          <w:tcPr>
            <w:tcW w:w="6408" w:type="dxa"/>
            <w:gridSpan w:val="2"/>
            <w:vAlign w:val="center"/>
          </w:tcPr>
          <w:p>
            <w:pPr>
              <w:autoSpaceDE w:val="0"/>
              <w:autoSpaceDN w:val="0"/>
              <w:adjustRightInd w:val="0"/>
              <w:spacing w:line="360" w:lineRule="auto"/>
              <w:rPr>
                <w:rFonts w:ascii="宋体" w:hAnsi="宋体"/>
                <w:snapToGrid w:val="0"/>
                <w:color w:val="000000" w:themeColor="text1"/>
                <w:kern w:val="0"/>
                <w:sz w:val="24"/>
                <w14:textFill>
                  <w14:solidFill>
                    <w14:schemeClr w14:val="tx1"/>
                  </w14:solidFill>
                </w14:textFill>
              </w:rPr>
            </w:pPr>
            <w:r>
              <w:rPr>
                <w:rFonts w:ascii="宋体" w:hAnsi="宋体"/>
                <w:b/>
                <w:bCs/>
                <w:snapToGrid w:val="0"/>
                <w:color w:val="000000" w:themeColor="text1"/>
                <w:kern w:val="0"/>
                <w:sz w:val="24"/>
                <w14:textFill>
                  <w14:solidFill>
                    <w14:schemeClr w14:val="tx1"/>
                  </w14:solidFill>
                </w14:textFill>
              </w:rPr>
              <w:t>营业执照等证明文件</w:t>
            </w:r>
            <w:r>
              <w:rPr>
                <w:rFonts w:ascii="宋体" w:hAnsi="宋体"/>
                <w:snapToGrid w:val="0"/>
                <w:color w:val="000000" w:themeColor="text1"/>
                <w:kern w:val="0"/>
                <w:sz w:val="24"/>
                <w14:textFill>
                  <w14:solidFill>
                    <w14:schemeClr w14:val="tx1"/>
                  </w14:solidFill>
                </w14:textFill>
              </w:rPr>
              <w:t>：投标人须为具备经国家市场监督管理部门登记注册的独立企业（事业）法人或其它组织，</w:t>
            </w:r>
            <w:r>
              <w:rPr>
                <w:rFonts w:hint="eastAsia" w:ascii="宋体" w:hAnsi="宋体"/>
                <w:color w:val="000000" w:themeColor="text1"/>
                <w:sz w:val="24"/>
                <w14:textFill>
                  <w14:solidFill>
                    <w14:schemeClr w14:val="tx1"/>
                  </w14:solidFill>
                </w14:textFill>
              </w:rPr>
              <w:t>具备有效的营业执照或事业单位法人证书或其他类似法定凭证</w:t>
            </w:r>
            <w:r>
              <w:rPr>
                <w:rFonts w:ascii="宋体" w:hAnsi="宋体"/>
                <w:snapToGrid w:val="0"/>
                <w:color w:val="000000" w:themeColor="text1"/>
                <w:kern w:val="0"/>
                <w:sz w:val="24"/>
                <w14:textFill>
                  <w14:solidFill>
                    <w14:schemeClr w14:val="tx1"/>
                  </w14:solidFill>
                </w14:textFill>
              </w:rPr>
              <w:t>。</w:t>
            </w:r>
          </w:p>
          <w:p>
            <w:pPr>
              <w:autoSpaceDE w:val="0"/>
              <w:autoSpaceDN w:val="0"/>
              <w:adjustRightInd w:val="0"/>
              <w:spacing w:line="360" w:lineRule="auto"/>
              <w:rPr>
                <w:rFonts w:ascii="宋体" w:hAnsi="宋体"/>
                <w:snapToGrid w:val="0"/>
                <w:color w:val="000000" w:themeColor="text1"/>
                <w:kern w:val="0"/>
                <w:sz w:val="24"/>
                <w14:textFill>
                  <w14:solidFill>
                    <w14:schemeClr w14:val="tx1"/>
                  </w14:solidFill>
                </w14:textFill>
              </w:rPr>
            </w:pPr>
            <w:r>
              <w:rPr>
                <w:rFonts w:ascii="宋体" w:hAnsi="宋体"/>
                <w:b/>
                <w:bCs/>
                <w:snapToGrid w:val="0"/>
                <w:color w:val="000000" w:themeColor="text1"/>
                <w:kern w:val="0"/>
                <w:sz w:val="24"/>
                <w14:textFill>
                  <w14:solidFill>
                    <w14:schemeClr w14:val="tx1"/>
                  </w14:solidFill>
                </w14:textFill>
              </w:rPr>
              <w:t>资质证书</w:t>
            </w:r>
            <w:r>
              <w:rPr>
                <w:rFonts w:ascii="宋体" w:hAnsi="宋体"/>
                <w:snapToGrid w:val="0"/>
                <w:color w:val="000000" w:themeColor="text1"/>
                <w:kern w:val="0"/>
                <w:sz w:val="24"/>
                <w14:textFill>
                  <w14:solidFill>
                    <w14:schemeClr w14:val="tx1"/>
                  </w14:solidFill>
                </w14:textFill>
              </w:rPr>
              <w:t>：投标人须同时具备①工程设计：具备建设行政主管部门颁发的工程设计综合</w:t>
            </w:r>
            <w:r>
              <w:rPr>
                <w:rFonts w:hint="eastAsia" w:ascii="宋体" w:hAnsi="宋体"/>
                <w:snapToGrid w:val="0"/>
                <w:color w:val="000000" w:themeColor="text1"/>
                <w:kern w:val="0"/>
                <w:sz w:val="24"/>
                <w14:textFill>
                  <w14:solidFill>
                    <w14:schemeClr w14:val="tx1"/>
                  </w14:solidFill>
                </w14:textFill>
              </w:rPr>
              <w:t>甲级资质或市政行业（道路工程）专业乙级或以上资质；②工程施工：具备建设行政主管部门颁发的市政公用工程施工总承包贰级或以上资质。</w:t>
            </w:r>
          </w:p>
          <w:p>
            <w:pPr>
              <w:autoSpaceDE w:val="0"/>
              <w:autoSpaceDN w:val="0"/>
              <w:adjustRightInd w:val="0"/>
              <w:spacing w:line="360" w:lineRule="auto"/>
              <w:rPr>
                <w:rFonts w:ascii="宋体" w:hAnsi="宋体"/>
                <w:snapToGrid w:val="0"/>
                <w:color w:val="000000" w:themeColor="text1"/>
                <w:kern w:val="0"/>
                <w:sz w:val="24"/>
                <w14:textFill>
                  <w14:solidFill>
                    <w14:schemeClr w14:val="tx1"/>
                  </w14:solidFill>
                </w14:textFill>
              </w:rPr>
            </w:pPr>
            <w:r>
              <w:rPr>
                <w:rFonts w:ascii="宋体" w:hAnsi="宋体"/>
                <w:b/>
                <w:bCs/>
                <w:snapToGrid w:val="0"/>
                <w:color w:val="000000" w:themeColor="text1"/>
                <w:kern w:val="0"/>
                <w:sz w:val="24"/>
                <w14:textFill>
                  <w14:solidFill>
                    <w14:schemeClr w14:val="tx1"/>
                  </w14:solidFill>
                </w14:textFill>
              </w:rPr>
              <w:t>安全生产许可证</w:t>
            </w:r>
            <w:r>
              <w:rPr>
                <w:rFonts w:ascii="宋体" w:hAnsi="宋体"/>
                <w:snapToGrid w:val="0"/>
                <w:color w:val="000000" w:themeColor="text1"/>
                <w:kern w:val="0"/>
                <w:sz w:val="24"/>
                <w14:textFill>
                  <w14:solidFill>
                    <w14:schemeClr w14:val="tx1"/>
                  </w14:solidFill>
                </w14:textFill>
              </w:rPr>
              <w:t>：投标人（</w:t>
            </w:r>
            <w:r>
              <w:rPr>
                <w:rFonts w:hint="eastAsia" w:ascii="宋体" w:hAnsi="宋体"/>
                <w:snapToGrid w:val="0"/>
                <w:color w:val="000000" w:themeColor="text1"/>
                <w:kern w:val="0"/>
                <w:sz w:val="24"/>
                <w14:textFill>
                  <w14:solidFill>
                    <w14:schemeClr w14:val="tx1"/>
                  </w14:solidFill>
                </w14:textFill>
              </w:rPr>
              <w:t>指独立投标人或联合体中</w:t>
            </w:r>
            <w:r>
              <w:rPr>
                <w:rFonts w:ascii="宋体" w:hAnsi="宋体"/>
                <w:snapToGrid w:val="0"/>
                <w:color w:val="000000" w:themeColor="text1"/>
                <w:kern w:val="0"/>
                <w:sz w:val="24"/>
                <w14:textFill>
                  <w14:solidFill>
                    <w14:schemeClr w14:val="tx1"/>
                  </w14:solidFill>
                </w14:textFill>
              </w:rPr>
              <w:t>施工</w:t>
            </w:r>
            <w:r>
              <w:rPr>
                <w:rFonts w:hint="eastAsia" w:ascii="宋体" w:hAnsi="宋体"/>
                <w:snapToGrid w:val="0"/>
                <w:color w:val="000000" w:themeColor="text1"/>
                <w:kern w:val="0"/>
                <w:sz w:val="24"/>
                <w14:textFill>
                  <w14:solidFill>
                    <w14:schemeClr w14:val="tx1"/>
                  </w14:solidFill>
                </w14:textFill>
              </w:rPr>
              <w:t>单位</w:t>
            </w:r>
            <w:r>
              <w:rPr>
                <w:rFonts w:ascii="宋体" w:hAnsi="宋体"/>
                <w:snapToGrid w:val="0"/>
                <w:color w:val="000000" w:themeColor="text1"/>
                <w:kern w:val="0"/>
                <w:sz w:val="24"/>
                <w14:textFill>
                  <w14:solidFill>
                    <w14:schemeClr w14:val="tx1"/>
                  </w14:solidFill>
                </w14:textFill>
              </w:rPr>
              <w:t>）须具备建设行政主管部门颁发的安全生产许可证，并在有效期内。</w:t>
            </w:r>
          </w:p>
          <w:p>
            <w:pPr>
              <w:autoSpaceDE w:val="0"/>
              <w:autoSpaceDN w:val="0"/>
              <w:adjustRightInd w:val="0"/>
              <w:spacing w:line="360" w:lineRule="auto"/>
              <w:rPr>
                <w:rFonts w:ascii="宋体" w:hAnsi="宋体"/>
                <w:snapToGrid w:val="0"/>
                <w:color w:val="000000" w:themeColor="text1"/>
                <w:kern w:val="0"/>
                <w:sz w:val="24"/>
                <w14:textFill>
                  <w14:solidFill>
                    <w14:schemeClr w14:val="tx1"/>
                  </w14:solidFill>
                </w14:textFill>
              </w:rPr>
            </w:pPr>
            <w:r>
              <w:rPr>
                <w:rFonts w:ascii="宋体" w:hAnsi="宋体"/>
                <w:b/>
                <w:bCs/>
                <w:snapToGrid w:val="0"/>
                <w:color w:val="000000" w:themeColor="text1"/>
                <w:kern w:val="0"/>
                <w:sz w:val="24"/>
                <w14:textFill>
                  <w14:solidFill>
                    <w14:schemeClr w14:val="tx1"/>
                  </w14:solidFill>
                </w14:textFill>
              </w:rPr>
              <w:t>财务状况</w:t>
            </w:r>
            <w:r>
              <w:rPr>
                <w:rFonts w:ascii="宋体" w:hAnsi="宋体"/>
                <w:snapToGrid w:val="0"/>
                <w:color w:val="000000" w:themeColor="text1"/>
                <w:kern w:val="0"/>
                <w:sz w:val="24"/>
                <w14:textFill>
                  <w14:solidFill>
                    <w14:schemeClr w14:val="tx1"/>
                  </w14:solidFill>
                </w14:textFill>
              </w:rPr>
              <w:t>：投标人应具有良好的财务状况，具备近三年（2019-2021</w:t>
            </w:r>
            <w:r>
              <w:rPr>
                <w:rFonts w:hint="eastAsia" w:ascii="宋体" w:hAnsi="宋体"/>
                <w:snapToGrid w:val="0"/>
                <w:color w:val="000000" w:themeColor="text1"/>
                <w:kern w:val="0"/>
                <w:sz w:val="24"/>
                <w14:textFill>
                  <w14:solidFill>
                    <w14:schemeClr w14:val="tx1"/>
                  </w14:solidFill>
                </w14:textFill>
              </w:rPr>
              <w:t>）经会计师事务所或审计机构审计的财务报表及审计报告（成立时间不足三年的，自成立初年提供），联合体牵头方和成员方均需提供。</w:t>
            </w:r>
          </w:p>
          <w:p>
            <w:pPr>
              <w:autoSpaceDE w:val="0"/>
              <w:autoSpaceDN w:val="0"/>
              <w:adjustRightInd w:val="0"/>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b/>
                <w:bCs/>
                <w:snapToGrid w:val="0"/>
                <w:color w:val="000000" w:themeColor="text1"/>
                <w:kern w:val="0"/>
                <w:sz w:val="24"/>
                <w14:textFill>
                  <w14:solidFill>
                    <w14:schemeClr w14:val="tx1"/>
                  </w14:solidFill>
                </w14:textFill>
              </w:rPr>
              <w:t>企业类似业绩</w:t>
            </w:r>
            <w:r>
              <w:rPr>
                <w:rFonts w:hint="eastAsia" w:ascii="宋体" w:hAnsi="宋体"/>
                <w:snapToGrid w:val="0"/>
                <w:color w:val="000000" w:themeColor="text1"/>
                <w:kern w:val="0"/>
                <w:sz w:val="24"/>
                <w14:textFill>
                  <w14:solidFill>
                    <w14:schemeClr w14:val="tx1"/>
                  </w14:solidFill>
                </w14:textFill>
              </w:rPr>
              <w:t>：近三年（</w:t>
            </w:r>
            <w:r>
              <w:rPr>
                <w:rFonts w:ascii="宋体" w:hAnsi="宋体"/>
                <w:snapToGrid w:val="0"/>
                <w:color w:val="000000" w:themeColor="text1"/>
                <w:kern w:val="0"/>
                <w:sz w:val="24"/>
                <w14:textFill>
                  <w14:solidFill>
                    <w14:schemeClr w14:val="tx1"/>
                  </w14:solidFill>
                </w14:textFill>
              </w:rPr>
              <w:t>201</w:t>
            </w:r>
            <w:r>
              <w:rPr>
                <w:rFonts w:hint="eastAsia" w:ascii="宋体" w:hAnsi="宋体"/>
                <w:snapToGrid w:val="0"/>
                <w:color w:val="000000" w:themeColor="text1"/>
                <w:kern w:val="0"/>
                <w:sz w:val="24"/>
                <w14:textFill>
                  <w14:solidFill>
                    <w14:schemeClr w14:val="tx1"/>
                  </w14:solidFill>
                </w14:textFill>
              </w:rPr>
              <w:t>9年-</w:t>
            </w:r>
            <w:r>
              <w:rPr>
                <w:rFonts w:ascii="宋体" w:hAnsi="宋体"/>
                <w:snapToGrid w:val="0"/>
                <w:color w:val="000000" w:themeColor="text1"/>
                <w:kern w:val="0"/>
                <w:sz w:val="24"/>
                <w14:textFill>
                  <w14:solidFill>
                    <w14:schemeClr w14:val="tx1"/>
                  </w14:solidFill>
                </w14:textFill>
              </w:rPr>
              <w:t>至今）承担过下述类似业绩，已完成或正在实施均可：</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设计业绩：建安工程费2000万元及以上或设计费</w:t>
            </w:r>
            <w:r>
              <w:rPr>
                <w:rFonts w:hint="eastAsia" w:ascii="宋体" w:hAnsi="宋体"/>
                <w:snapToGrid w:val="0"/>
                <w:color w:val="000000" w:themeColor="text1"/>
                <w:kern w:val="0"/>
                <w:sz w:val="24"/>
                <w:u w:val="single"/>
                <w14:textFill>
                  <w14:solidFill>
                    <w14:schemeClr w14:val="tx1"/>
                  </w14:solidFill>
                </w14:textFill>
              </w:rPr>
              <w:t xml:space="preserve"> 50  </w:t>
            </w:r>
            <w:r>
              <w:rPr>
                <w:rFonts w:hint="eastAsia" w:ascii="宋体" w:hAnsi="宋体"/>
                <w:snapToGrid w:val="0"/>
                <w:color w:val="000000" w:themeColor="text1"/>
                <w:kern w:val="0"/>
                <w:sz w:val="24"/>
                <w14:textFill>
                  <w14:solidFill>
                    <w14:schemeClr w14:val="tx1"/>
                  </w14:solidFill>
                </w14:textFill>
              </w:rPr>
              <w:t>万元及以上的市政工程设计至少</w:t>
            </w:r>
            <w:r>
              <w:rPr>
                <w:rFonts w:ascii="宋体" w:hAnsi="宋体"/>
                <w:snapToGrid w:val="0"/>
                <w:color w:val="000000" w:themeColor="text1"/>
                <w:kern w:val="0"/>
                <w:sz w:val="24"/>
                <w14:textFill>
                  <w14:solidFill>
                    <w14:schemeClr w14:val="tx1"/>
                  </w14:solidFill>
                </w14:textFill>
              </w:rPr>
              <w:t>1个；</w:t>
            </w:r>
          </w:p>
          <w:p>
            <w:pPr>
              <w:autoSpaceDE w:val="0"/>
              <w:autoSpaceDN w:val="0"/>
              <w:adjustRightIn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施工业绩：建安工程费2000万元及其以上的市政工程施工至少1个；</w:t>
            </w:r>
          </w:p>
          <w:p>
            <w:pPr>
              <w:autoSpaceDE w:val="0"/>
              <w:autoSpaceDN w:val="0"/>
              <w:adjustRightInd w:val="0"/>
              <w:spacing w:line="360" w:lineRule="auto"/>
              <w:ind w:firstLine="482" w:firstLineChars="200"/>
              <w:rPr>
                <w:rFonts w:ascii="宋体" w:hAnsi="宋体"/>
                <w:b/>
                <w:snapToGrid w:val="0"/>
                <w:color w:val="000000" w:themeColor="text1"/>
                <w:kern w:val="0"/>
                <w:sz w:val="24"/>
                <w14:textFill>
                  <w14:solidFill>
                    <w14:schemeClr w14:val="tx1"/>
                  </w14:solidFill>
                </w14:textFill>
              </w:rPr>
            </w:pPr>
            <w:r>
              <w:rPr>
                <w:rFonts w:hint="eastAsia" w:ascii="宋体" w:hAnsi="宋体"/>
                <w:b/>
                <w:snapToGrid w:val="0"/>
                <w:color w:val="000000" w:themeColor="text1"/>
                <w:kern w:val="0"/>
                <w:sz w:val="24"/>
                <w14:textFill>
                  <w14:solidFill>
                    <w14:schemeClr w14:val="tx1"/>
                  </w14:solidFill>
                </w14:textFill>
              </w:rPr>
              <w:t>注意事项：1、如某个业绩同时满足上述标准的，可视为同时满足要求；2、提供业绩证明材料如中标通知书或合同协议书。</w:t>
            </w:r>
          </w:p>
          <w:p>
            <w:pPr>
              <w:autoSpaceDE w:val="0"/>
              <w:autoSpaceDN w:val="0"/>
              <w:adjustRightInd w:val="0"/>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b/>
                <w:bCs/>
                <w:snapToGrid w:val="0"/>
                <w:color w:val="000000" w:themeColor="text1"/>
                <w:kern w:val="0"/>
                <w:sz w:val="24"/>
                <w14:textFill>
                  <w14:solidFill>
                    <w14:schemeClr w14:val="tx1"/>
                  </w14:solidFill>
                </w14:textFill>
              </w:rPr>
              <w:t>主要管理人员</w:t>
            </w:r>
            <w:r>
              <w:rPr>
                <w:rFonts w:hint="eastAsia" w:ascii="宋体" w:hAnsi="宋体"/>
                <w:snapToGrid w:val="0"/>
                <w:color w:val="000000" w:themeColor="text1"/>
                <w:kern w:val="0"/>
                <w:sz w:val="24"/>
                <w14:textFill>
                  <w14:solidFill>
                    <w14:schemeClr w14:val="tx1"/>
                  </w14:solidFill>
                </w14:textFill>
              </w:rPr>
              <w:t>：</w:t>
            </w:r>
          </w:p>
          <w:p>
            <w:pPr>
              <w:autoSpaceDE w:val="0"/>
              <w:autoSpaceDN w:val="0"/>
              <w:adjustRightInd w:val="0"/>
              <w:spacing w:line="360" w:lineRule="auto"/>
              <w:rPr>
                <w:rFonts w:ascii="宋体" w:hAnsi="宋体"/>
                <w:snapToGrid w:val="0"/>
                <w:color w:val="000000" w:themeColor="text1"/>
                <w:kern w:val="0"/>
                <w:sz w:val="24"/>
                <w14:textFill>
                  <w14:solidFill>
                    <w14:schemeClr w14:val="tx1"/>
                  </w14:solidFill>
                </w14:textFill>
              </w:rPr>
            </w:pPr>
            <w:r>
              <w:rPr>
                <w:rFonts w:hint="eastAsia" w:ascii="等线" w:hAnsi="等线" w:eastAsia="等线"/>
                <w:snapToGrid w:val="0"/>
                <w:color w:val="000000" w:themeColor="text1"/>
                <w:kern w:val="0"/>
                <w:sz w:val="24"/>
                <w14:textFill>
                  <w14:solidFill>
                    <w14:schemeClr w14:val="tx1"/>
                  </w14:solidFill>
                </w14:textFill>
              </w:rPr>
              <w:t>①</w:t>
            </w:r>
            <w:r>
              <w:rPr>
                <w:rFonts w:hint="eastAsia" w:ascii="宋体" w:hAnsi="宋体"/>
                <w:snapToGrid w:val="0"/>
                <w:color w:val="000000" w:themeColor="text1"/>
                <w:kern w:val="0"/>
                <w:sz w:val="24"/>
                <w14:textFill>
                  <w14:solidFill>
                    <w14:schemeClr w14:val="tx1"/>
                  </w14:solidFill>
                </w14:textFill>
              </w:rPr>
              <w:t>项目负责人（兼任设计负责人）：应具有建设行政主管部门颁发的注册土木工程师（道路工程）证书，具有高级工程师及其以上专业技术职称证书，提供劳动合同及社保缴费证明。</w:t>
            </w:r>
          </w:p>
          <w:p>
            <w:pPr>
              <w:autoSpaceDE w:val="0"/>
              <w:autoSpaceDN w:val="0"/>
              <w:adjustRightInd w:val="0"/>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②施工负责人（项目经理）：施工项目经理须为施工单位人员，应具有建设行政主管部门颁发的一级注册建造师证书（市政公用工程），并取得有效的安全生产考核合格证书，具有工程师及其以上专业技术职称证书，且不得担任其他在建项目的项目经理(提供承诺)，提供劳动合同及社保缴费证明。</w:t>
            </w:r>
          </w:p>
          <w:p>
            <w:pPr>
              <w:autoSpaceDE w:val="0"/>
              <w:autoSpaceDN w:val="0"/>
              <w:adjustRightInd w:val="0"/>
              <w:spacing w:line="360" w:lineRule="auto"/>
              <w:rPr>
                <w:rFonts w:ascii="宋体" w:hAnsi="宋体"/>
                <w:snapToGrid w:val="0"/>
                <w:color w:val="000000" w:themeColor="text1"/>
                <w:kern w:val="0"/>
                <w:sz w:val="24"/>
                <w14:textFill>
                  <w14:solidFill>
                    <w14:schemeClr w14:val="tx1"/>
                  </w14:solidFill>
                </w14:textFill>
              </w:rPr>
            </w:pPr>
            <m:oMath>
              <m:r>
                <m:rPr>
                  <m:sty m:val="p"/>
                </m:rPr>
                <w:rPr>
                  <w:rFonts w:hint="eastAsia" w:ascii="Cambria Math" w:hAnsi="Cambria Math"/>
                  <w:snapToGrid w:val="0"/>
                  <w:color w:val="000000" w:themeColor="text1"/>
                  <w:kern w:val="0"/>
                  <w:sz w:val="24"/>
                  <w14:textFill>
                    <w14:solidFill>
                      <w14:schemeClr w14:val="tx1"/>
                    </w14:solidFill>
                  </w14:textFill>
                </w:rPr>
                <m:t>③</m:t>
              </m:r>
            </m:oMath>
            <w:r>
              <w:rPr>
                <w:rFonts w:hint="eastAsia" w:ascii="宋体" w:hAnsi="宋体"/>
                <w:snapToGrid w:val="0"/>
                <w:color w:val="000000" w:themeColor="text1"/>
                <w:kern w:val="0"/>
                <w:sz w:val="24"/>
                <w14:textFill>
                  <w14:solidFill>
                    <w14:schemeClr w14:val="tx1"/>
                  </w14:solidFill>
                </w14:textFill>
              </w:rPr>
              <w:t>施工技术负责人：应具有工程师及其以上专业技术职称证书，提供劳动合同及社保缴费证明。</w:t>
            </w:r>
          </w:p>
          <w:p>
            <w:pPr>
              <w:autoSpaceDE w:val="0"/>
              <w:autoSpaceDN w:val="0"/>
              <w:adjustRightInd w:val="0"/>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b/>
                <w:bCs/>
                <w:snapToGrid w:val="0"/>
                <w:color w:val="000000" w:themeColor="text1"/>
                <w:kern w:val="0"/>
                <w:sz w:val="24"/>
                <w14:textFill>
                  <w14:solidFill>
                    <w14:schemeClr w14:val="tx1"/>
                  </w14:solidFill>
                </w14:textFill>
              </w:rPr>
              <w:t>施工项目组成员：</w:t>
            </w:r>
            <w:r>
              <w:rPr>
                <w:rFonts w:hint="eastAsia" w:ascii="宋体" w:hAnsi="宋体"/>
                <w:snapToGrid w:val="0"/>
                <w:color w:val="000000" w:themeColor="text1"/>
                <w:kern w:val="0"/>
                <w:sz w:val="24"/>
                <w14:textFill>
                  <w14:solidFill>
                    <w14:schemeClr w14:val="tx1"/>
                  </w14:solidFill>
                </w14:textFill>
              </w:rPr>
              <w:t>除施工项目经理和施工技术负责人外，拟派往本工程的的施工管理人员至少还应</w:t>
            </w:r>
            <w:r>
              <w:rPr>
                <w:rFonts w:ascii="宋体" w:hAnsi="宋体"/>
                <w:snapToGrid w:val="0"/>
                <w:color w:val="000000" w:themeColor="text1"/>
                <w:kern w:val="0"/>
                <w:sz w:val="24"/>
                <w14:textFill>
                  <w14:solidFill>
                    <w14:schemeClr w14:val="tx1"/>
                  </w14:solidFill>
                </w14:textFill>
              </w:rPr>
              <w:t>包括施工员、安全员、质量员、材料员、标准员、机械员、劳务员、资料员、造价人员（具有注册造价工程师资格证书）等</w:t>
            </w: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提供相应岗位证书、注册证书（如有）、劳动合同及社保缴费证明</w:t>
            </w:r>
            <w:r>
              <w:rPr>
                <w:rFonts w:hint="eastAsia" w:ascii="宋体" w:hAnsi="宋体"/>
                <w:snapToGrid w:val="0"/>
                <w:color w:val="000000" w:themeColor="text1"/>
                <w:kern w:val="0"/>
                <w:sz w:val="24"/>
                <w14:textFill>
                  <w14:solidFill>
                    <w14:schemeClr w14:val="tx1"/>
                  </w14:solidFill>
                </w14:textFill>
              </w:rPr>
              <w:t>。</w:t>
            </w:r>
          </w:p>
          <w:p>
            <w:pPr>
              <w:autoSpaceDE w:val="0"/>
              <w:autoSpaceDN w:val="0"/>
              <w:adjustRightInd w:val="0"/>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b/>
                <w:bCs/>
                <w:snapToGrid w:val="0"/>
                <w:color w:val="000000" w:themeColor="text1"/>
                <w:kern w:val="0"/>
                <w:sz w:val="24"/>
                <w14:textFill>
                  <w14:solidFill>
                    <w14:schemeClr w14:val="tx1"/>
                  </w14:solidFill>
                </w14:textFill>
              </w:rPr>
              <w:t>企业信誉</w:t>
            </w:r>
            <w:r>
              <w:rPr>
                <w:rFonts w:hint="eastAsia" w:ascii="宋体" w:hAnsi="宋体"/>
                <w:snapToGrid w:val="0"/>
                <w:color w:val="000000" w:themeColor="text1"/>
                <w:kern w:val="0"/>
                <w:sz w:val="24"/>
                <w14:textFill>
                  <w14:solidFill>
                    <w14:schemeClr w14:val="tx1"/>
                  </w14:solidFill>
                </w14:textFill>
              </w:rPr>
              <w:t>：投标人没有处于被责令停业、投标资格被暂停或取消、财产被接管、冻结、破产等状态；近三年（</w:t>
            </w:r>
            <w:r>
              <w:rPr>
                <w:rFonts w:ascii="宋体" w:hAnsi="宋体"/>
                <w:snapToGrid w:val="0"/>
                <w:color w:val="000000" w:themeColor="text1"/>
                <w:kern w:val="0"/>
                <w:sz w:val="24"/>
                <w14:textFill>
                  <w14:solidFill>
                    <w14:schemeClr w14:val="tx1"/>
                  </w14:solidFill>
                </w14:textFill>
              </w:rPr>
              <w:t>2019</w:t>
            </w:r>
            <w:r>
              <w:rPr>
                <w:rFonts w:hint="eastAsia" w:ascii="宋体" w:hAnsi="宋体"/>
                <w:snapToGrid w:val="0"/>
                <w:color w:val="000000" w:themeColor="text1"/>
                <w:kern w:val="0"/>
                <w:sz w:val="24"/>
                <w14:textFill>
                  <w14:solidFill>
                    <w14:schemeClr w14:val="tx1"/>
                  </w14:solidFill>
                </w14:textFill>
              </w:rPr>
              <w:t>年</w:t>
            </w:r>
            <w:r>
              <w:rPr>
                <w:rFonts w:ascii="宋体" w:hAnsi="宋体"/>
                <w:snapToGrid w:val="0"/>
                <w:color w:val="000000" w:themeColor="text1"/>
                <w:kern w:val="0"/>
                <w:sz w:val="24"/>
                <w14:textFill>
                  <w14:solidFill>
                    <w14:schemeClr w14:val="tx1"/>
                  </w14:solidFill>
                </w14:textFill>
              </w:rPr>
              <w:t xml:space="preserve">1月1日起至今）没有骗取中标和严重违约、没有处于被项目所在地政府或国家部委禁止市场准入等情形；未因不良记录被禁止投标资格，在“信用中国”网站(www.creditchina.gov.cn)无 </w:t>
            </w:r>
            <w:r>
              <w:rPr>
                <w:rFonts w:hint="eastAsia" w:ascii="宋体" w:hAnsi="宋体"/>
                <w:snapToGrid w:val="0"/>
                <w:color w:val="000000" w:themeColor="text1"/>
                <w:kern w:val="0"/>
                <w:sz w:val="24"/>
                <w14:textFill>
                  <w14:solidFill>
                    <w14:schemeClr w14:val="tx1"/>
                  </w14:solidFill>
                </w14:textFill>
              </w:rPr>
              <w:t>“失信被执行人”记录。</w:t>
            </w:r>
          </w:p>
          <w:p>
            <w:pPr>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b/>
                <w:bCs/>
                <w:snapToGrid w:val="0"/>
                <w:color w:val="000000" w:themeColor="text1"/>
                <w:kern w:val="0"/>
                <w:sz w:val="24"/>
                <w14:textFill>
                  <w14:solidFill>
                    <w14:schemeClr w14:val="tx1"/>
                  </w14:solidFill>
                </w14:textFill>
              </w:rPr>
              <w:t>联合体投标人</w:t>
            </w:r>
            <w:r>
              <w:rPr>
                <w:rFonts w:hint="eastAsia" w:ascii="宋体" w:hAnsi="宋体"/>
                <w:snapToGrid w:val="0"/>
                <w:color w:val="000000" w:themeColor="text1"/>
                <w:kern w:val="0"/>
                <w:sz w:val="24"/>
                <w14:textFill>
                  <w14:solidFill>
                    <w14:schemeClr w14:val="tx1"/>
                  </w14:solidFill>
                </w14:textFill>
              </w:rPr>
              <w:t>：本次招标接受联合体投标，联合体</w:t>
            </w:r>
            <w:r>
              <w:rPr>
                <w:rFonts w:hint="eastAsia" w:ascii="宋体" w:hAnsi="宋体"/>
                <w:snapToGrid w:val="0"/>
                <w:kern w:val="0"/>
                <w:sz w:val="24"/>
              </w:rPr>
              <w:t>的成员不得超过2</w:t>
            </w:r>
            <w:r>
              <w:rPr>
                <w:rFonts w:ascii="宋体" w:hAnsi="宋体"/>
                <w:snapToGrid w:val="0"/>
                <w:kern w:val="0"/>
                <w:sz w:val="24"/>
              </w:rPr>
              <w:t>家，联合体牵头人须为联合体中满足资格</w:t>
            </w:r>
            <w:r>
              <w:rPr>
                <w:rFonts w:ascii="宋体" w:hAnsi="宋体"/>
                <w:snapToGrid w:val="0"/>
                <w:color w:val="000000" w:themeColor="text1"/>
                <w:kern w:val="0"/>
                <w:sz w:val="24"/>
                <w14:textFill>
                  <w14:solidFill>
                    <w14:schemeClr w14:val="tx1"/>
                  </w14:solidFill>
                </w14:textFill>
              </w:rPr>
              <w:t>要求的</w:t>
            </w:r>
            <w:r>
              <w:rPr>
                <w:rFonts w:hint="eastAsia" w:ascii="宋体" w:hAnsi="宋体"/>
                <w:snapToGrid w:val="0"/>
                <w:color w:val="000000" w:themeColor="text1"/>
                <w:kern w:val="0"/>
                <w:sz w:val="24"/>
                <w14:textFill>
                  <w14:solidFill>
                    <w14:schemeClr w14:val="tx1"/>
                  </w14:solidFill>
                </w14:textFill>
              </w:rPr>
              <w:t>设计</w:t>
            </w:r>
            <w:r>
              <w:rPr>
                <w:rFonts w:ascii="宋体" w:hAnsi="宋体"/>
                <w:snapToGrid w:val="0"/>
                <w:color w:val="000000" w:themeColor="text1"/>
                <w:kern w:val="0"/>
                <w:sz w:val="24"/>
                <w14:textFill>
                  <w14:solidFill>
                    <w14:schemeClr w14:val="tx1"/>
                  </w14:solidFill>
                </w14:textFill>
              </w:rPr>
              <w:t>企业，且承担本项目的</w:t>
            </w:r>
            <w:r>
              <w:rPr>
                <w:rFonts w:hint="eastAsia" w:ascii="宋体" w:hAnsi="宋体"/>
                <w:snapToGrid w:val="0"/>
                <w:color w:val="000000" w:themeColor="text1"/>
                <w:kern w:val="0"/>
                <w:sz w:val="24"/>
                <w14:textFill>
                  <w14:solidFill>
                    <w14:schemeClr w14:val="tx1"/>
                  </w14:solidFill>
                </w14:textFill>
              </w:rPr>
              <w:t>设计咨询</w:t>
            </w:r>
            <w:r>
              <w:rPr>
                <w:rFonts w:ascii="宋体" w:hAnsi="宋体"/>
                <w:snapToGrid w:val="0"/>
                <w:color w:val="000000" w:themeColor="text1"/>
                <w:kern w:val="0"/>
                <w:sz w:val="24"/>
                <w14:textFill>
                  <w14:solidFill>
                    <w14:schemeClr w14:val="tx1"/>
                  </w14:solidFill>
                </w14:textFill>
              </w:rPr>
              <w:t>工作，除符合招标文件对投标人资质条件、能力和信誉的要求外，还应符合下列要求：</w:t>
            </w:r>
          </w:p>
          <w:p>
            <w:pPr>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1）联合体各方应签订共同投标协议，明确约定各方拟承担的工作和责任，并将该共同投标协议随投标文件一并提交招标人。</w:t>
            </w:r>
          </w:p>
          <w:p>
            <w:pPr>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2）投标人的投标文件及中标后签署的合同协议书对联合体各方均具有法律约束力。</w:t>
            </w:r>
          </w:p>
          <w:p>
            <w:pPr>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3）联合体中标后，联合体各方应当共同与招标人签订合同，为履行合同向招标人承担连带责任。</w:t>
            </w:r>
          </w:p>
          <w:p>
            <w:pPr>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（4）在合同履约过程中，若联合体成员之一不能履约或工作质量达不到合同要求及招标人要求的，招标人可与其解除合同，其合同项下的权利义务由联合体牵头人全权承接。各方具体责任承接详见合同条款。</w:t>
            </w:r>
          </w:p>
          <w:p>
            <w:pPr>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（5</w:t>
            </w:r>
            <w:r>
              <w:rPr>
                <w:rFonts w:ascii="宋体" w:hAnsi="宋体"/>
                <w:snapToGrid w:val="0"/>
                <w:color w:val="000000" w:themeColor="text1"/>
                <w:kern w:val="0"/>
                <w:sz w:val="24"/>
                <w14:textFill>
                  <w14:solidFill>
                    <w14:schemeClr w14:val="tx1"/>
                  </w14:solidFill>
                </w14:textFill>
              </w:rPr>
              <w:t>）联合体各方应提交一份授权书（格式自拟），证明其牵头人资格，该授权书作为投标文件的组成部分一并提交招标人。</w:t>
            </w:r>
          </w:p>
          <w:p>
            <w:pPr>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（6</w:t>
            </w:r>
            <w:r>
              <w:rPr>
                <w:rFonts w:ascii="宋体" w:hAnsi="宋体"/>
                <w:snapToGrid w:val="0"/>
                <w:color w:val="000000" w:themeColor="text1"/>
                <w:kern w:val="0"/>
                <w:sz w:val="24"/>
                <w14:textFill>
                  <w14:solidFill>
                    <w14:schemeClr w14:val="tx1"/>
                  </w14:solidFill>
                </w14:textFill>
              </w:rPr>
              <w:t>）联合体各方签订共同投标协议后，不得再以自己名义单独投标，也不得组成新的联合体或参加其他联合体在同一项目中投标。</w:t>
            </w:r>
          </w:p>
          <w:p>
            <w:pPr>
              <w:spacing w:line="360" w:lineRule="auto"/>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（7</w:t>
            </w:r>
            <w:r>
              <w:rPr>
                <w:rFonts w:ascii="宋体" w:hAnsi="宋体"/>
                <w:snapToGrid w:val="0"/>
                <w:color w:val="000000" w:themeColor="text1"/>
                <w:kern w:val="0"/>
                <w:sz w:val="24"/>
                <w14:textFill>
                  <w14:solidFill>
                    <w14:schemeClr w14:val="tx1"/>
                  </w14:solidFill>
                </w14:textFill>
              </w:rPr>
              <w:t>）由同一专业的单位组成的联合体，按照资质等级较低的单位确定资质等级。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1.4.2</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资格审查方式</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1.4.3</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是否接受联合体投标</w:t>
            </w:r>
          </w:p>
        </w:tc>
        <w:tc>
          <w:tcPr>
            <w:tcW w:w="6408" w:type="dxa"/>
            <w:gridSpan w:val="2"/>
            <w:vAlign w:val="center"/>
          </w:tcPr>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□不接受</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■接受，应满足下列要求：</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本次招标接受联合体投标，联合体的成员不得超过2家，联合体牵头人须为联合体中满足资格要求的设计企业，且承担本项目的施工工作，除符合招标文件对投标人资质条件、能力和信誉的要求外，还应符合下列要求：</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（1）联合体各方应签订共同投标协议，明确约定各方拟承担的工作和责任，并将该共同投标协议随投标文件一并提交。</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（2）投标人的投标文件及中标后签署的合同协议书对联合体各方均具有法律约束力。</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（3）联合体中标后，联合体各方应当共同与招标人签订合同，为履行合同向招标人承担连带责任。</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（4）在合同履约过程中，若联合体成员之一不能履约或工作质量达不到合同要求及招标人要求的，招标人可与其解除合同，其合同项下的权利义务由联合体牵头人全权承接。各方具体责任承接详见合同条款。</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5</w:t>
            </w:r>
            <w:r>
              <w:rPr>
                <w:rFonts w:hint="eastAsia" w:ascii="宋体" w:hAnsi="宋体"/>
                <w:snapToGrid w:val="0"/>
                <w:color w:val="000000" w:themeColor="text1"/>
                <w:kern w:val="0"/>
                <w:sz w:val="24"/>
                <w14:textFill>
                  <w14:solidFill>
                    <w14:schemeClr w14:val="tx1"/>
                  </w14:solidFill>
                </w14:textFill>
              </w:rPr>
              <w:t>）联合体各方应提交一份授权书（格式自拟），证明其牵头人资格，该授权书作为投标文件的组成部分一并提交。</w:t>
            </w:r>
          </w:p>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6</w:t>
            </w:r>
            <w:r>
              <w:rPr>
                <w:rFonts w:hint="eastAsia" w:ascii="宋体" w:hAnsi="宋体"/>
                <w:snapToGrid w:val="0"/>
                <w:color w:val="000000" w:themeColor="text1"/>
                <w:kern w:val="0"/>
                <w:sz w:val="24"/>
                <w14:textFill>
                  <w14:solidFill>
                    <w14:schemeClr w14:val="tx1"/>
                  </w14:solidFill>
                </w14:textFill>
              </w:rPr>
              <w:t>）联合体各方签订共同投标协议后，不得再以自己名义单独投标，也不得组成新的联合体或参加其他联合体在同一项目中投标。</w:t>
            </w:r>
          </w:p>
          <w:p>
            <w:pPr>
              <w:spacing w:line="440" w:lineRule="exact"/>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7</w:t>
            </w:r>
            <w:r>
              <w:rPr>
                <w:rFonts w:hint="eastAsia" w:ascii="宋体" w:hAnsi="宋体"/>
                <w:snapToGrid w:val="0"/>
                <w:color w:val="000000" w:themeColor="text1"/>
                <w:kern w:val="0"/>
                <w:sz w:val="24"/>
                <w14:textFill>
                  <w14:solidFill>
                    <w14:schemeClr w14:val="tx1"/>
                  </w14:solidFill>
                </w14:textFill>
              </w:rPr>
              <w:t>）由同一专业的单位组成的联合体，按照资质等级较低的单位确定资质等级。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踏勘现场</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1.10.1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投标预备会</w:t>
            </w:r>
          </w:p>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（答疑会）</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1.10.2</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投标人提出问题的截止时间</w:t>
            </w:r>
          </w:p>
        </w:tc>
        <w:tc>
          <w:tcPr>
            <w:tcW w:w="6408" w:type="dxa"/>
            <w:gridSpan w:val="2"/>
            <w:vAlign w:val="center"/>
          </w:tcPr>
          <w:p>
            <w:pPr>
              <w:spacing w:line="44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在投标截止时间</w:t>
            </w:r>
            <w:r>
              <w:rPr>
                <w:rFonts w:ascii="宋体" w:hAnsi="宋体"/>
                <w:color w:val="000000" w:themeColor="text1"/>
                <w:sz w:val="24"/>
                <w14:textFill>
                  <w14:solidFill>
                    <w14:schemeClr w14:val="tx1"/>
                  </w14:solidFill>
                </w14:textFill>
              </w:rPr>
              <w:t>10日前，所有获取了招标文件的潜在投标人凭企业数字证书（CA）登录云南省公共资源交易信息网（昆明市），通过网络在线方式向招标人或招标代理进行不署名提问，招标人或招标代理需对所有潜在投标人进行统一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1.10.3</w:t>
            </w:r>
          </w:p>
        </w:tc>
        <w:tc>
          <w:tcPr>
            <w:tcW w:w="2097" w:type="dxa"/>
            <w:vAlign w:val="center"/>
          </w:tcPr>
          <w:p>
            <w:pPr>
              <w:spacing w:line="440" w:lineRule="exact"/>
              <w:jc w:val="center"/>
              <w:rPr>
                <w:rFonts w:ascii="宋体" w:hAnsi="宋体"/>
                <w:color w:val="000000" w:themeColor="text1"/>
                <w:spacing w:val="-8"/>
                <w:sz w:val="24"/>
                <w14:textFill>
                  <w14:solidFill>
                    <w14:schemeClr w14:val="tx1"/>
                  </w14:solidFill>
                </w14:textFill>
              </w:rPr>
            </w:pPr>
            <w:r>
              <w:rPr>
                <w:rFonts w:hint="eastAsia" w:ascii="宋体" w:hAnsi="宋体"/>
                <w:color w:val="000000" w:themeColor="text1"/>
                <w:spacing w:val="-8"/>
                <w:sz w:val="24"/>
                <w14:textFill>
                  <w14:solidFill>
                    <w14:schemeClr w14:val="tx1"/>
                  </w14:solidFill>
                </w14:textFill>
              </w:rPr>
              <w:t>招标人澄清的时间和方法</w:t>
            </w:r>
          </w:p>
        </w:tc>
        <w:tc>
          <w:tcPr>
            <w:tcW w:w="6408" w:type="dxa"/>
            <w:gridSpan w:val="2"/>
            <w:vAlign w:val="center"/>
          </w:tcPr>
          <w:p>
            <w:pPr>
              <w:spacing w:line="44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投标截止时间至少</w:t>
            </w:r>
            <w:r>
              <w:rPr>
                <w:rFonts w:ascii="宋体" w:hAnsi="宋体"/>
                <w:color w:val="000000" w:themeColor="text1"/>
                <w:sz w:val="24"/>
                <w14:textFill>
                  <w14:solidFill>
                    <w14:schemeClr w14:val="tx1"/>
                  </w14:solidFill>
                </w14:textFill>
              </w:rPr>
              <w:t>15日前，由招标人以补遗书方式按程序报有关主管部门备案后，提交公共资源交易中心统一通过网络向潜在投标人发布，所有获取了招标文件的潜在投标人登录云南省公共资源交易信息网（昆明市）凭企业身份认证数字证书（CA）查看澄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分包</w:t>
            </w:r>
          </w:p>
        </w:tc>
        <w:tc>
          <w:tcPr>
            <w:tcW w:w="6408" w:type="dxa"/>
            <w:gridSpan w:val="2"/>
            <w:vAlign w:val="center"/>
          </w:tcPr>
          <w:p>
            <w:pPr>
              <w:spacing w:line="440" w:lineRule="exact"/>
              <w:rPr>
                <w:rFonts w:ascii="宋体" w:hAnsi="宋体"/>
                <w:snapToGrid w:val="0"/>
                <w:color w:val="000000" w:themeColor="text1"/>
                <w:kern w:val="0"/>
                <w:sz w:val="24"/>
                <w:u w:val="single"/>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本项目涉及的专业分包按国家相关法律法规执行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偏离</w:t>
            </w:r>
          </w:p>
        </w:tc>
        <w:tc>
          <w:tcPr>
            <w:tcW w:w="6408" w:type="dxa"/>
            <w:gridSpan w:val="2"/>
            <w:vAlign w:val="center"/>
          </w:tcPr>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■不允许</w:t>
            </w:r>
          </w:p>
          <w:p>
            <w:pPr>
              <w:spacing w:line="440" w:lineRule="exact"/>
              <w:rPr>
                <w:rFonts w:ascii="宋体" w:hAnsi="宋体"/>
                <w:snapToGrid w:val="0"/>
                <w:color w:val="000000" w:themeColor="text1"/>
                <w:kern w:val="0"/>
                <w:sz w:val="24"/>
                <w:u w:val="single"/>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□允许，可偏离的项目和范围见：</w:t>
            </w:r>
            <w:r>
              <w:rPr>
                <w:rFonts w:ascii="宋体" w:hAnsi="宋体"/>
                <w:snapToGrid w:val="0"/>
                <w:color w:val="000000" w:themeColor="text1"/>
                <w:kern w:val="0"/>
                <w:sz w:val="24"/>
                <w:u w:val="single"/>
                <w14:textFill>
                  <w14:solidFill>
                    <w14:schemeClr w14:val="tx1"/>
                  </w14:solidFill>
                </w14:textFill>
              </w:rPr>
              <w:t xml:space="preserve">               ；</w:t>
            </w:r>
          </w:p>
          <w:p>
            <w:pPr>
              <w:spacing w:line="440" w:lineRule="exact"/>
              <w:rPr>
                <w:rFonts w:ascii="宋体" w:hAnsi="宋体"/>
                <w:snapToGrid w:val="0"/>
                <w:color w:val="000000" w:themeColor="text1"/>
                <w:kern w:val="0"/>
                <w:sz w:val="24"/>
                <w:u w:val="single"/>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允许偏离最高项数：</w:t>
            </w:r>
            <w:r>
              <w:rPr>
                <w:rFonts w:ascii="宋体" w:hAnsi="宋体"/>
                <w:snapToGrid w:val="0"/>
                <w:color w:val="000000" w:themeColor="text1"/>
                <w:kern w:val="0"/>
                <w:sz w:val="24"/>
                <w:u w:val="single"/>
                <w14:textFill>
                  <w14:solidFill>
                    <w14:schemeClr w14:val="tx1"/>
                  </w14:solidFill>
                </w14:textFill>
              </w:rPr>
              <w:t xml:space="preserve">                           ；</w:t>
            </w:r>
          </w:p>
          <w:p>
            <w:pPr>
              <w:spacing w:line="440" w:lineRule="exact"/>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偏差调整方法：</w:t>
            </w:r>
            <w:r>
              <w:rPr>
                <w:rFonts w:ascii="宋体" w:hAnsi="宋体"/>
                <w:snapToGrid w:val="0"/>
                <w:color w:val="000000" w:themeColor="text1"/>
                <w:kern w:val="0"/>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构成招标文件的其他文件</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招标文件的澄清、修改、补遗、答疑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投标人要求澄清招标文件的截止时间</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同</w:t>
            </w:r>
            <w:r>
              <w:rPr>
                <w:rFonts w:ascii="宋体" w:hAnsi="宋体"/>
                <w:color w:val="000000" w:themeColor="text1"/>
                <w:sz w:val="24"/>
                <w14:textFill>
                  <w14:solidFill>
                    <w14:schemeClr w14:val="tx1"/>
                  </w14:solidFill>
                </w14:textFill>
              </w:rPr>
              <w:t>1.10.2的时间要求</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投标人应仔细阅读和检查招标文件的全部内容。如发现缺页或附件不全，应及时向招标人提出，以便补齐。如有疑问，应在投标人须知前附表规定的时间前以在线不署名提交方式登录云南省公共资源交易信息网</w:t>
            </w:r>
            <w:r>
              <w:rPr>
                <w:rFonts w:ascii="宋体" w:hAnsi="宋体"/>
                <w:color w:val="000000" w:themeColor="text1"/>
                <w:sz w:val="24"/>
                <w14:textFill>
                  <w14:solidFill>
                    <w14:schemeClr w14:val="tx1"/>
                  </w14:solidFill>
                </w14:textFill>
              </w:rPr>
              <w:t>（昆明市）</w:t>
            </w:r>
            <w:r>
              <w:rPr>
                <w:rFonts w:hint="eastAsia" w:ascii="宋体" w:hAnsi="宋体"/>
                <w:color w:val="000000" w:themeColor="text1"/>
                <w:sz w:val="24"/>
                <w14:textFill>
                  <w14:solidFill>
                    <w14:schemeClr w14:val="tx1"/>
                  </w14:solidFill>
                </w14:textFill>
              </w:rPr>
              <w:t>，要求招标人对招标文件予以澄清。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2.2.2</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投标截止时间</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以</w:t>
            </w:r>
            <w:r>
              <w:rPr>
                <w:rFonts w:ascii="宋体" w:hAnsi="宋体"/>
                <w:color w:val="000000" w:themeColor="text1"/>
                <w:sz w:val="24"/>
                <w14:textFill>
                  <w14:solidFill>
                    <w14:schemeClr w14:val="tx1"/>
                  </w14:solidFill>
                </w14:textFill>
              </w:rPr>
              <w:t>云南省公共资源交易信息网（昆明市）系统确认</w:t>
            </w:r>
            <w:r>
              <w:rPr>
                <w:rFonts w:hint="eastAsia" w:ascii="宋体" w:hAnsi="宋体"/>
                <w:snapToGrid w:val="0"/>
                <w:color w:val="000000" w:themeColor="text1"/>
                <w:sz w:val="24"/>
                <w14:textFill>
                  <w14:solidFill>
                    <w14:schemeClr w14:val="tx1"/>
                  </w14:solidFill>
                </w14:textFill>
              </w:rPr>
              <w:t>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2.2.3</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投标人确认收到招标文件澄清（答疑或补遗）的时间</w:t>
            </w:r>
          </w:p>
        </w:tc>
        <w:tc>
          <w:tcPr>
            <w:tcW w:w="6408" w:type="dxa"/>
            <w:gridSpan w:val="2"/>
            <w:vAlign w:val="center"/>
          </w:tcPr>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投标人自行登录云南省公共资源交易信息网</w:t>
            </w:r>
            <w:r>
              <w:rPr>
                <w:rFonts w:ascii="宋体" w:hAnsi="宋体"/>
                <w:color w:val="000000" w:themeColor="text1"/>
                <w:sz w:val="24"/>
                <w14:textFill>
                  <w14:solidFill>
                    <w14:schemeClr w14:val="tx1"/>
                  </w14:solidFill>
                </w14:textFill>
              </w:rPr>
              <w:t>（昆明市）</w:t>
            </w:r>
            <w:r>
              <w:rPr>
                <w:rFonts w:hint="eastAsia" w:ascii="宋体" w:hAnsi="宋体"/>
                <w:color w:val="000000" w:themeColor="text1"/>
                <w:sz w:val="24"/>
                <w14:textFill>
                  <w14:solidFill>
                    <w14:schemeClr w14:val="tx1"/>
                  </w14:solidFill>
                </w14:textFill>
              </w:rPr>
              <w:t>获取澄清，无须回复确认已收到该澄清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ind w:left="480" w:hanging="48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2.3.2</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投标人确认收到招标文件修改的时间</w:t>
            </w:r>
          </w:p>
        </w:tc>
        <w:tc>
          <w:tcPr>
            <w:tcW w:w="6408" w:type="dxa"/>
            <w:gridSpan w:val="2"/>
            <w:vAlign w:val="center"/>
          </w:tcPr>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投标人自行登录云南省公共资源交易信息网</w:t>
            </w:r>
            <w:r>
              <w:rPr>
                <w:rFonts w:ascii="宋体" w:hAnsi="宋体"/>
                <w:color w:val="000000" w:themeColor="text1"/>
                <w:sz w:val="24"/>
                <w14:textFill>
                  <w14:solidFill>
                    <w14:schemeClr w14:val="tx1"/>
                  </w14:solidFill>
                </w14:textFill>
              </w:rPr>
              <w:t>（昆明市）</w:t>
            </w:r>
            <w:r>
              <w:rPr>
                <w:rFonts w:hint="eastAsia" w:ascii="宋体" w:hAnsi="宋体"/>
                <w:color w:val="000000" w:themeColor="text1"/>
                <w:sz w:val="24"/>
                <w14:textFill>
                  <w14:solidFill>
                    <w14:schemeClr w14:val="tx1"/>
                  </w14:solidFill>
                </w14:textFill>
              </w:rPr>
              <w:t>收取修改内容，无须回复确认已收到该修改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3.1.1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构成投标文件的其它资料</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3.2.2</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报价方式</w:t>
            </w:r>
          </w:p>
        </w:tc>
        <w:tc>
          <w:tcPr>
            <w:tcW w:w="6408" w:type="dxa"/>
            <w:gridSpan w:val="2"/>
            <w:vAlign w:val="center"/>
          </w:tcPr>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一、工程设计部分报价：</w:t>
            </w:r>
            <w:r>
              <w:rPr>
                <w:rFonts w:hint="eastAsia" w:ascii="宋体" w:hAnsi="宋体"/>
                <w:color w:val="000000" w:themeColor="text1"/>
                <w:sz w:val="24"/>
                <w14:textFill>
                  <w14:solidFill>
                    <w14:schemeClr w14:val="tx1"/>
                  </w14:solidFill>
                </w14:textFill>
              </w:rPr>
              <w:t>以国家发改委、建设部制定的《工程设计收费标准》（计价格〔</w:t>
            </w:r>
            <w:r>
              <w:rPr>
                <w:rFonts w:ascii="宋体" w:hAnsi="宋体"/>
                <w:color w:val="000000" w:themeColor="text1"/>
                <w:sz w:val="24"/>
                <w14:textFill>
                  <w14:solidFill>
                    <w14:schemeClr w14:val="tx1"/>
                  </w14:solidFill>
                </w14:textFill>
              </w:rPr>
              <w:t>2002〕10号）文件及关于进一步放开建设项目专业服务价格的通知（发改价格〔2015〕299号），结合企业自身水平及实力，合理列报设计费</w:t>
            </w:r>
            <w:r>
              <w:rPr>
                <w:rFonts w:hint="eastAsia" w:ascii="宋体" w:hAnsi="宋体"/>
                <w:color w:val="000000" w:themeColor="text1"/>
                <w:sz w:val="24"/>
                <w14:textFill>
                  <w14:solidFill>
                    <w14:schemeClr w14:val="tx1"/>
                  </w14:solidFill>
                </w14:textFill>
              </w:rPr>
              <w:t>下浮</w:t>
            </w:r>
            <w:r>
              <w:rPr>
                <w:rFonts w:ascii="宋体" w:hAnsi="宋体"/>
                <w:color w:val="000000" w:themeColor="text1"/>
                <w:sz w:val="24"/>
                <w14:textFill>
                  <w14:solidFill>
                    <w14:schemeClr w14:val="tx1"/>
                  </w14:solidFill>
                </w14:textFill>
              </w:rPr>
              <w:t>率</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％）且不得上浮。(其中:专业调整系数为1.0,工程复杂程度系数为1.0,附件调整系数取1.1)</w:t>
            </w:r>
            <w:r>
              <w:rPr>
                <w:rFonts w:ascii="宋体" w:hAnsi="宋体"/>
                <w:color w:val="000000" w:themeColor="text1"/>
                <w:sz w:val="24"/>
                <w14:textFill>
                  <w14:solidFill>
                    <w14:schemeClr w14:val="tx1"/>
                  </w14:solidFill>
                </w14:textFill>
              </w:rPr>
              <w:t>。</w:t>
            </w:r>
          </w:p>
          <w:p>
            <w:pPr>
              <w:spacing w:line="440" w:lineRule="exact"/>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二、工程施工部分报价：</w:t>
            </w:r>
            <w:r>
              <w:rPr>
                <w:rFonts w:hint="eastAsia" w:ascii="宋体" w:hAnsi="宋体"/>
                <w:snapToGrid w:val="0"/>
                <w:color w:val="000000" w:themeColor="text1"/>
                <w:sz w:val="24"/>
                <w14:textFill>
                  <w14:solidFill>
                    <w14:schemeClr w14:val="tx1"/>
                  </w14:solidFill>
                </w14:textFill>
              </w:rPr>
              <w:t>采用下浮率的方式进行报价，投标人结合企业自身水平、实力自行填报下浮率（</w:t>
            </w:r>
            <w:r>
              <w:rPr>
                <w:rFonts w:hint="eastAsia" w:ascii="宋体" w:hAnsi="宋体"/>
                <w:snapToGrid w:val="0"/>
                <w:color w:val="000000" w:themeColor="text1"/>
                <w:sz w:val="24"/>
                <w:u w:val="single"/>
                <w14:textFill>
                  <w14:solidFill>
                    <w14:schemeClr w14:val="tx1"/>
                  </w14:solidFill>
                </w14:textFill>
              </w:rPr>
              <w:t xml:space="preserve"> </w:t>
            </w:r>
            <w:r>
              <w:rPr>
                <w:rFonts w:ascii="宋体" w:hAnsi="宋体"/>
                <w:snapToGrid w:val="0"/>
                <w:color w:val="000000" w:themeColor="text1"/>
                <w:sz w:val="24"/>
                <w:u w:val="single"/>
                <w14:textFill>
                  <w14:solidFill>
                    <w14:schemeClr w14:val="tx1"/>
                  </w14:solidFill>
                </w14:textFill>
              </w:rPr>
              <w:t xml:space="preserve">  </w:t>
            </w:r>
            <w:r>
              <w:rPr>
                <w:rFonts w:hint="eastAsia" w:ascii="宋体" w:hAnsi="宋体"/>
                <w:snapToGrid w:val="0"/>
                <w:color w:val="000000" w:themeColor="text1"/>
                <w:sz w:val="24"/>
                <w14:textFill>
                  <w14:solidFill>
                    <w14:schemeClr w14:val="tx1"/>
                  </w14:solidFill>
                </w14:textFill>
              </w:rPr>
              <w:t>％）且不得上浮。以发包人委托的造价咨询服务单位按照现行云南省建设工程造价计价标准(2020版)编制且经备案的施工图预算（按工程量清单计价模式计价）作为基础进行下浮。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3.3.1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为</w:t>
            </w:r>
            <w:r>
              <w:rPr>
                <w:rFonts w:ascii="宋体" w:hAnsi="宋体"/>
                <w:snapToGrid w:val="0"/>
                <w:color w:val="000000" w:themeColor="text1"/>
                <w:kern w:val="0"/>
                <w:sz w:val="24"/>
                <w:u w:val="single"/>
                <w14:textFill>
                  <w14:solidFill>
                    <w14:schemeClr w14:val="tx1"/>
                  </w14:solidFill>
                </w14:textFill>
              </w:rPr>
              <w:t xml:space="preserve"> 90 </w:t>
            </w:r>
            <w:r>
              <w:rPr>
                <w:rFonts w:hint="eastAsia" w:ascii="宋体" w:hAnsi="宋体"/>
                <w:snapToGrid w:val="0"/>
                <w:color w:val="000000" w:themeColor="text1"/>
                <w:kern w:val="0"/>
                <w:sz w:val="24"/>
                <w14:textFill>
                  <w14:solidFill>
                    <w14:schemeClr w14:val="tx1"/>
                  </w14:solidFill>
                </w14:textFill>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投标保证金</w:t>
            </w:r>
          </w:p>
        </w:tc>
        <w:tc>
          <w:tcPr>
            <w:tcW w:w="6408" w:type="dxa"/>
            <w:gridSpan w:val="2"/>
            <w:vAlign w:val="center"/>
          </w:tcPr>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一、投标保证金提交方式</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保证金的提交方式有三种：银行转账、银行保函、投标保证保险。</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（一）银行转账：投标（交易）保证金应以投标人自身的名义提交，并且必须从其基本账户转出，不得以分支机构其他名义提交（按照规定，投标人可以为自然人的项目除外）。</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银行保函：保函申请人必须是投标人，受益人必须是投标人，保证人必须是投标人基本账号的开户银行；银行保函必须正确填写受益人和申请人的全称，并与招标文件规定的名称相一致，以免造成投标无效。</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（三）投标保证保险：应符合《关于在全省房房屋建筑和市政基础设施工程领域深入推进建设工程保证保险工作的通知》（云建建〔</w:t>
            </w:r>
            <w:r>
              <w:rPr>
                <w:rFonts w:ascii="宋体" w:hAnsi="宋体"/>
                <w:color w:val="000000" w:themeColor="text1"/>
                <w:sz w:val="24"/>
                <w14:textFill>
                  <w14:solidFill>
                    <w14:schemeClr w14:val="tx1"/>
                  </w14:solidFill>
                </w14:textFill>
              </w:rPr>
              <w:t xml:space="preserve">2020〕65号）、《云南省建设工程招标投标管理办公室关于进一步优化营商环境 </w:t>
            </w:r>
            <w:r>
              <w:rPr>
                <w:rFonts w:hint="eastAsia" w:ascii="宋体" w:hAnsi="宋体"/>
                <w:color w:val="000000" w:themeColor="text1"/>
                <w:sz w:val="24"/>
                <w14:textFill>
                  <w14:solidFill>
                    <w14:schemeClr w14:val="tx1"/>
                  </w14:solidFill>
                </w14:textFill>
              </w:rPr>
              <w:t>落实建设工程保证保险制度的通知》（云建招〔</w:t>
            </w:r>
            <w:r>
              <w:rPr>
                <w:rFonts w:ascii="宋体" w:hAnsi="宋体"/>
                <w:color w:val="000000" w:themeColor="text1"/>
                <w:sz w:val="24"/>
                <w14:textFill>
                  <w14:solidFill>
                    <w14:schemeClr w14:val="tx1"/>
                  </w14:solidFill>
                </w14:textFill>
              </w:rPr>
              <w:t>2020〕116号）和《云南省发展和改革委员会关于印发云南省公共资源交易平台接入电子保函服务指导意见的通知》（云发改平台建管〔2021〕1152号）的相关要求。</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二、投标保证金的提交时间</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需在投标截止时间前递交保证金，到账时间以实际到达专用账号时间为准，未在投标截止时间前到账的保证金视为未提交；银行保函必须在规定的投标截止时间前递交，在投标截止时间前，由交易中心工作人员进行确认，未确认的保证金视为未提交；投保人应当在项目投标保证金缴纳截止时间前通过金融机构成功购买投标保证保险，未在投标保证金缴纳截止时间前成功购买的投标保证保险视为未提交。</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三、投标保证金的办理程序</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（一）采用银行转账方式：</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项目名称：经开区143号路设计施工总承包</w:t>
            </w:r>
            <w:r>
              <w:rPr>
                <w:rFonts w:ascii="宋体" w:hAnsi="宋体"/>
                <w:color w:val="000000" w:themeColor="text1"/>
                <w:sz w:val="24"/>
                <w14:textFill>
                  <w14:solidFill>
                    <w14:schemeClr w14:val="tx1"/>
                  </w14:solidFill>
                </w14:textFill>
              </w:rPr>
              <w:t>；</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户名：昆明市公共资源交易中心；</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开户行：招商银行昆明小康大道支行；</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保证金提交账号：</w:t>
            </w:r>
            <w:r>
              <w:rPr>
                <w:rFonts w:ascii="宋体" w:hAnsi="宋体"/>
                <w:color w:val="000000" w:themeColor="text1"/>
                <w:sz w:val="24"/>
                <w14:textFill>
                  <w14:solidFill>
                    <w14:schemeClr w14:val="tx1"/>
                  </w14:solidFill>
                </w14:textFill>
              </w:rPr>
              <w:t>8719 0732 6010 906；</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保证金金额：￥</w:t>
            </w:r>
            <w:r>
              <w:rPr>
                <w:rFonts w:hint="eastAsia" w:ascii="宋体" w:hAnsi="宋体"/>
                <w:color w:val="000000" w:themeColor="text1"/>
                <w:sz w:val="24"/>
                <w:u w:val="single"/>
                <w14:textFill>
                  <w14:solidFill>
                    <w14:schemeClr w14:val="tx1"/>
                  </w14:solidFill>
                </w14:textFill>
              </w:rPr>
              <w:t xml:space="preserve"> 100000.00</w:t>
            </w:r>
            <w:r>
              <w:rPr>
                <w:rFonts w:ascii="宋体" w:hAnsi="宋体"/>
                <w:color w:val="000000" w:themeColor="text1"/>
                <w:sz w:val="24"/>
                <w14:textFill>
                  <w14:solidFill>
                    <w14:schemeClr w14:val="tx1"/>
                  </w14:solidFill>
                </w14:textFill>
              </w:rPr>
              <w:t>元（大写：</w:t>
            </w:r>
            <w:r>
              <w:rPr>
                <w:rFonts w:hint="eastAsia" w:ascii="宋体" w:hAnsi="宋体"/>
                <w:color w:val="000000" w:themeColor="text1"/>
                <w:sz w:val="24"/>
                <w14:textFill>
                  <w14:solidFill>
                    <w14:schemeClr w14:val="tx1"/>
                  </w14:solidFill>
                </w14:textFill>
              </w:rPr>
              <w:t>壹拾万元整</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办理程序：</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潜在投标人转账到保证金专项银行账户后，潜在投标人需要使用数字证书（</w:t>
            </w:r>
            <w:r>
              <w:rPr>
                <w:rFonts w:ascii="宋体" w:hAnsi="宋体"/>
                <w:color w:val="000000" w:themeColor="text1"/>
                <w:sz w:val="24"/>
                <w14:textFill>
                  <w14:solidFill>
                    <w14:schemeClr w14:val="tx1"/>
                  </w14:solidFill>
                </w14:textFill>
              </w:rPr>
              <w:t>CA）登陆“云南省公共资源交易信息网（昆明市）</w:t>
            </w:r>
            <w:r>
              <w:rPr>
                <w:rFonts w:hint="eastAsia" w:ascii="宋体" w:hAnsi="宋体"/>
                <w:color w:val="000000" w:themeColor="text1"/>
                <w:sz w:val="24"/>
                <w14:textFill>
                  <w14:solidFill>
                    <w14:schemeClr w14:val="tx1"/>
                  </w14:solidFill>
                </w14:textFill>
              </w:rPr>
              <w:t>”在投标保证金模块找到对应项目进行确认并打印确认回执；若保证金出现未绑定导致无法确认的请及时联系</w:t>
            </w:r>
            <w:r>
              <w:rPr>
                <w:rFonts w:ascii="宋体" w:hAnsi="宋体"/>
                <w:color w:val="000000" w:themeColor="text1"/>
                <w:sz w:val="24"/>
                <w14:textFill>
                  <w14:solidFill>
                    <w14:schemeClr w14:val="tx1"/>
                  </w14:solidFill>
                </w14:textFill>
              </w:rPr>
              <w:t>19187160207、0871-67432024（市公管局财务室）或400-9618-99。</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（二）采用银行保函方式：</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项目名称：经开区143号路设计施工总承包</w:t>
            </w:r>
            <w:r>
              <w:rPr>
                <w:rFonts w:ascii="宋体" w:hAnsi="宋体"/>
                <w:color w:val="000000" w:themeColor="text1"/>
                <w:sz w:val="24"/>
                <w14:textFill>
                  <w14:solidFill>
                    <w14:schemeClr w14:val="tx1"/>
                  </w14:solidFill>
                </w14:textFill>
              </w:rPr>
              <w:t>；</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保证金金额：￥ </w:t>
            </w:r>
            <w:r>
              <w:rPr>
                <w:rFonts w:hint="eastAsia" w:ascii="宋体" w:hAnsi="宋体"/>
                <w:color w:val="000000" w:themeColor="text1"/>
                <w:sz w:val="24"/>
                <w:u w:val="single"/>
                <w14:textFill>
                  <w14:solidFill>
                    <w14:schemeClr w14:val="tx1"/>
                  </w14:solidFill>
                </w14:textFill>
              </w:rPr>
              <w:t>100000.00</w:t>
            </w:r>
            <w:r>
              <w:rPr>
                <w:rFonts w:hint="eastAsia" w:ascii="宋体" w:hAnsi="宋体"/>
                <w:color w:val="000000" w:themeColor="text1"/>
                <w:sz w:val="24"/>
                <w14:textFill>
                  <w14:solidFill>
                    <w14:schemeClr w14:val="tx1"/>
                  </w14:solidFill>
                </w14:textFill>
              </w:rPr>
              <w:t>元（大写：壹拾万元整）</w:t>
            </w:r>
            <w:r>
              <w:rPr>
                <w:rFonts w:ascii="宋体" w:hAnsi="宋体"/>
                <w:color w:val="000000" w:themeColor="text1"/>
                <w:sz w:val="24"/>
                <w14:textFill>
                  <w14:solidFill>
                    <w14:schemeClr w14:val="tx1"/>
                  </w14:solidFill>
                </w14:textFill>
              </w:rPr>
              <w:t>。</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办理程序：</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潜在投标人需要使用数字证书（</w:t>
            </w:r>
            <w:r>
              <w:rPr>
                <w:rFonts w:ascii="宋体" w:hAnsi="宋体"/>
                <w:color w:val="000000" w:themeColor="text1"/>
                <w:sz w:val="24"/>
                <w14:textFill>
                  <w14:solidFill>
                    <w14:schemeClr w14:val="tx1"/>
                  </w14:solidFill>
                </w14:textFill>
              </w:rPr>
              <w:t xml:space="preserve">CA）登陆“ </w:t>
            </w:r>
            <w:r>
              <w:rPr>
                <w:rFonts w:hint="eastAsia" w:ascii="宋体" w:hAnsi="宋体"/>
                <w:color w:val="000000" w:themeColor="text1"/>
                <w:sz w:val="24"/>
                <w14:textFill>
                  <w14:solidFill>
                    <w14:schemeClr w14:val="tx1"/>
                  </w14:solidFill>
                </w14:textFill>
              </w:rPr>
              <w:t>云南省公共资源交易信息网（昆明市）”在投标保函模块找到对应项目进行保函信息的录入，录入完成后及时联系相关工作人员确认，工作人员确认后可在投标系统打印保证金缴纳回执。</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（三）采用投标保证保险方式：</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项目名称：经开区143号路设计施工总承包</w:t>
            </w:r>
            <w:r>
              <w:rPr>
                <w:rFonts w:ascii="宋体" w:hAnsi="宋体"/>
                <w:color w:val="000000" w:themeColor="text1"/>
                <w:sz w:val="24"/>
                <w14:textFill>
                  <w14:solidFill>
                    <w14:schemeClr w14:val="tx1"/>
                  </w14:solidFill>
                </w14:textFill>
              </w:rPr>
              <w:t>；</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保证金金额：</w:t>
            </w:r>
            <w:r>
              <w:rPr>
                <w:rFonts w:hint="eastAsia" w:ascii="宋体" w:hAnsi="宋体"/>
                <w:color w:val="000000" w:themeColor="text1"/>
                <w:sz w:val="24"/>
                <w:u w:val="single"/>
                <w14:textFill>
                  <w14:solidFill>
                    <w14:schemeClr w14:val="tx1"/>
                  </w14:solidFill>
                </w14:textFill>
              </w:rPr>
              <w:t>￥100000.00元（大写：壹拾万元整）</w:t>
            </w:r>
            <w:r>
              <w:rPr>
                <w:rFonts w:ascii="宋体" w:hAnsi="宋体"/>
                <w:color w:val="000000" w:themeColor="text1"/>
                <w:sz w:val="24"/>
                <w14:textFill>
                  <w14:solidFill>
                    <w14:schemeClr w14:val="tx1"/>
                  </w14:solidFill>
                </w14:textFill>
              </w:rPr>
              <w:t>。</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（四）注意事项：</w:t>
            </w: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1、保证金必须从投标人的法人基本账户划出；</w:t>
            </w: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2、保证金转账方式仅限电汇、网银方式，其他转账方式视为无效；</w:t>
            </w: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3、保证金到账时间以保证金专用账户实际到账时间为准，未在投标截止时间前到账的保证金无效；</w:t>
            </w: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4、拒绝私人账户汇款及银行存现；</w:t>
            </w: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5、投标保证金一般不得超过投标估算值的2%，最高不能超过80万元。</w:t>
            </w:r>
          </w:p>
          <w:p>
            <w:pPr>
              <w:snapToGrid w:val="0"/>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请潜在投标人在跨行转账时考虑以下因素：</w:t>
            </w:r>
            <w:r>
              <w:rPr>
                <w:rFonts w:ascii="宋体" w:hAnsi="宋体"/>
                <w:color w:val="000000" w:themeColor="text1"/>
                <w:sz w:val="24"/>
                <w14:textFill>
                  <w14:solidFill>
                    <w14:schemeClr w14:val="tx1"/>
                  </w14:solidFill>
                </w14:textFill>
              </w:rPr>
              <w:t>1、按照人民银行相关规定，跨行转账在工作日下午4点半前办理手续，可以保证实时跨行到账；2、跨行转账尽量采用电汇方式。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3.4.3</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投标保证金的退还</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投标保证金退还到投标人的基本账户。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3.4.4</w:t>
            </w:r>
          </w:p>
        </w:tc>
        <w:tc>
          <w:tcPr>
            <w:tcW w:w="2097" w:type="dxa"/>
            <w:vAlign w:val="center"/>
          </w:tcPr>
          <w:p>
            <w:pPr>
              <w:snapToGrid w:val="0"/>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投标保证金不予退还的情形</w:t>
            </w:r>
          </w:p>
        </w:tc>
        <w:tc>
          <w:tcPr>
            <w:tcW w:w="6408" w:type="dxa"/>
            <w:gridSpan w:val="2"/>
            <w:vAlign w:val="center"/>
          </w:tcPr>
          <w:p>
            <w:pPr>
              <w:snapToGrid w:val="0"/>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按照法律法规、昆明市公共资源交易中心相关要求执行。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是否允许递交备选投标方案</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3.6.1</w:t>
            </w:r>
          </w:p>
        </w:tc>
        <w:tc>
          <w:tcPr>
            <w:tcW w:w="2097" w:type="dxa"/>
            <w:vAlign w:val="center"/>
          </w:tcPr>
          <w:p>
            <w:pPr>
              <w:snapToGrid w:val="0"/>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投标文件格式</w:t>
            </w:r>
          </w:p>
        </w:tc>
        <w:tc>
          <w:tcPr>
            <w:tcW w:w="6408" w:type="dxa"/>
            <w:gridSpan w:val="2"/>
            <w:vAlign w:val="center"/>
          </w:tcPr>
          <w:p>
            <w:pPr>
              <w:snapToGrid w:val="0"/>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投标文件全部采用电子文档，电子文件必须使用《云南省工程建设模块化投标文件编制系统》制作，格式为</w:t>
            </w:r>
            <w:r>
              <w:rPr>
                <w:rFonts w:ascii="宋体" w:hAnsi="宋体"/>
                <w:color w:val="000000" w:themeColor="text1"/>
                <w:sz w:val="24"/>
                <w14:textFill>
                  <w14:solidFill>
                    <w14:schemeClr w14:val="tx1"/>
                  </w14:solidFill>
                </w14:textFill>
              </w:rPr>
              <w:t>*.BTBJ。</w:t>
            </w:r>
          </w:p>
          <w:p>
            <w:pPr>
              <w:snapToGrid w:val="0"/>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编制要求见投标人须知正文部分附表五：电子投标文件编制及报送要求。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3.6.3</w:t>
            </w:r>
          </w:p>
        </w:tc>
        <w:tc>
          <w:tcPr>
            <w:tcW w:w="2097" w:type="dxa"/>
            <w:vAlign w:val="center"/>
          </w:tcPr>
          <w:p>
            <w:pPr>
              <w:snapToGrid w:val="0"/>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投标文件的签署</w:t>
            </w:r>
          </w:p>
        </w:tc>
        <w:tc>
          <w:tcPr>
            <w:tcW w:w="6408" w:type="dxa"/>
            <w:gridSpan w:val="2"/>
            <w:vAlign w:val="center"/>
          </w:tcPr>
          <w:p>
            <w:pPr>
              <w:snapToGrid w:val="0"/>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按照投标文件格式，采用企业、法定代表人电子签章及数字</w:t>
            </w:r>
            <w:r>
              <w:rPr>
                <w:rFonts w:ascii="宋体" w:hAnsi="宋体"/>
                <w:color w:val="000000" w:themeColor="text1"/>
                <w:sz w:val="24"/>
                <w14:textFill>
                  <w14:solidFill>
                    <w14:schemeClr w14:val="tx1"/>
                  </w14:solidFill>
                </w14:textFill>
              </w:rPr>
              <w:t>证书</w:t>
            </w:r>
            <w:r>
              <w:rPr>
                <w:rFonts w:hint="eastAsia" w:ascii="宋体" w:hAnsi="宋体"/>
                <w:color w:val="000000" w:themeColor="text1"/>
                <w:sz w:val="24"/>
                <w14:textFill>
                  <w14:solidFill>
                    <w14:schemeClr w14:val="tx1"/>
                  </w14:solidFill>
                </w14:textFill>
              </w:rPr>
              <w:t>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napToGrid w:val="0"/>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3.6.4</w:t>
            </w:r>
          </w:p>
        </w:tc>
        <w:tc>
          <w:tcPr>
            <w:tcW w:w="2097" w:type="dxa"/>
            <w:vAlign w:val="center"/>
          </w:tcPr>
          <w:p>
            <w:pPr>
              <w:snapToGrid w:val="0"/>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投标文件递交及有关内容</w:t>
            </w:r>
          </w:p>
        </w:tc>
        <w:tc>
          <w:tcPr>
            <w:tcW w:w="6408" w:type="dxa"/>
            <w:gridSpan w:val="2"/>
            <w:vAlign w:val="center"/>
          </w:tcPr>
          <w:p>
            <w:pPr>
              <w:spacing w:line="440" w:lineRule="exact"/>
              <w:contextualSpacing/>
              <w:jc w:val="left"/>
              <w:rPr>
                <w:rFonts w:ascii="宋体" w:cs="宋体"/>
                <w:snapToGrid w:val="0"/>
                <w:color w:val="000000" w:themeColor="text1"/>
                <w:sz w:val="24"/>
                <w14:textFill>
                  <w14:solidFill>
                    <w14:schemeClr w14:val="tx1"/>
                  </w14:solidFill>
                </w14:textFill>
              </w:rPr>
            </w:pPr>
            <w:r>
              <w:rPr>
                <w:rFonts w:hint="eastAsia" w:ascii="宋体" w:cs="宋体"/>
                <w:snapToGrid w:val="0"/>
                <w:color w:val="000000" w:themeColor="text1"/>
                <w:sz w:val="24"/>
                <w14:textFill>
                  <w14:solidFill>
                    <w14:schemeClr w14:val="tx1"/>
                  </w14:solidFill>
                </w14:textFill>
              </w:rPr>
              <w:t>网上递交：网上递交网址为云南省公共资源交易信息网（网址：</w:t>
            </w:r>
            <w:r>
              <w:rPr>
                <w:rFonts w:ascii="宋体" w:cs="宋体"/>
                <w:snapToGrid w:val="0"/>
                <w:color w:val="000000" w:themeColor="text1"/>
                <w:sz w:val="24"/>
                <w14:textFill>
                  <w14:solidFill>
                    <w14:schemeClr w14:val="tx1"/>
                  </w14:solidFill>
                </w14:textFill>
              </w:rPr>
              <w:t>https://ggzy.yn.gov.cn/#/homePage</w:t>
            </w:r>
            <w:r>
              <w:rPr>
                <w:rFonts w:hint="eastAsia" w:ascii="宋体" w:cs="宋体"/>
                <w:snapToGrid w:val="0"/>
                <w:color w:val="000000" w:themeColor="text1"/>
                <w:sz w:val="24"/>
                <w14:textFill>
                  <w14:solidFill>
                    <w14:schemeClr w14:val="tx1"/>
                  </w14:solidFill>
                </w14:textFill>
              </w:rPr>
              <w:t>），投标人须在投标截止时间前完成所有投标文件的上传，网上确认电子签名，并打印“上传投标文件回执”，投标截止时间前未完成投标文件传输的，视为撤回投标文件。</w:t>
            </w:r>
          </w:p>
          <w:p>
            <w:pPr>
              <w:adjustRightInd w:val="0"/>
              <w:snapToGrid w:val="0"/>
              <w:spacing w:line="440" w:lineRule="exact"/>
              <w:jc w:val="left"/>
              <w:rPr>
                <w:rFonts w:ascii="宋体" w:hAnsi="宋体"/>
                <w:color w:val="000000" w:themeColor="text1"/>
                <w:sz w:val="24"/>
                <w14:textFill>
                  <w14:solidFill>
                    <w14:schemeClr w14:val="tx1"/>
                  </w14:solidFill>
                </w14:textFill>
              </w:rPr>
            </w:pPr>
            <w:r>
              <w:rPr>
                <w:rFonts w:hint="eastAsia" w:ascii="宋体" w:cs="宋体"/>
                <w:snapToGrid w:val="0"/>
                <w:color w:val="000000" w:themeColor="text1"/>
                <w:sz w:val="24"/>
                <w14:textFill>
                  <w14:solidFill>
                    <w14:schemeClr w14:val="tx1"/>
                  </w14:solidFill>
                </w14:textFill>
              </w:rPr>
              <w:t>注：招标文件中与此条内容不一致的，以此条要求为准。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3" w:type="dxa"/>
            <w:vAlign w:val="center"/>
          </w:tcPr>
          <w:p>
            <w:pPr>
              <w:snapToGrid w:val="0"/>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4.1.1</w:t>
            </w:r>
          </w:p>
        </w:tc>
        <w:tc>
          <w:tcPr>
            <w:tcW w:w="2097" w:type="dxa"/>
            <w:vAlign w:val="center"/>
          </w:tcPr>
          <w:p>
            <w:pPr>
              <w:snapToGrid w:val="0"/>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投标文件的加密</w:t>
            </w:r>
          </w:p>
        </w:tc>
        <w:tc>
          <w:tcPr>
            <w:tcW w:w="6408" w:type="dxa"/>
            <w:gridSpan w:val="2"/>
            <w:vAlign w:val="center"/>
          </w:tcPr>
          <w:p>
            <w:pPr>
              <w:snapToGrid w:val="0"/>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网上递交的投标文件应使用数字证书进行加密。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4.2.4</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是否退还投标文件</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5.1.1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开标时间和地点</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开标时间：</w:t>
            </w:r>
            <w:r>
              <w:rPr>
                <w:rFonts w:hint="eastAsia" w:ascii="宋体" w:hAnsi="宋体"/>
                <w:color w:val="000000" w:themeColor="text1"/>
                <w:sz w:val="24"/>
                <w:u w:val="single"/>
                <w14:textFill>
                  <w14:solidFill>
                    <w14:schemeClr w14:val="tx1"/>
                  </w14:solidFill>
                </w14:textFill>
              </w:rPr>
              <w:t>同投标截止时间</w:t>
            </w:r>
          </w:p>
          <w:p>
            <w:pPr>
              <w:spacing w:line="44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开标地点：</w:t>
            </w:r>
            <w:r>
              <w:rPr>
                <w:rFonts w:hint="eastAsia" w:ascii="宋体" w:hAnsi="宋体"/>
                <w:color w:val="000000" w:themeColor="text1"/>
                <w:sz w:val="24"/>
                <w:u w:val="single"/>
                <w14:textFill>
                  <w14:solidFill>
                    <w14:schemeClr w14:val="tx1"/>
                  </w14:solidFill>
                </w14:textFill>
              </w:rPr>
              <w:t>昆明市公共资源交易中心（昆明市呈贡区市级行政中心锦绣大街</w:t>
            </w:r>
            <w:r>
              <w:rPr>
                <w:rFonts w:ascii="宋体" w:hAnsi="宋体"/>
                <w:color w:val="000000" w:themeColor="text1"/>
                <w:sz w:val="24"/>
                <w:u w:val="single"/>
                <w14:textFill>
                  <w14:solidFill>
                    <w14:schemeClr w14:val="tx1"/>
                  </w14:solidFill>
                </w14:textFill>
              </w:rPr>
              <w:t>1号，综合服务楼二楼）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5.2</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开标程序</w:t>
            </w:r>
          </w:p>
        </w:tc>
        <w:tc>
          <w:tcPr>
            <w:tcW w:w="6408" w:type="dxa"/>
            <w:gridSpan w:val="2"/>
            <w:vAlign w:val="center"/>
          </w:tcPr>
          <w:p>
            <w:pPr>
              <w:spacing w:line="44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密封情况检查：</w:t>
            </w:r>
            <w:r>
              <w:rPr>
                <w:rFonts w:hint="eastAsia" w:ascii="宋体" w:hAnsi="宋体"/>
                <w:color w:val="000000" w:themeColor="text1"/>
                <w:sz w:val="24"/>
                <w:u w:val="single"/>
                <w14:textFill>
                  <w14:solidFill>
                    <w14:schemeClr w14:val="tx1"/>
                  </w14:solidFill>
                </w14:textFill>
              </w:rPr>
              <w:t>按</w:t>
            </w:r>
            <w:r>
              <w:rPr>
                <w:rFonts w:ascii="宋体" w:hAnsi="宋体"/>
                <w:color w:val="000000" w:themeColor="text1"/>
                <w:sz w:val="24"/>
                <w:u w:val="single"/>
                <w14:textFill>
                  <w14:solidFill>
                    <w14:schemeClr w14:val="tx1"/>
                  </w14:solidFill>
                </w14:textFill>
              </w:rPr>
              <w:t>4.1.1条规定密封</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开标顺序：</w:t>
            </w:r>
            <w:r>
              <w:rPr>
                <w:rFonts w:hint="eastAsia" w:ascii="宋体" w:hAnsi="宋体"/>
                <w:color w:val="000000" w:themeColor="text1"/>
                <w:sz w:val="24"/>
                <w:u w:val="single"/>
                <w14:textFill>
                  <w14:solidFill>
                    <w14:schemeClr w14:val="tx1"/>
                  </w14:solidFill>
                </w14:textFill>
              </w:rPr>
              <w:t>按照电子招标投标交易平台自动提取所有投标人的顺序当众开标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6.1.1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评标委员会的组建</w:t>
            </w:r>
          </w:p>
        </w:tc>
        <w:tc>
          <w:tcPr>
            <w:tcW w:w="6408" w:type="dxa"/>
            <w:gridSpan w:val="2"/>
            <w:vAlign w:val="center"/>
          </w:tcPr>
          <w:p>
            <w:pPr>
              <w:spacing w:line="440" w:lineRule="exac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评标委员会人数：五人或五人以上单数。</w:t>
            </w:r>
          </w:p>
          <w:p>
            <w:pPr>
              <w:spacing w:line="440" w:lineRule="exac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评标专家确定方式：</w:t>
            </w:r>
            <w:r>
              <w:rPr>
                <w:rFonts w:hint="eastAsia"/>
                <w:color w:val="000000" w:themeColor="text1"/>
                <w:kern w:val="0"/>
                <w:sz w:val="24"/>
                <w14:textFill>
                  <w14:solidFill>
                    <w14:schemeClr w14:val="tx1"/>
                  </w14:solidFill>
                </w14:textFill>
              </w:rPr>
              <w:t>招标人代表以及从评标专家库中随机抽取的专家组成</w:t>
            </w:r>
            <w:r>
              <w:rPr>
                <w:rFonts w:hint="eastAsia" w:ascii="宋体" w:hAnsi="宋体"/>
                <w:color w:val="000000" w:themeColor="text1"/>
                <w:kern w:val="0"/>
                <w:sz w:val="24"/>
                <w14:textFill>
                  <w14:solidFill>
                    <w14:schemeClr w14:val="tx1"/>
                  </w14:solidFill>
                </w14:textFill>
              </w:rPr>
              <w:t>。</w:t>
            </w:r>
          </w:p>
          <w:p>
            <w:pPr>
              <w:spacing w:line="440" w:lineRule="exact"/>
              <w:ind w:left="525" w:hanging="525"/>
              <w:rPr>
                <w:rFonts w:ascii="宋体" w:hAnsi="宋体"/>
                <w:color w:val="000000" w:themeColor="text1"/>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注：特殊情况专家名单经审批后确定。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6.3</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评标办法</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是否授权评标委员会确定中标人</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否；</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评标委员会按照评标办法的打分结果，并按最后得分由高至低的顺序推荐</w:t>
            </w:r>
            <w:r>
              <w:rPr>
                <w:rFonts w:ascii="宋体" w:hAnsi="宋体"/>
                <w:color w:val="000000" w:themeColor="text1"/>
                <w:sz w:val="24"/>
                <w14:textFill>
                  <w14:solidFill>
                    <w14:schemeClr w14:val="tx1"/>
                  </w14:solidFill>
                </w14:textFill>
              </w:rPr>
              <w:t>1-3名中标候选人。由招标人根据相关规定确定中标人。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7.3.1</w:t>
            </w:r>
          </w:p>
        </w:tc>
        <w:tc>
          <w:tcPr>
            <w:tcW w:w="2097"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履约担保</w:t>
            </w:r>
          </w:p>
        </w:tc>
        <w:tc>
          <w:tcPr>
            <w:tcW w:w="6408"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一、履约担保的形式：现金/转账/支票/银行保函/保证保险，由中标人自主选择其中一种支付形式。</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二、履约担保的金额：中标合同金额的5%；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98" w:type="dxa"/>
            <w:gridSpan w:val="4"/>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招标人需要补充的其他内容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10.1</w:t>
            </w:r>
          </w:p>
        </w:tc>
        <w:tc>
          <w:tcPr>
            <w:tcW w:w="2120"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“暗标”评审</w:t>
            </w:r>
          </w:p>
        </w:tc>
        <w:tc>
          <w:tcPr>
            <w:tcW w:w="6385" w:type="dxa"/>
            <w:vAlign w:val="center"/>
          </w:tcPr>
          <w:p>
            <w:pPr>
              <w:spacing w:line="440" w:lineRule="exact"/>
              <w:contextualSpacing/>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■不采用</w:t>
            </w:r>
          </w:p>
          <w:p>
            <w:pPr>
              <w:spacing w:line="440" w:lineRule="exact"/>
              <w:rPr>
                <w:rFonts w:ascii="宋体" w:hAnsi="宋体"/>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□采用，</w:t>
            </w:r>
            <w:r>
              <w:rPr>
                <w:rFonts w:hint="eastAsia" w:ascii="宋体" w:hAnsi="宋体"/>
                <w:color w:val="000000" w:themeColor="text1"/>
                <w:sz w:val="24"/>
                <w14:textFill>
                  <w14:solidFill>
                    <w14:schemeClr w14:val="tx1"/>
                  </w14:solidFill>
                </w14:textFill>
              </w:rPr>
              <w:t>投标人应严格按照第八章“投标文件格式”中“投标文件技术部分（暗标）编制要求”，编制投标文件技术部分。</w:t>
            </w:r>
          </w:p>
          <w:p>
            <w:pPr>
              <w:spacing w:line="44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暗标的编制要求：</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10.2</w:t>
            </w:r>
          </w:p>
        </w:tc>
        <w:tc>
          <w:tcPr>
            <w:tcW w:w="2120"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评标结果公示</w:t>
            </w:r>
          </w:p>
        </w:tc>
        <w:tc>
          <w:tcPr>
            <w:tcW w:w="6385"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在中标通知书发出前，招标人将中标候选人的情况在本招标项目招标公告发布的同一媒介上予以公示，公示期不少于</w:t>
            </w:r>
            <w:r>
              <w:rPr>
                <w:rFonts w:ascii="宋体" w:hAnsi="宋体"/>
                <w:color w:val="000000" w:themeColor="text1"/>
                <w:sz w:val="24"/>
                <w14:textFill>
                  <w14:solidFill>
                    <w14:schemeClr w14:val="tx1"/>
                  </w14:solidFill>
                </w14:textFill>
              </w:rPr>
              <w:t>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10.3</w:t>
            </w:r>
          </w:p>
        </w:tc>
        <w:tc>
          <w:tcPr>
            <w:tcW w:w="2120"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监督</w:t>
            </w:r>
          </w:p>
        </w:tc>
        <w:tc>
          <w:tcPr>
            <w:tcW w:w="6385"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10.4</w:t>
            </w:r>
          </w:p>
        </w:tc>
        <w:tc>
          <w:tcPr>
            <w:tcW w:w="2120" w:type="dxa"/>
            <w:gridSpan w:val="2"/>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招标文件的解释</w:t>
            </w:r>
          </w:p>
        </w:tc>
        <w:tc>
          <w:tcPr>
            <w:tcW w:w="6385"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招标人自行编写的内容理解有争议的，由备案的行政监督部门按照招标文件所使用的词句、招标文件有关条款、招标的目的、习惯以及诚实信用原则，确定该条款的真实意思。有两种以上解释的，作出不利于招标人一方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10.5</w:t>
            </w:r>
          </w:p>
        </w:tc>
        <w:tc>
          <w:tcPr>
            <w:tcW w:w="2120" w:type="dxa"/>
            <w:gridSpan w:val="2"/>
            <w:vAlign w:val="center"/>
          </w:tcPr>
          <w:p>
            <w:pPr>
              <w:spacing w:line="440" w:lineRule="exact"/>
              <w:jc w:val="center"/>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纸质标书</w:t>
            </w:r>
          </w:p>
        </w:tc>
        <w:tc>
          <w:tcPr>
            <w:tcW w:w="6385" w:type="dxa"/>
            <w:vAlign w:val="center"/>
          </w:tcPr>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中标人在领取中标通知书时，须提供</w:t>
            </w:r>
            <w:r>
              <w:rPr>
                <w:rFonts w:ascii="宋体" w:hAnsi="宋体"/>
                <w:snapToGrid w:val="0"/>
                <w:color w:val="000000" w:themeColor="text1"/>
                <w:kern w:val="0"/>
                <w:sz w:val="24"/>
                <w14:textFill>
                  <w14:solidFill>
                    <w14:schemeClr w14:val="tx1"/>
                  </w14:solidFill>
                </w14:textFill>
              </w:rPr>
              <w:t>4份与网上上传的电子投标文件完全一致的纸质标书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10.6</w:t>
            </w:r>
          </w:p>
        </w:tc>
        <w:tc>
          <w:tcPr>
            <w:tcW w:w="2120" w:type="dxa"/>
            <w:gridSpan w:val="2"/>
            <w:vAlign w:val="center"/>
          </w:tcPr>
          <w:p>
            <w:pPr>
              <w:spacing w:line="440" w:lineRule="exact"/>
              <w:jc w:val="center"/>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招标公证费</w:t>
            </w:r>
          </w:p>
        </w:tc>
        <w:tc>
          <w:tcPr>
            <w:tcW w:w="6385" w:type="dxa"/>
            <w:vAlign w:val="center"/>
          </w:tcPr>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招标公证费由公证机构按（云价收费【</w:t>
            </w:r>
            <w:r>
              <w:rPr>
                <w:rFonts w:ascii="宋体" w:hAnsi="宋体"/>
                <w:snapToGrid w:val="0"/>
                <w:color w:val="000000" w:themeColor="text1"/>
                <w:kern w:val="0"/>
                <w:sz w:val="24"/>
                <w14:textFill>
                  <w14:solidFill>
                    <w14:schemeClr w14:val="tx1"/>
                  </w14:solidFill>
                </w14:textFill>
              </w:rPr>
              <w:t>2017】160号）的通知向中标人收取</w:t>
            </w:r>
            <w:r>
              <w:rPr>
                <w:rFonts w:hint="eastAsia" w:ascii="宋体" w:hAnsi="宋体"/>
                <w:snapToGrid w:val="0"/>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10.7</w:t>
            </w:r>
          </w:p>
        </w:tc>
        <w:tc>
          <w:tcPr>
            <w:tcW w:w="2120" w:type="dxa"/>
            <w:gridSpan w:val="2"/>
            <w:vAlign w:val="center"/>
          </w:tcPr>
          <w:p>
            <w:pPr>
              <w:autoSpaceDE w:val="0"/>
              <w:autoSpaceDN w:val="0"/>
              <w:adjustRightInd w:val="0"/>
              <w:spacing w:line="440" w:lineRule="exact"/>
              <w:jc w:val="center"/>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招标代理服务费</w:t>
            </w:r>
          </w:p>
        </w:tc>
        <w:tc>
          <w:tcPr>
            <w:tcW w:w="6385" w:type="dxa"/>
            <w:vAlign w:val="center"/>
          </w:tcPr>
          <w:p>
            <w:pPr>
              <w:spacing w:line="440" w:lineRule="exact"/>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招标代理服务费按照《关于进一步放开建设项目专业服务价格的通知》（发改价格〔</w:t>
            </w:r>
            <w:r>
              <w:rPr>
                <w:rFonts w:ascii="宋体" w:hAnsi="宋体"/>
                <w:snapToGrid w:val="0"/>
                <w:color w:val="000000" w:themeColor="text1"/>
                <w:kern w:val="0"/>
                <w:sz w:val="24"/>
                <w14:textFill>
                  <w14:solidFill>
                    <w14:schemeClr w14:val="tx1"/>
                  </w14:solidFill>
                </w14:textFill>
              </w:rPr>
              <w:t>2015〕299号）、参考国家计委关于印发《招标代理服务收费管理暂行办法》的通知（计价格[2002]1980号）、国家发展改革委办公厅关于招标代理服务收费有关问题的通知（发改办价格[2003]857号）的规定，</w:t>
            </w:r>
            <w:r>
              <w:rPr>
                <w:rFonts w:hint="eastAsia" w:ascii="宋体" w:hAnsi="宋体"/>
                <w:snapToGrid w:val="0"/>
                <w:color w:val="000000" w:themeColor="text1"/>
                <w:kern w:val="0"/>
                <w:sz w:val="24"/>
                <w14:textFill>
                  <w14:solidFill>
                    <w14:schemeClr w14:val="tx1"/>
                  </w14:solidFill>
                </w14:textFill>
              </w:rPr>
              <w:t>中标人须在中标公示期满后</w:t>
            </w:r>
            <w:r>
              <w:rPr>
                <w:rFonts w:ascii="宋体" w:hAnsi="宋体"/>
                <w:snapToGrid w:val="0"/>
                <w:color w:val="000000" w:themeColor="text1"/>
                <w:kern w:val="0"/>
                <w:sz w:val="24"/>
                <w14:textFill>
                  <w14:solidFill>
                    <w14:schemeClr w14:val="tx1"/>
                  </w14:solidFill>
                </w14:textFill>
              </w:rPr>
              <w:t>5个日历天内办理完成领取中标通知书的相应手续。</w:t>
            </w:r>
          </w:p>
        </w:tc>
      </w:tr>
    </w:tbl>
    <w:p>
      <w:pPr>
        <w:rPr>
          <w:rFonts w:ascii="宋体" w:hAnsi="宋体"/>
          <w:b/>
          <w:color w:val="000000" w:themeColor="text1"/>
          <w14:textFill>
            <w14:solidFill>
              <w14:schemeClr w14:val="tx1"/>
            </w14:solidFill>
          </w14:textFill>
        </w:rPr>
      </w:pPr>
      <w:bookmarkStart w:id="24" w:name="_Toc529797921"/>
      <w:bookmarkStart w:id="25" w:name="_Toc38031559"/>
      <w:bookmarkStart w:id="26" w:name="_Toc38462872"/>
    </w:p>
    <w:p>
      <w:pPr>
        <w:pStyle w:val="6"/>
        <w:widowControl/>
        <w:spacing w:before="260" w:after="260" w:line="440" w:lineRule="exact"/>
        <w:jc w:val="center"/>
        <w:rPr>
          <w:rFonts w:ascii="宋体" w:hAnsi="宋体"/>
          <w:bCs w:val="0"/>
          <w:color w:val="000000" w:themeColor="text1"/>
          <w:kern w:val="0"/>
          <w14:textFill>
            <w14:solidFill>
              <w14:schemeClr w14:val="tx1"/>
            </w14:solidFill>
          </w14:textFill>
        </w:rPr>
      </w:pPr>
      <w:bookmarkStart w:id="27" w:name="_Toc136956284"/>
      <w:r>
        <w:rPr>
          <w:rFonts w:hint="eastAsia" w:ascii="宋体" w:hAnsi="宋体"/>
          <w:bCs w:val="0"/>
          <w:color w:val="000000" w:themeColor="text1"/>
          <w:kern w:val="0"/>
          <w:sz w:val="36"/>
          <w:szCs w:val="36"/>
          <w14:textFill>
            <w14:solidFill>
              <w14:schemeClr w14:val="tx1"/>
            </w14:solidFill>
          </w14:textFill>
        </w:rPr>
        <w:t>二、投标人须知</w:t>
      </w:r>
      <w:bookmarkEnd w:id="24"/>
      <w:bookmarkEnd w:id="25"/>
      <w:bookmarkEnd w:id="26"/>
      <w:bookmarkEnd w:id="27"/>
    </w:p>
    <w:p>
      <w:pPr>
        <w:pStyle w:val="6"/>
        <w:spacing w:line="480" w:lineRule="auto"/>
        <w:jc w:val="center"/>
        <w:rPr>
          <w:rFonts w:ascii="宋体" w:hAnsi="宋体"/>
          <w:bCs w:val="0"/>
          <w:color w:val="000000" w:themeColor="text1"/>
          <w:sz w:val="30"/>
          <w:szCs w:val="30"/>
          <w14:textFill>
            <w14:solidFill>
              <w14:schemeClr w14:val="tx1"/>
            </w14:solidFill>
          </w14:textFill>
        </w:rPr>
      </w:pPr>
      <w:bookmarkStart w:id="28" w:name="_Toc529797922"/>
      <w:bookmarkStart w:id="29" w:name="_Toc60323156"/>
      <w:bookmarkStart w:id="30" w:name="_Toc347307763"/>
      <w:bookmarkStart w:id="31" w:name="_Toc300848189"/>
      <w:bookmarkStart w:id="32" w:name="_Toc38031560"/>
      <w:bookmarkStart w:id="33" w:name="_Toc38462873"/>
      <w:bookmarkStart w:id="34" w:name="_Toc136956285"/>
      <w:r>
        <w:rPr>
          <w:rFonts w:hint="eastAsia" w:ascii="宋体" w:hAnsi="宋体"/>
          <w:bCs w:val="0"/>
          <w:color w:val="000000" w:themeColor="text1"/>
          <w:sz w:val="30"/>
          <w:szCs w:val="30"/>
          <w14:textFill>
            <w14:solidFill>
              <w14:schemeClr w14:val="tx1"/>
            </w14:solidFill>
          </w14:textFill>
        </w:rPr>
        <w:t>（一）总则</w:t>
      </w:r>
      <w:bookmarkEnd w:id="28"/>
      <w:bookmarkEnd w:id="29"/>
      <w:bookmarkEnd w:id="30"/>
      <w:bookmarkEnd w:id="31"/>
      <w:bookmarkEnd w:id="32"/>
      <w:bookmarkEnd w:id="33"/>
      <w:bookmarkEnd w:id="34"/>
    </w:p>
    <w:p>
      <w:pPr>
        <w:pStyle w:val="7"/>
        <w:ind w:firstLine="463" w:firstLineChars="192"/>
        <w:rPr>
          <w:rFonts w:ascii="宋体" w:hAnsi="宋体"/>
          <w:bCs w:val="0"/>
          <w:color w:val="000000" w:themeColor="text1"/>
          <w:sz w:val="24"/>
          <w:szCs w:val="24"/>
          <w14:textFill>
            <w14:solidFill>
              <w14:schemeClr w14:val="tx1"/>
            </w14:solidFill>
          </w14:textFill>
        </w:rPr>
      </w:pPr>
      <w:bookmarkStart w:id="35" w:name="_Toc81555854"/>
      <w:bookmarkStart w:id="36" w:name="_Toc116261015"/>
      <w:bookmarkStart w:id="37" w:name="_Toc99567372"/>
      <w:bookmarkStart w:id="38" w:name="_Toc117339933"/>
      <w:bookmarkStart w:id="39" w:name="_Toc99566903"/>
      <w:bookmarkStart w:id="40" w:name="_Toc136956286"/>
      <w:bookmarkStart w:id="41" w:name="_Toc81817955"/>
      <w:r>
        <w:rPr>
          <w:rFonts w:ascii="宋体" w:hAnsi="宋体"/>
          <w:bCs w:val="0"/>
          <w:color w:val="000000" w:themeColor="text1"/>
          <w:sz w:val="24"/>
          <w:szCs w:val="24"/>
          <w14:textFill>
            <w14:solidFill>
              <w14:schemeClr w14:val="tx1"/>
            </w14:solidFill>
          </w14:textFill>
        </w:rPr>
        <w:t xml:space="preserve">1.1 </w:t>
      </w:r>
      <w:r>
        <w:rPr>
          <w:rFonts w:hint="eastAsia" w:ascii="宋体" w:hAnsi="宋体"/>
          <w:bCs w:val="0"/>
          <w:color w:val="000000" w:themeColor="text1"/>
          <w:sz w:val="24"/>
          <w:szCs w:val="24"/>
          <w14:textFill>
            <w14:solidFill>
              <w14:schemeClr w14:val="tx1"/>
            </w14:solidFill>
          </w14:textFill>
        </w:rPr>
        <w:t>项目概况</w:t>
      </w:r>
      <w:bookmarkEnd w:id="35"/>
      <w:bookmarkEnd w:id="36"/>
      <w:bookmarkEnd w:id="37"/>
      <w:bookmarkEnd w:id="38"/>
      <w:bookmarkEnd w:id="39"/>
      <w:bookmarkEnd w:id="40"/>
      <w:bookmarkEnd w:id="41"/>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根据《中华人民共和国招标投标法》等有关法律、法规和规章的规定，本招标项目已具备招标条件，现对该项目进行招标。</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1.1.2本招标项目招标人：见投标人须知前附表。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1.1.3本招标项目招标代理机构：见投标人须知前附表。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1.1.4本招标项目名称及概况：见投标人须知前附表。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1.1.5本招标项目</w:t>
      </w:r>
      <w:r>
        <w:rPr>
          <w:rFonts w:hint="eastAsia" w:ascii="宋体" w:hAnsi="宋体"/>
          <w:color w:val="000000" w:themeColor="text1"/>
          <w:sz w:val="24"/>
          <w14:textFill>
            <w14:solidFill>
              <w14:schemeClr w14:val="tx1"/>
            </w14:solidFill>
          </w14:textFill>
        </w:rPr>
        <w:t>四至范围</w:t>
      </w:r>
      <w:r>
        <w:rPr>
          <w:rFonts w:ascii="宋体" w:hAnsi="宋体"/>
          <w:color w:val="000000" w:themeColor="text1"/>
          <w:sz w:val="24"/>
          <w14:textFill>
            <w14:solidFill>
              <w14:schemeClr w14:val="tx1"/>
            </w14:solidFill>
          </w14:textFill>
        </w:rPr>
        <w:t>：见投标人须知前附表。</w:t>
      </w:r>
    </w:p>
    <w:p>
      <w:pPr>
        <w:pStyle w:val="7"/>
        <w:ind w:firstLine="463" w:firstLineChars="192"/>
        <w:rPr>
          <w:rFonts w:ascii="宋体" w:hAnsi="宋体"/>
          <w:bCs w:val="0"/>
          <w:color w:val="000000" w:themeColor="text1"/>
          <w:sz w:val="24"/>
          <w:szCs w:val="24"/>
          <w14:textFill>
            <w14:solidFill>
              <w14:schemeClr w14:val="tx1"/>
            </w14:solidFill>
          </w14:textFill>
        </w:rPr>
      </w:pPr>
      <w:bookmarkStart w:id="42" w:name="_Toc81555855"/>
      <w:bookmarkStart w:id="43" w:name="_Toc116261016"/>
      <w:bookmarkStart w:id="44" w:name="_Toc99567373"/>
      <w:bookmarkStart w:id="45" w:name="_Toc99566904"/>
      <w:bookmarkStart w:id="46" w:name="_Toc117339934"/>
      <w:bookmarkStart w:id="47" w:name="_Toc136956287"/>
      <w:bookmarkStart w:id="48" w:name="_Toc81817956"/>
      <w:r>
        <w:rPr>
          <w:rFonts w:ascii="宋体" w:hAnsi="宋体"/>
          <w:bCs w:val="0"/>
          <w:color w:val="000000" w:themeColor="text1"/>
          <w:sz w:val="24"/>
          <w:szCs w:val="24"/>
          <w14:textFill>
            <w14:solidFill>
              <w14:schemeClr w14:val="tx1"/>
            </w14:solidFill>
          </w14:textFill>
        </w:rPr>
        <w:t xml:space="preserve">1.2 </w:t>
      </w:r>
      <w:r>
        <w:rPr>
          <w:rFonts w:hint="eastAsia" w:ascii="宋体" w:hAnsi="宋体"/>
          <w:bCs w:val="0"/>
          <w:color w:val="000000" w:themeColor="text1"/>
          <w:sz w:val="24"/>
          <w:szCs w:val="24"/>
          <w14:textFill>
            <w14:solidFill>
              <w14:schemeClr w14:val="tx1"/>
            </w14:solidFill>
          </w14:textFill>
        </w:rPr>
        <w:t>项目的资金来源和落实情况</w:t>
      </w:r>
      <w:bookmarkEnd w:id="42"/>
      <w:bookmarkEnd w:id="43"/>
      <w:bookmarkEnd w:id="44"/>
      <w:bookmarkEnd w:id="45"/>
      <w:bookmarkEnd w:id="46"/>
      <w:bookmarkEnd w:id="47"/>
      <w:bookmarkEnd w:id="48"/>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1.2.1本招标项目的资金来源：见投标人须知前附表。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1.2.2本招标项目的出资比例：见投标人须知前附表。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1.2.3本招标项目的资金落实情况：见投标人须知前附表。</w:t>
      </w:r>
    </w:p>
    <w:p>
      <w:pPr>
        <w:pStyle w:val="7"/>
        <w:ind w:firstLine="463" w:firstLineChars="192"/>
        <w:rPr>
          <w:rFonts w:ascii="宋体" w:hAnsi="宋体"/>
          <w:bCs w:val="0"/>
          <w:color w:val="000000" w:themeColor="text1"/>
          <w:sz w:val="24"/>
          <w:szCs w:val="24"/>
          <w14:textFill>
            <w14:solidFill>
              <w14:schemeClr w14:val="tx1"/>
            </w14:solidFill>
          </w14:textFill>
        </w:rPr>
      </w:pPr>
      <w:bookmarkStart w:id="49" w:name="_Toc99566905"/>
      <w:bookmarkStart w:id="50" w:name="_Toc117339935"/>
      <w:bookmarkStart w:id="51" w:name="_Toc81555856"/>
      <w:bookmarkStart w:id="52" w:name="_Toc116261017"/>
      <w:bookmarkStart w:id="53" w:name="_Toc81817957"/>
      <w:bookmarkStart w:id="54" w:name="_Toc136956288"/>
      <w:bookmarkStart w:id="55" w:name="_Toc99567374"/>
      <w:r>
        <w:rPr>
          <w:rFonts w:ascii="宋体" w:hAnsi="宋体"/>
          <w:bCs w:val="0"/>
          <w:color w:val="000000" w:themeColor="text1"/>
          <w:sz w:val="24"/>
          <w:szCs w:val="24"/>
          <w14:textFill>
            <w14:solidFill>
              <w14:schemeClr w14:val="tx1"/>
            </w14:solidFill>
          </w14:textFill>
        </w:rPr>
        <w:t>1.3招标范围、计划工期、质量要求及标段划分</w:t>
      </w:r>
      <w:bookmarkEnd w:id="49"/>
      <w:bookmarkEnd w:id="50"/>
      <w:bookmarkEnd w:id="51"/>
      <w:bookmarkEnd w:id="52"/>
      <w:bookmarkEnd w:id="53"/>
      <w:bookmarkEnd w:id="54"/>
      <w:bookmarkEnd w:id="55"/>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1.3.1本招标项目的招标范围：见投标人须知前附表。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1.3.2本招标项目的计划工期：见投标人须知前附表。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1.3.3本招标项目的质量要求：见投标人须知前附表。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1.3.4本招标项目的标段划分：见投标人须知前附表。</w:t>
      </w:r>
    </w:p>
    <w:p>
      <w:pPr>
        <w:pStyle w:val="7"/>
        <w:ind w:firstLine="463" w:firstLineChars="192"/>
        <w:rPr>
          <w:rFonts w:ascii="宋体" w:hAnsi="宋体"/>
          <w:bCs w:val="0"/>
          <w:color w:val="000000" w:themeColor="text1"/>
          <w:sz w:val="24"/>
          <w:szCs w:val="24"/>
          <w14:textFill>
            <w14:solidFill>
              <w14:schemeClr w14:val="tx1"/>
            </w14:solidFill>
          </w14:textFill>
        </w:rPr>
      </w:pPr>
      <w:bookmarkStart w:id="56" w:name="_Toc136956289"/>
      <w:bookmarkStart w:id="57" w:name="_Toc81817958"/>
      <w:bookmarkStart w:id="58" w:name="_Toc99566906"/>
      <w:bookmarkStart w:id="59" w:name="_Toc99567375"/>
      <w:bookmarkStart w:id="60" w:name="_Toc116261018"/>
      <w:bookmarkStart w:id="61" w:name="_Toc81555857"/>
      <w:bookmarkStart w:id="62" w:name="_Toc117339936"/>
      <w:r>
        <w:rPr>
          <w:rFonts w:ascii="宋体" w:hAnsi="宋体"/>
          <w:bCs w:val="0"/>
          <w:color w:val="000000" w:themeColor="text1"/>
          <w:sz w:val="24"/>
          <w:szCs w:val="24"/>
          <w14:textFill>
            <w14:solidFill>
              <w14:schemeClr w14:val="tx1"/>
            </w14:solidFill>
          </w14:textFill>
        </w:rPr>
        <w:t xml:space="preserve">1.4 </w:t>
      </w:r>
      <w:r>
        <w:rPr>
          <w:rFonts w:hint="eastAsia" w:ascii="宋体" w:hAnsi="宋体"/>
          <w:bCs w:val="0"/>
          <w:color w:val="000000" w:themeColor="text1"/>
          <w:sz w:val="24"/>
          <w:szCs w:val="24"/>
          <w14:textFill>
            <w14:solidFill>
              <w14:schemeClr w14:val="tx1"/>
            </w14:solidFill>
          </w14:textFill>
        </w:rPr>
        <w:t>投标人资格要求</w:t>
      </w:r>
      <w:bookmarkEnd w:id="56"/>
      <w:bookmarkEnd w:id="57"/>
      <w:bookmarkEnd w:id="58"/>
      <w:bookmarkEnd w:id="59"/>
      <w:bookmarkEnd w:id="60"/>
      <w:bookmarkEnd w:id="61"/>
      <w:bookmarkEnd w:id="62"/>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1.4.1 </w:t>
      </w:r>
      <w:r>
        <w:rPr>
          <w:rFonts w:hint="eastAsia" w:ascii="宋体" w:hAnsi="宋体"/>
          <w:color w:val="000000" w:themeColor="text1"/>
          <w:sz w:val="24"/>
          <w14:textFill>
            <w14:solidFill>
              <w14:schemeClr w14:val="tx1"/>
            </w14:solidFill>
          </w14:textFill>
        </w:rPr>
        <w:t>投标人应具备承担本项目的资质条件、能力和信誉：见投标人须知前附表。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1.4.2本招标项目资格审查方式：本项目采用投标人须知前附表所述的资格审查方式确定合格投标人。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1.4.3本招标项目是否接受联合体投标：见投标人须知前附表。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 </w:t>
      </w:r>
      <w:r>
        <w:rPr>
          <w:rFonts w:hint="eastAsia" w:ascii="宋体" w:hAnsi="宋体"/>
          <w:color w:val="000000" w:themeColor="text1"/>
          <w:sz w:val="24"/>
          <w14:textFill>
            <w14:solidFill>
              <w14:schemeClr w14:val="tx1"/>
            </w14:solidFill>
          </w14:textFill>
        </w:rPr>
        <w:t>投标人不得存在下列情形之一：</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1）为投标人不具有独立法人资格的附属机构（单位）；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2）为本项目提供咨询服务的；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3）为本项目的监理人；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4）为本项目的代建人；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5）为本项目提供招标代理服务的；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6）与本项目的监理人或代建人或招标代理机构或施工单位同为一个法定代表人的；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7）与本项目的监理人或代理人或招标代理机构或施工单位相互控股或参股的；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8）与本项目的监理人或招标代理机构或施工单位相互任职或工作的；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9）被责令停业的；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10）被暂停或取消投标资格的；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11）财产被接受或取消投标资格的；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12）在最近三年内有骗取中标或严重违约或重大工程质量问题的</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13）与招标人存在利害关系，可能影响招标公证性的法人、其它组织或者个人；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14）单位负责人为同一人或者存在控股、管理关系的不同单位；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15）被工商行政管理机关在全国企业信用信息公示系统中列入严重违法失信企业名单的；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16）被最高人民法院在“信用中国”网站（www.creditchina.gov.cn）或各级信用信息共享平台中列入失信被执行人名单的。</w:t>
      </w:r>
    </w:p>
    <w:p>
      <w:pPr>
        <w:pStyle w:val="7"/>
        <w:ind w:firstLine="463" w:firstLineChars="192"/>
        <w:rPr>
          <w:rFonts w:ascii="宋体" w:hAnsi="宋体"/>
          <w:bCs w:val="0"/>
          <w:color w:val="000000" w:themeColor="text1"/>
          <w:sz w:val="24"/>
          <w:szCs w:val="24"/>
          <w14:textFill>
            <w14:solidFill>
              <w14:schemeClr w14:val="tx1"/>
            </w14:solidFill>
          </w14:textFill>
        </w:rPr>
      </w:pPr>
      <w:bookmarkStart w:id="63" w:name="_Toc136956290"/>
      <w:bookmarkStart w:id="64" w:name="_Toc81817959"/>
      <w:bookmarkStart w:id="65" w:name="_Toc99566907"/>
      <w:bookmarkStart w:id="66" w:name="_Toc116261019"/>
      <w:bookmarkStart w:id="67" w:name="_Toc99567376"/>
      <w:bookmarkStart w:id="68" w:name="_Toc81555858"/>
      <w:bookmarkStart w:id="69" w:name="_Toc117339937"/>
      <w:r>
        <w:rPr>
          <w:rFonts w:ascii="宋体" w:hAnsi="宋体"/>
          <w:bCs w:val="0"/>
          <w:color w:val="000000" w:themeColor="text1"/>
          <w:sz w:val="24"/>
          <w:szCs w:val="24"/>
          <w14:textFill>
            <w14:solidFill>
              <w14:schemeClr w14:val="tx1"/>
            </w14:solidFill>
          </w14:textFill>
        </w:rPr>
        <w:t>1.5费用承担</w:t>
      </w:r>
      <w:bookmarkEnd w:id="63"/>
      <w:bookmarkEnd w:id="64"/>
      <w:bookmarkEnd w:id="65"/>
      <w:bookmarkEnd w:id="66"/>
      <w:bookmarkEnd w:id="67"/>
      <w:bookmarkEnd w:id="68"/>
      <w:bookmarkEnd w:id="69"/>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1.5.1投标人应承担其参加本招标活动自身所发生的全部费用及所有规费。</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1.5.2中标人应承担的其他费用：见投标人须知前附表。</w:t>
      </w:r>
    </w:p>
    <w:p>
      <w:pPr>
        <w:pStyle w:val="7"/>
        <w:ind w:firstLine="463" w:firstLineChars="192"/>
        <w:rPr>
          <w:rFonts w:ascii="宋体" w:hAnsi="宋体"/>
          <w:bCs w:val="0"/>
          <w:color w:val="000000" w:themeColor="text1"/>
          <w:sz w:val="24"/>
          <w:szCs w:val="24"/>
          <w14:textFill>
            <w14:solidFill>
              <w14:schemeClr w14:val="tx1"/>
            </w14:solidFill>
          </w14:textFill>
        </w:rPr>
      </w:pPr>
      <w:bookmarkStart w:id="70" w:name="_Toc116261020"/>
      <w:bookmarkStart w:id="71" w:name="_Toc99566908"/>
      <w:bookmarkStart w:id="72" w:name="_Toc99567377"/>
      <w:bookmarkStart w:id="73" w:name="_Toc117339938"/>
      <w:bookmarkStart w:id="74" w:name="_Toc81817960"/>
      <w:bookmarkStart w:id="75" w:name="_Toc136956291"/>
      <w:bookmarkStart w:id="76" w:name="_Toc81555859"/>
      <w:r>
        <w:rPr>
          <w:rFonts w:ascii="宋体" w:hAnsi="宋体"/>
          <w:bCs w:val="0"/>
          <w:color w:val="000000" w:themeColor="text1"/>
          <w:sz w:val="24"/>
          <w:szCs w:val="24"/>
          <w14:textFill>
            <w14:solidFill>
              <w14:schemeClr w14:val="tx1"/>
            </w14:solidFill>
          </w14:textFill>
        </w:rPr>
        <w:t xml:space="preserve">1.6 </w:t>
      </w:r>
      <w:r>
        <w:rPr>
          <w:rFonts w:hint="eastAsia" w:ascii="宋体" w:hAnsi="宋体"/>
          <w:bCs w:val="0"/>
          <w:color w:val="000000" w:themeColor="text1"/>
          <w:sz w:val="24"/>
          <w:szCs w:val="24"/>
          <w14:textFill>
            <w14:solidFill>
              <w14:schemeClr w14:val="tx1"/>
            </w14:solidFill>
          </w14:textFill>
        </w:rPr>
        <w:t>保密</w:t>
      </w:r>
      <w:bookmarkEnd w:id="70"/>
      <w:bookmarkEnd w:id="71"/>
      <w:bookmarkEnd w:id="72"/>
      <w:bookmarkEnd w:id="73"/>
      <w:bookmarkEnd w:id="74"/>
      <w:bookmarkEnd w:id="75"/>
      <w:bookmarkEnd w:id="76"/>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参与招标投标活动的各方应对招标文件和投标文件中的商业和技术等秘密保密，违者应对由此造成的后果承担法律责任。</w:t>
      </w:r>
    </w:p>
    <w:p>
      <w:pPr>
        <w:pStyle w:val="7"/>
        <w:ind w:firstLine="463" w:firstLineChars="192"/>
        <w:rPr>
          <w:rFonts w:ascii="宋体" w:hAnsi="宋体"/>
          <w:bCs w:val="0"/>
          <w:color w:val="000000" w:themeColor="text1"/>
          <w:sz w:val="24"/>
          <w:szCs w:val="24"/>
          <w14:textFill>
            <w14:solidFill>
              <w14:schemeClr w14:val="tx1"/>
            </w14:solidFill>
          </w14:textFill>
        </w:rPr>
      </w:pPr>
      <w:bookmarkStart w:id="77" w:name="_Toc81555860"/>
      <w:bookmarkStart w:id="78" w:name="_Toc81817961"/>
      <w:bookmarkStart w:id="79" w:name="_Toc99567378"/>
      <w:bookmarkStart w:id="80" w:name="_Toc136956292"/>
      <w:bookmarkStart w:id="81" w:name="_Toc117339939"/>
      <w:bookmarkStart w:id="82" w:name="_Toc116261021"/>
      <w:bookmarkStart w:id="83" w:name="_Toc99566909"/>
      <w:r>
        <w:rPr>
          <w:rFonts w:ascii="宋体" w:hAnsi="宋体"/>
          <w:bCs w:val="0"/>
          <w:color w:val="000000" w:themeColor="text1"/>
          <w:sz w:val="24"/>
          <w:szCs w:val="24"/>
          <w14:textFill>
            <w14:solidFill>
              <w14:schemeClr w14:val="tx1"/>
            </w14:solidFill>
          </w14:textFill>
        </w:rPr>
        <w:t xml:space="preserve">1.7 </w:t>
      </w:r>
      <w:r>
        <w:rPr>
          <w:rFonts w:hint="eastAsia" w:ascii="宋体" w:hAnsi="宋体"/>
          <w:bCs w:val="0"/>
          <w:color w:val="000000" w:themeColor="text1"/>
          <w:sz w:val="24"/>
          <w:szCs w:val="24"/>
          <w14:textFill>
            <w14:solidFill>
              <w14:schemeClr w14:val="tx1"/>
            </w14:solidFill>
          </w14:textFill>
        </w:rPr>
        <w:t>语言文字</w:t>
      </w:r>
      <w:bookmarkEnd w:id="77"/>
      <w:bookmarkEnd w:id="78"/>
      <w:bookmarkEnd w:id="79"/>
      <w:bookmarkEnd w:id="80"/>
      <w:bookmarkEnd w:id="81"/>
      <w:bookmarkEnd w:id="82"/>
      <w:bookmarkEnd w:id="83"/>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除专用术语外，与招标投标有关的语言均使用中文。必要时专用术语应附中文注释。</w:t>
      </w:r>
    </w:p>
    <w:p>
      <w:pPr>
        <w:pStyle w:val="7"/>
        <w:ind w:firstLine="463" w:firstLineChars="192"/>
        <w:rPr>
          <w:rFonts w:ascii="宋体" w:hAnsi="宋体"/>
          <w:bCs w:val="0"/>
          <w:color w:val="000000" w:themeColor="text1"/>
          <w:sz w:val="24"/>
          <w:szCs w:val="24"/>
          <w14:textFill>
            <w14:solidFill>
              <w14:schemeClr w14:val="tx1"/>
            </w14:solidFill>
          </w14:textFill>
        </w:rPr>
      </w:pPr>
      <w:bookmarkStart w:id="84" w:name="_Toc136956293"/>
      <w:bookmarkStart w:id="85" w:name="_Toc99566910"/>
      <w:bookmarkStart w:id="86" w:name="_Toc81555861"/>
      <w:bookmarkStart w:id="87" w:name="_Toc116261022"/>
      <w:bookmarkStart w:id="88" w:name="_Toc99567379"/>
      <w:bookmarkStart w:id="89" w:name="_Toc117339940"/>
      <w:bookmarkStart w:id="90" w:name="_Toc81817962"/>
      <w:r>
        <w:rPr>
          <w:rFonts w:ascii="宋体" w:hAnsi="宋体"/>
          <w:bCs w:val="0"/>
          <w:color w:val="000000" w:themeColor="text1"/>
          <w:sz w:val="24"/>
          <w:szCs w:val="24"/>
          <w14:textFill>
            <w14:solidFill>
              <w14:schemeClr w14:val="tx1"/>
            </w14:solidFill>
          </w14:textFill>
        </w:rPr>
        <w:t xml:space="preserve">1.8 </w:t>
      </w:r>
      <w:r>
        <w:rPr>
          <w:rFonts w:hint="eastAsia" w:ascii="宋体" w:hAnsi="宋体"/>
          <w:bCs w:val="0"/>
          <w:color w:val="000000" w:themeColor="text1"/>
          <w:sz w:val="24"/>
          <w:szCs w:val="24"/>
          <w14:textFill>
            <w14:solidFill>
              <w14:schemeClr w14:val="tx1"/>
            </w14:solidFill>
          </w14:textFill>
        </w:rPr>
        <w:t>计量单位</w:t>
      </w:r>
      <w:bookmarkEnd w:id="84"/>
      <w:bookmarkEnd w:id="85"/>
      <w:bookmarkEnd w:id="86"/>
      <w:bookmarkEnd w:id="87"/>
      <w:bookmarkEnd w:id="88"/>
      <w:bookmarkEnd w:id="89"/>
      <w:bookmarkEnd w:id="90"/>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所有计量均采用中华人民共和国法定计量单位。</w:t>
      </w:r>
    </w:p>
    <w:p>
      <w:pPr>
        <w:pStyle w:val="7"/>
        <w:ind w:firstLine="463" w:firstLineChars="192"/>
        <w:rPr>
          <w:rFonts w:ascii="宋体" w:hAnsi="宋体"/>
          <w:bCs w:val="0"/>
          <w:color w:val="000000" w:themeColor="text1"/>
          <w:sz w:val="24"/>
          <w:szCs w:val="24"/>
          <w14:textFill>
            <w14:solidFill>
              <w14:schemeClr w14:val="tx1"/>
            </w14:solidFill>
          </w14:textFill>
        </w:rPr>
      </w:pPr>
      <w:bookmarkStart w:id="91" w:name="_Toc116261023"/>
      <w:bookmarkStart w:id="92" w:name="_Toc81555862"/>
      <w:bookmarkStart w:id="93" w:name="_Toc81817963"/>
      <w:bookmarkStart w:id="94" w:name="_Toc117339941"/>
      <w:bookmarkStart w:id="95" w:name="_Toc136956294"/>
      <w:bookmarkStart w:id="96" w:name="_Toc99566911"/>
      <w:bookmarkStart w:id="97" w:name="_Toc99567380"/>
      <w:r>
        <w:rPr>
          <w:rFonts w:ascii="宋体" w:hAnsi="宋体"/>
          <w:bCs w:val="0"/>
          <w:color w:val="000000" w:themeColor="text1"/>
          <w:sz w:val="24"/>
          <w:szCs w:val="24"/>
          <w14:textFill>
            <w14:solidFill>
              <w14:schemeClr w14:val="tx1"/>
            </w14:solidFill>
          </w14:textFill>
        </w:rPr>
        <w:t>1.9踏勘现场</w:t>
      </w:r>
      <w:bookmarkEnd w:id="91"/>
      <w:bookmarkEnd w:id="92"/>
      <w:bookmarkEnd w:id="93"/>
      <w:bookmarkEnd w:id="94"/>
      <w:bookmarkEnd w:id="95"/>
      <w:bookmarkEnd w:id="96"/>
      <w:bookmarkEnd w:id="97"/>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1.9.1 </w:t>
      </w:r>
      <w:r>
        <w:rPr>
          <w:rFonts w:hint="eastAsia" w:ascii="宋体" w:hAnsi="宋体"/>
          <w:color w:val="000000" w:themeColor="text1"/>
          <w:sz w:val="24"/>
          <w14:textFill>
            <w14:solidFill>
              <w14:schemeClr w14:val="tx1"/>
            </w14:solidFill>
          </w14:textFill>
        </w:rPr>
        <w:t>招标人不集中组织投标现场踏勘，投标人需要了解现场情况的，可自行进行现场踏勘地点见投标人须知前附表。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1.9.2 </w:t>
      </w:r>
      <w:r>
        <w:rPr>
          <w:rFonts w:hint="eastAsia" w:ascii="宋体" w:hAnsi="宋体"/>
          <w:color w:val="000000" w:themeColor="text1"/>
          <w:sz w:val="24"/>
          <w14:textFill>
            <w14:solidFill>
              <w14:schemeClr w14:val="tx1"/>
            </w14:solidFill>
          </w14:textFill>
        </w:rPr>
        <w:t>投标人踏勘现场发生的费用自理。</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1.9.3投标人自行负责在踏勘现场中所发生的人员伤亡和财产损失。</w:t>
      </w:r>
    </w:p>
    <w:p>
      <w:pPr>
        <w:pStyle w:val="7"/>
        <w:ind w:firstLine="463" w:firstLineChars="192"/>
        <w:rPr>
          <w:rFonts w:ascii="宋体" w:hAnsi="宋体"/>
          <w:bCs w:val="0"/>
          <w:color w:val="000000" w:themeColor="text1"/>
          <w:sz w:val="24"/>
          <w:szCs w:val="24"/>
          <w14:textFill>
            <w14:solidFill>
              <w14:schemeClr w14:val="tx1"/>
            </w14:solidFill>
          </w14:textFill>
        </w:rPr>
      </w:pPr>
      <w:bookmarkStart w:id="98" w:name="_Toc81817964"/>
      <w:bookmarkStart w:id="99" w:name="_Toc99567381"/>
      <w:bookmarkStart w:id="100" w:name="_Toc136956295"/>
      <w:bookmarkStart w:id="101" w:name="_Toc117339942"/>
      <w:bookmarkStart w:id="102" w:name="_Toc81555863"/>
      <w:bookmarkStart w:id="103" w:name="_Toc99566912"/>
      <w:bookmarkStart w:id="104" w:name="_Toc116261024"/>
      <w:r>
        <w:rPr>
          <w:rFonts w:ascii="宋体" w:hAnsi="宋体"/>
          <w:bCs w:val="0"/>
          <w:color w:val="000000" w:themeColor="text1"/>
          <w:sz w:val="24"/>
          <w:szCs w:val="24"/>
          <w14:textFill>
            <w14:solidFill>
              <w14:schemeClr w14:val="tx1"/>
            </w14:solidFill>
          </w14:textFill>
        </w:rPr>
        <w:t xml:space="preserve">1.10 </w:t>
      </w:r>
      <w:r>
        <w:rPr>
          <w:rFonts w:hint="eastAsia" w:ascii="宋体" w:hAnsi="宋体"/>
          <w:bCs w:val="0"/>
          <w:color w:val="000000" w:themeColor="text1"/>
          <w:sz w:val="24"/>
          <w:szCs w:val="24"/>
          <w14:textFill>
            <w14:solidFill>
              <w14:schemeClr w14:val="tx1"/>
            </w14:solidFill>
          </w14:textFill>
        </w:rPr>
        <w:t>投标预备会（答疑会）</w:t>
      </w:r>
      <w:bookmarkEnd w:id="98"/>
      <w:bookmarkEnd w:id="99"/>
      <w:bookmarkEnd w:id="100"/>
      <w:bookmarkEnd w:id="101"/>
      <w:bookmarkEnd w:id="102"/>
      <w:bookmarkEnd w:id="103"/>
      <w:bookmarkEnd w:id="104"/>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1.10.1 </w:t>
      </w:r>
      <w:r>
        <w:rPr>
          <w:rFonts w:hint="eastAsia" w:ascii="宋体" w:hAnsi="宋体"/>
          <w:color w:val="000000" w:themeColor="text1"/>
          <w:sz w:val="24"/>
          <w14:textFill>
            <w14:solidFill>
              <w14:schemeClr w14:val="tx1"/>
            </w14:solidFill>
          </w14:textFill>
        </w:rPr>
        <w:t>招标人不集中召开投标预备会，实行网上答疑。投标人若有疑问，需要招标人予以答疑，应以不署名的形式在“云南省公共资源交易信息网</w:t>
      </w:r>
      <w:r>
        <w:rPr>
          <w:rFonts w:ascii="宋体" w:hAnsi="宋体"/>
          <w:color w:val="000000" w:themeColor="text1"/>
          <w:sz w:val="24"/>
          <w14:textFill>
            <w14:solidFill>
              <w14:schemeClr w14:val="tx1"/>
            </w14:solidFill>
          </w14:textFill>
        </w:rPr>
        <w:t>（昆明市）</w:t>
      </w:r>
      <w:r>
        <w:rPr>
          <w:rFonts w:hint="eastAsia" w:ascii="宋体" w:hAnsi="宋体"/>
          <w:color w:val="000000" w:themeColor="text1"/>
          <w:sz w:val="24"/>
          <w14:textFill>
            <w14:solidFill>
              <w14:schemeClr w14:val="tx1"/>
            </w14:solidFill>
          </w14:textFill>
        </w:rPr>
        <w:t>（网址：</w:t>
      </w:r>
      <w:r>
        <w:rPr>
          <w:rFonts w:ascii="宋体" w:hAnsi="宋体"/>
          <w:color w:val="000000" w:themeColor="text1"/>
          <w:sz w:val="24"/>
          <w14:textFill>
            <w14:solidFill>
              <w14:schemeClr w14:val="tx1"/>
            </w14:solidFill>
          </w14:textFill>
        </w:rPr>
        <w:t>https://ggzy.yn.gov.cn/#/homePage）”提出。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1.10.2 </w:t>
      </w:r>
      <w:r>
        <w:rPr>
          <w:rFonts w:hint="eastAsia" w:ascii="宋体" w:hAnsi="宋体"/>
          <w:color w:val="000000" w:themeColor="text1"/>
          <w:sz w:val="24"/>
          <w14:textFill>
            <w14:solidFill>
              <w14:schemeClr w14:val="tx1"/>
            </w14:solidFill>
          </w14:textFill>
        </w:rPr>
        <w:t>投标人提出问题的截止时间和方法：见投标人须知前附表。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1.10.3 </w:t>
      </w:r>
      <w:r>
        <w:rPr>
          <w:rFonts w:hint="eastAsia" w:ascii="宋体" w:hAnsi="宋体"/>
          <w:color w:val="000000" w:themeColor="text1"/>
          <w:sz w:val="24"/>
          <w14:textFill>
            <w14:solidFill>
              <w14:schemeClr w14:val="tx1"/>
            </w14:solidFill>
          </w14:textFill>
        </w:rPr>
        <w:t>招标人澄清的时间和方法：见投标人须知前附表。</w:t>
      </w:r>
    </w:p>
    <w:p>
      <w:pPr>
        <w:pStyle w:val="7"/>
        <w:ind w:firstLine="463" w:firstLineChars="192"/>
        <w:rPr>
          <w:rFonts w:ascii="宋体" w:hAnsi="宋体"/>
          <w:bCs w:val="0"/>
          <w:color w:val="000000" w:themeColor="text1"/>
          <w:sz w:val="24"/>
          <w:szCs w:val="24"/>
          <w14:textFill>
            <w14:solidFill>
              <w14:schemeClr w14:val="tx1"/>
            </w14:solidFill>
          </w14:textFill>
        </w:rPr>
      </w:pPr>
      <w:bookmarkStart w:id="105" w:name="_Toc99567382"/>
      <w:bookmarkStart w:id="106" w:name="_Toc81555864"/>
      <w:bookmarkStart w:id="107" w:name="_Toc81817965"/>
      <w:bookmarkStart w:id="108" w:name="_Toc117339943"/>
      <w:bookmarkStart w:id="109" w:name="_Toc136956296"/>
      <w:bookmarkStart w:id="110" w:name="_Toc99566913"/>
      <w:bookmarkStart w:id="111" w:name="_Toc116261025"/>
      <w:r>
        <w:rPr>
          <w:rFonts w:ascii="宋体" w:hAnsi="宋体"/>
          <w:bCs w:val="0"/>
          <w:color w:val="000000" w:themeColor="text1"/>
          <w:sz w:val="24"/>
          <w:szCs w:val="24"/>
          <w14:textFill>
            <w14:solidFill>
              <w14:schemeClr w14:val="tx1"/>
            </w14:solidFill>
          </w14:textFill>
        </w:rPr>
        <w:t xml:space="preserve">1.11 </w:t>
      </w:r>
      <w:r>
        <w:rPr>
          <w:rFonts w:hint="eastAsia" w:ascii="宋体" w:hAnsi="宋体"/>
          <w:bCs w:val="0"/>
          <w:color w:val="000000" w:themeColor="text1"/>
          <w:sz w:val="24"/>
          <w:szCs w:val="24"/>
          <w14:textFill>
            <w14:solidFill>
              <w14:schemeClr w14:val="tx1"/>
            </w14:solidFill>
          </w14:textFill>
        </w:rPr>
        <w:t>分包要求</w:t>
      </w:r>
      <w:bookmarkEnd w:id="105"/>
      <w:bookmarkEnd w:id="106"/>
      <w:bookmarkEnd w:id="107"/>
      <w:bookmarkEnd w:id="108"/>
      <w:bookmarkEnd w:id="109"/>
      <w:bookmarkEnd w:id="110"/>
      <w:bookmarkEnd w:id="111"/>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本项目涉及的专业分包按国家相关法律法规执行。</w:t>
      </w:r>
      <w:bookmarkStart w:id="112" w:name="_Toc99567383"/>
      <w:bookmarkStart w:id="113" w:name="_Toc81817966"/>
      <w:bookmarkStart w:id="114" w:name="_Toc81555865"/>
      <w:bookmarkStart w:id="115" w:name="_Toc99566914"/>
    </w:p>
    <w:p>
      <w:pPr>
        <w:pStyle w:val="7"/>
        <w:ind w:firstLine="463" w:firstLineChars="192"/>
        <w:rPr>
          <w:rFonts w:ascii="宋体" w:hAnsi="宋体"/>
          <w:bCs w:val="0"/>
          <w:color w:val="000000" w:themeColor="text1"/>
          <w:sz w:val="24"/>
          <w:szCs w:val="24"/>
          <w14:textFill>
            <w14:solidFill>
              <w14:schemeClr w14:val="tx1"/>
            </w14:solidFill>
          </w14:textFill>
        </w:rPr>
      </w:pPr>
      <w:bookmarkStart w:id="116" w:name="_Toc117339944"/>
      <w:bookmarkStart w:id="117" w:name="_Toc116261026"/>
      <w:bookmarkStart w:id="118" w:name="_Toc136956297"/>
      <w:r>
        <w:rPr>
          <w:rFonts w:ascii="宋体" w:hAnsi="宋体"/>
          <w:bCs w:val="0"/>
          <w:color w:val="000000" w:themeColor="text1"/>
          <w:sz w:val="24"/>
          <w:szCs w:val="24"/>
          <w14:textFill>
            <w14:solidFill>
              <w14:schemeClr w14:val="tx1"/>
            </w14:solidFill>
          </w14:textFill>
        </w:rPr>
        <w:t xml:space="preserve">1.12 </w:t>
      </w:r>
      <w:r>
        <w:rPr>
          <w:rFonts w:hint="eastAsia" w:ascii="宋体" w:hAnsi="宋体"/>
          <w:bCs w:val="0"/>
          <w:color w:val="000000" w:themeColor="text1"/>
          <w:sz w:val="24"/>
          <w:szCs w:val="24"/>
          <w14:textFill>
            <w14:solidFill>
              <w14:schemeClr w14:val="tx1"/>
            </w14:solidFill>
          </w14:textFill>
        </w:rPr>
        <w:t>偏离</w:t>
      </w:r>
      <w:bookmarkEnd w:id="112"/>
      <w:bookmarkEnd w:id="113"/>
      <w:bookmarkEnd w:id="114"/>
      <w:bookmarkEnd w:id="115"/>
      <w:bookmarkEnd w:id="116"/>
      <w:bookmarkEnd w:id="117"/>
      <w:bookmarkEnd w:id="118"/>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投标人须知前附表允许投标文件偏离招标文件某些要求的，偏离应当符合招标文件规定的偏离范围和幅度。</w:t>
      </w:r>
    </w:p>
    <w:p>
      <w:pPr>
        <w:pStyle w:val="6"/>
        <w:spacing w:line="480" w:lineRule="auto"/>
        <w:jc w:val="center"/>
        <w:rPr>
          <w:rFonts w:ascii="宋体" w:hAnsi="宋体"/>
          <w:bCs w:val="0"/>
          <w:color w:val="000000" w:themeColor="text1"/>
          <w:sz w:val="30"/>
          <w:szCs w:val="30"/>
          <w14:textFill>
            <w14:solidFill>
              <w14:schemeClr w14:val="tx1"/>
            </w14:solidFill>
          </w14:textFill>
        </w:rPr>
      </w:pPr>
      <w:bookmarkStart w:id="119" w:name="_Toc529797923"/>
      <w:bookmarkStart w:id="120" w:name="_Toc38031561"/>
      <w:bookmarkStart w:id="121" w:name="_Toc38462874"/>
      <w:bookmarkStart w:id="122" w:name="_Toc60323157"/>
      <w:bookmarkStart w:id="123" w:name="_Toc136956298"/>
      <w:bookmarkStart w:id="124" w:name="_Toc347307764"/>
      <w:bookmarkStart w:id="125" w:name="_Toc300848190"/>
      <w:r>
        <w:rPr>
          <w:rFonts w:hint="eastAsia" w:ascii="宋体" w:hAnsi="宋体"/>
          <w:bCs w:val="0"/>
          <w:color w:val="000000" w:themeColor="text1"/>
          <w:sz w:val="30"/>
          <w:szCs w:val="30"/>
          <w14:textFill>
            <w14:solidFill>
              <w14:schemeClr w14:val="tx1"/>
            </w14:solidFill>
          </w14:textFill>
        </w:rPr>
        <w:t>（二）招标文件</w:t>
      </w:r>
      <w:bookmarkEnd w:id="119"/>
      <w:bookmarkEnd w:id="120"/>
      <w:bookmarkEnd w:id="121"/>
      <w:bookmarkEnd w:id="122"/>
      <w:bookmarkEnd w:id="123"/>
      <w:bookmarkEnd w:id="124"/>
      <w:bookmarkEnd w:id="125"/>
    </w:p>
    <w:p>
      <w:pPr>
        <w:pStyle w:val="7"/>
        <w:ind w:firstLine="482" w:firstLineChars="200"/>
        <w:rPr>
          <w:rFonts w:ascii="宋体" w:hAnsi="宋体"/>
          <w:bCs w:val="0"/>
          <w:color w:val="000000" w:themeColor="text1"/>
          <w:sz w:val="24"/>
          <w:szCs w:val="24"/>
          <w14:textFill>
            <w14:solidFill>
              <w14:schemeClr w14:val="tx1"/>
            </w14:solidFill>
          </w14:textFill>
        </w:rPr>
      </w:pPr>
      <w:bookmarkStart w:id="126" w:name="_Toc136956299"/>
      <w:bookmarkStart w:id="127" w:name="_Toc99567385"/>
      <w:bookmarkStart w:id="128" w:name="_Toc81555867"/>
      <w:bookmarkStart w:id="129" w:name="_Toc116261028"/>
      <w:bookmarkStart w:id="130" w:name="_Toc81817968"/>
      <w:bookmarkStart w:id="131" w:name="_Toc99566916"/>
      <w:bookmarkStart w:id="132" w:name="_Toc117339946"/>
      <w:r>
        <w:rPr>
          <w:rFonts w:ascii="宋体" w:hAnsi="宋体"/>
          <w:bCs w:val="0"/>
          <w:color w:val="000000" w:themeColor="text1"/>
          <w:sz w:val="24"/>
          <w:szCs w:val="24"/>
          <w14:textFill>
            <w14:solidFill>
              <w14:schemeClr w14:val="tx1"/>
            </w14:solidFill>
          </w14:textFill>
        </w:rPr>
        <w:t>2.1招标文件的组成</w:t>
      </w:r>
      <w:bookmarkEnd w:id="126"/>
      <w:bookmarkEnd w:id="127"/>
      <w:bookmarkEnd w:id="128"/>
      <w:bookmarkEnd w:id="129"/>
      <w:bookmarkEnd w:id="130"/>
      <w:bookmarkEnd w:id="131"/>
      <w:bookmarkEnd w:id="132"/>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2.1.1招标文件包括下列内容：</w:t>
      </w:r>
    </w:p>
    <w:p>
      <w:pPr>
        <w:spacing w:line="360" w:lineRule="auto"/>
        <w:ind w:firstLine="1260" w:firstLineChars="5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第一章 招标公告</w:t>
      </w:r>
    </w:p>
    <w:p>
      <w:pPr>
        <w:spacing w:line="360" w:lineRule="auto"/>
        <w:ind w:firstLine="1260" w:firstLineChars="5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第二章 投标人须知前附表及投标人须知</w:t>
      </w:r>
    </w:p>
    <w:p>
      <w:pPr>
        <w:spacing w:line="360" w:lineRule="auto"/>
        <w:ind w:firstLine="1260" w:firstLineChars="5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第三章 评标办法</w:t>
      </w:r>
    </w:p>
    <w:p>
      <w:pPr>
        <w:spacing w:line="360" w:lineRule="auto"/>
        <w:ind w:firstLine="1260" w:firstLineChars="5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第四章 合同条款及格式</w:t>
      </w:r>
    </w:p>
    <w:p>
      <w:pPr>
        <w:spacing w:line="360" w:lineRule="auto"/>
        <w:ind w:firstLine="1260" w:firstLineChars="5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第五章 技术标准和要求</w:t>
      </w:r>
    </w:p>
    <w:p>
      <w:pPr>
        <w:spacing w:line="360" w:lineRule="auto"/>
        <w:ind w:firstLine="1260" w:firstLineChars="5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第六章 投标文件格式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根据本章第</w:t>
      </w:r>
      <w:r>
        <w:rPr>
          <w:rFonts w:ascii="宋体" w:hAnsi="宋体"/>
          <w:color w:val="000000" w:themeColor="text1"/>
          <w:sz w:val="24"/>
          <w14:textFill>
            <w14:solidFill>
              <w14:schemeClr w14:val="tx1"/>
            </w14:solidFill>
          </w14:textFill>
        </w:rPr>
        <w:t>2.2款、第2.3款对招标文件所作的澄清、修改、补遗、答疑均为招标文件的组成部分。</w:t>
      </w:r>
    </w:p>
    <w:p>
      <w:pPr>
        <w:pStyle w:val="7"/>
        <w:ind w:firstLine="482" w:firstLineChars="200"/>
        <w:rPr>
          <w:rFonts w:ascii="宋体" w:hAnsi="宋体"/>
          <w:bCs w:val="0"/>
          <w:color w:val="000000" w:themeColor="text1"/>
          <w:sz w:val="24"/>
          <w:szCs w:val="24"/>
          <w14:textFill>
            <w14:solidFill>
              <w14:schemeClr w14:val="tx1"/>
            </w14:solidFill>
          </w14:textFill>
        </w:rPr>
      </w:pPr>
      <w:bookmarkStart w:id="133" w:name="_Toc81817969"/>
      <w:bookmarkStart w:id="134" w:name="_Toc117339947"/>
      <w:bookmarkStart w:id="135" w:name="_Toc99566917"/>
      <w:bookmarkStart w:id="136" w:name="_Toc116261029"/>
      <w:bookmarkStart w:id="137" w:name="_Toc99567386"/>
      <w:bookmarkStart w:id="138" w:name="_Toc81555868"/>
      <w:bookmarkStart w:id="139" w:name="_Toc136956300"/>
      <w:r>
        <w:rPr>
          <w:rFonts w:ascii="宋体" w:hAnsi="宋体"/>
          <w:bCs w:val="0"/>
          <w:color w:val="000000" w:themeColor="text1"/>
          <w:sz w:val="24"/>
          <w:szCs w:val="24"/>
          <w14:textFill>
            <w14:solidFill>
              <w14:schemeClr w14:val="tx1"/>
            </w14:solidFill>
          </w14:textFill>
        </w:rPr>
        <w:t xml:space="preserve">2.2 </w:t>
      </w:r>
      <w:r>
        <w:rPr>
          <w:rFonts w:hint="eastAsia" w:ascii="宋体" w:hAnsi="宋体"/>
          <w:bCs w:val="0"/>
          <w:color w:val="000000" w:themeColor="text1"/>
          <w:sz w:val="24"/>
          <w:szCs w:val="24"/>
          <w14:textFill>
            <w14:solidFill>
              <w14:schemeClr w14:val="tx1"/>
            </w14:solidFill>
          </w14:textFill>
        </w:rPr>
        <w:t>招标文件的澄清</w:t>
      </w:r>
      <w:bookmarkEnd w:id="133"/>
      <w:bookmarkEnd w:id="134"/>
      <w:bookmarkEnd w:id="135"/>
      <w:bookmarkEnd w:id="136"/>
      <w:bookmarkEnd w:id="137"/>
      <w:bookmarkEnd w:id="138"/>
      <w:bookmarkEnd w:id="139"/>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2.2.1在投标人须知前附表规定的时间前。投标人应仔细阅读和检查招标文件的全部内容。如发现缺项或内容不全，应在投标人须知前附表规定的截止时间前凭身份认证密匙登录“云南省公共资源交易信息网（昆明市）</w:t>
      </w:r>
      <w:r>
        <w:rPr>
          <w:rFonts w:hint="eastAsia" w:ascii="宋体" w:hAnsi="宋体"/>
          <w:color w:val="000000" w:themeColor="text1"/>
          <w:sz w:val="24"/>
          <w14:textFill>
            <w14:solidFill>
              <w14:schemeClr w14:val="tx1"/>
            </w14:solidFill>
          </w14:textFill>
        </w:rPr>
        <w:t>（网址：</w:t>
      </w:r>
      <w:r>
        <w:rPr>
          <w:rFonts w:ascii="宋体" w:hAnsi="宋体"/>
          <w:color w:val="000000" w:themeColor="text1"/>
          <w:sz w:val="24"/>
          <w14:textFill>
            <w14:solidFill>
              <w14:schemeClr w14:val="tx1"/>
            </w14:solidFill>
          </w14:textFill>
        </w:rPr>
        <w:t>https://ggzy.yn.gov.cn/#/homePage）”，通过网络在线方式进行匿名提问。</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2.2.2投标截止时间：见投标人须知前附表。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2.2.3招标澄清和补遗全部通过网络送达，请投标人在开标截止日前，务必查询云南省公共资源交易信息网（昆明市）</w:t>
      </w:r>
      <w:r>
        <w:rPr>
          <w:rFonts w:hint="eastAsia" w:ascii="宋体" w:hAnsi="宋体"/>
          <w:color w:val="000000" w:themeColor="text1"/>
          <w:sz w:val="24"/>
          <w14:textFill>
            <w14:solidFill>
              <w14:schemeClr w14:val="tx1"/>
            </w14:solidFill>
          </w14:textFill>
        </w:rPr>
        <w:t>（网址：</w:t>
      </w:r>
      <w:r>
        <w:rPr>
          <w:rFonts w:ascii="宋体" w:hAnsi="宋体"/>
          <w:color w:val="000000" w:themeColor="text1"/>
          <w:sz w:val="24"/>
          <w14:textFill>
            <w14:solidFill>
              <w14:schemeClr w14:val="tx1"/>
            </w14:solidFill>
          </w14:textFill>
        </w:rPr>
        <w:t>https://ggzy.yn.gov.cn/#/homePage），投标人自行登录云南省公共资源交易信息网（昆明市）</w:t>
      </w:r>
      <w:r>
        <w:rPr>
          <w:rFonts w:hint="eastAsia" w:ascii="宋体" w:hAnsi="宋体"/>
          <w:color w:val="000000" w:themeColor="text1"/>
          <w:sz w:val="24"/>
          <w14:textFill>
            <w14:solidFill>
              <w14:schemeClr w14:val="tx1"/>
            </w14:solidFill>
          </w14:textFill>
        </w:rPr>
        <w:t>获取澄清，无须回复确认已收到该澄清，招标人不再另行通知。</w:t>
      </w:r>
    </w:p>
    <w:p>
      <w:pPr>
        <w:pStyle w:val="7"/>
        <w:ind w:firstLine="482" w:firstLineChars="200"/>
        <w:rPr>
          <w:rFonts w:ascii="宋体" w:hAnsi="宋体"/>
          <w:bCs w:val="0"/>
          <w:color w:val="000000" w:themeColor="text1"/>
          <w:sz w:val="24"/>
          <w:szCs w:val="24"/>
          <w14:textFill>
            <w14:solidFill>
              <w14:schemeClr w14:val="tx1"/>
            </w14:solidFill>
          </w14:textFill>
        </w:rPr>
      </w:pPr>
      <w:bookmarkStart w:id="140" w:name="_Toc99567387"/>
      <w:bookmarkStart w:id="141" w:name="_Toc136956301"/>
      <w:bookmarkStart w:id="142" w:name="_Toc116261030"/>
      <w:bookmarkStart w:id="143" w:name="_Toc117339948"/>
      <w:bookmarkStart w:id="144" w:name="_Toc81817970"/>
      <w:bookmarkStart w:id="145" w:name="_Toc99566918"/>
      <w:bookmarkStart w:id="146" w:name="_Toc81555869"/>
      <w:r>
        <w:rPr>
          <w:rFonts w:ascii="宋体" w:hAnsi="宋体"/>
          <w:bCs w:val="0"/>
          <w:color w:val="000000" w:themeColor="text1"/>
          <w:sz w:val="24"/>
          <w:szCs w:val="24"/>
          <w14:textFill>
            <w14:solidFill>
              <w14:schemeClr w14:val="tx1"/>
            </w14:solidFill>
          </w14:textFill>
        </w:rPr>
        <w:t xml:space="preserve">2.3 </w:t>
      </w:r>
      <w:r>
        <w:rPr>
          <w:rFonts w:hint="eastAsia" w:ascii="宋体" w:hAnsi="宋体"/>
          <w:bCs w:val="0"/>
          <w:color w:val="000000" w:themeColor="text1"/>
          <w:sz w:val="24"/>
          <w:szCs w:val="24"/>
          <w14:textFill>
            <w14:solidFill>
              <w14:schemeClr w14:val="tx1"/>
            </w14:solidFill>
          </w14:textFill>
        </w:rPr>
        <w:t>招标文件的修改</w:t>
      </w:r>
      <w:bookmarkEnd w:id="140"/>
      <w:bookmarkEnd w:id="141"/>
      <w:bookmarkEnd w:id="142"/>
      <w:bookmarkEnd w:id="143"/>
      <w:bookmarkEnd w:id="144"/>
      <w:bookmarkEnd w:id="145"/>
      <w:bookmarkEnd w:id="146"/>
    </w:p>
    <w:p>
      <w:pPr>
        <w:spacing w:line="360" w:lineRule="auto"/>
        <w:ind w:firstLine="480" w:firstLineChars="200"/>
        <w:rPr>
          <w:rFonts w:ascii="宋体" w:hAnsi="宋体"/>
          <w:color w:val="000000" w:themeColor="text1"/>
          <w:sz w:val="24"/>
          <w14:textFill>
            <w14:solidFill>
              <w14:schemeClr w14:val="tx1"/>
            </w14:solidFill>
          </w14:textFill>
        </w:rPr>
      </w:pPr>
      <w:bookmarkStart w:id="147" w:name="_Toc347307765"/>
      <w:bookmarkStart w:id="148" w:name="_Toc300848191"/>
      <w:bookmarkStart w:id="149" w:name="_Toc229583203"/>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在投标人须知前附表规定时间前，招标人确需要变更招标文件内容的，招标人可主动或在解答投标人提出的澄清问题时对招标文件进行修改，并同时报主管部门备案。招标人无论对评标办法、评审项目等重要评审内容作何种变更，都要重新制作电子招标文件（</w:t>
      </w:r>
      <w:r>
        <w:rPr>
          <w:rFonts w:ascii="宋体" w:hAnsi="宋体"/>
          <w:color w:val="000000" w:themeColor="text1"/>
          <w:sz w:val="24"/>
          <w14:textFill>
            <w14:solidFill>
              <w14:schemeClr w14:val="tx1"/>
            </w14:solidFill>
          </w14:textFill>
        </w:rPr>
        <w:t>*.BZBJ），并重新备案，同时发布补遗文件进行说明以保证各投标人都能重新下载最新的电子招标文件用于编制电子投标文件。招标文件的修改将在“云南省公共资源交易信息网（昆明市）</w:t>
      </w:r>
      <w:r>
        <w:rPr>
          <w:rFonts w:hint="eastAsia" w:ascii="宋体" w:hAnsi="宋体"/>
          <w:color w:val="000000" w:themeColor="text1"/>
          <w:sz w:val="24"/>
          <w14:textFill>
            <w14:solidFill>
              <w14:schemeClr w14:val="tx1"/>
            </w14:solidFill>
          </w14:textFill>
        </w:rPr>
        <w:t>”发布，招标文件的修改作为招标文件的组成部分，并具有约束力。</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2.3.2投标人自行登录云南省公共资源交易信息网（昆明市）</w:t>
      </w:r>
      <w:r>
        <w:rPr>
          <w:rFonts w:hint="eastAsia" w:ascii="宋体" w:hAnsi="宋体"/>
          <w:color w:val="000000" w:themeColor="text1"/>
          <w:sz w:val="24"/>
          <w14:textFill>
            <w14:solidFill>
              <w14:schemeClr w14:val="tx1"/>
            </w14:solidFill>
          </w14:textFill>
        </w:rPr>
        <w:t>收取修改内容，无须回复确认已收到该修改。投标人应在截标时间前随时查看“云南省公共资源交易信息网</w:t>
      </w:r>
      <w:r>
        <w:rPr>
          <w:rFonts w:ascii="宋体" w:hAnsi="宋体"/>
          <w:color w:val="000000" w:themeColor="text1"/>
          <w:sz w:val="24"/>
          <w14:textFill>
            <w14:solidFill>
              <w14:schemeClr w14:val="tx1"/>
            </w14:solidFill>
          </w14:textFill>
        </w:rPr>
        <w:t>（昆明市）</w:t>
      </w:r>
      <w:r>
        <w:rPr>
          <w:rFonts w:hint="eastAsia" w:ascii="宋体" w:hAnsi="宋体"/>
          <w:color w:val="000000" w:themeColor="text1"/>
          <w:sz w:val="24"/>
          <w14:textFill>
            <w14:solidFill>
              <w14:schemeClr w14:val="tx1"/>
            </w14:solidFill>
          </w14:textFill>
        </w:rPr>
        <w:t>”中有关该工程招标文件的答疑、补遗内容。否则，由此引起的投标损失自负。</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2.3.3招标文件、招标文件澄清、招标文件修改文件内容均以网上发布的为准，当招标文件、招标文件澄清、招标文件修改文件内容相互矛盾时，以最后发出的为准。</w:t>
      </w:r>
    </w:p>
    <w:p>
      <w:pPr>
        <w:pStyle w:val="6"/>
        <w:spacing w:line="480" w:lineRule="auto"/>
        <w:jc w:val="center"/>
        <w:rPr>
          <w:rFonts w:ascii="宋体" w:hAnsi="宋体"/>
          <w:bCs w:val="0"/>
          <w:color w:val="000000" w:themeColor="text1"/>
          <w:sz w:val="30"/>
          <w:szCs w:val="30"/>
          <w14:textFill>
            <w14:solidFill>
              <w14:schemeClr w14:val="tx1"/>
            </w14:solidFill>
          </w14:textFill>
        </w:rPr>
      </w:pPr>
      <w:bookmarkStart w:id="150" w:name="_Toc38462875"/>
      <w:bookmarkStart w:id="151" w:name="_Toc38031562"/>
      <w:bookmarkStart w:id="152" w:name="_Toc529797924"/>
      <w:bookmarkStart w:id="153" w:name="_Toc136956302"/>
      <w:bookmarkStart w:id="154" w:name="_Toc60323158"/>
      <w:r>
        <w:rPr>
          <w:rFonts w:hint="eastAsia" w:ascii="宋体" w:hAnsi="宋体"/>
          <w:bCs w:val="0"/>
          <w:color w:val="000000" w:themeColor="text1"/>
          <w:sz w:val="30"/>
          <w:szCs w:val="30"/>
          <w14:textFill>
            <w14:solidFill>
              <w14:schemeClr w14:val="tx1"/>
            </w14:solidFill>
          </w14:textFill>
        </w:rPr>
        <w:t>（三）投标文件</w:t>
      </w:r>
      <w:bookmarkEnd w:id="147"/>
      <w:bookmarkEnd w:id="148"/>
      <w:bookmarkEnd w:id="149"/>
      <w:r>
        <w:rPr>
          <w:rFonts w:hint="eastAsia" w:ascii="宋体" w:hAnsi="宋体"/>
          <w:bCs w:val="0"/>
          <w:color w:val="000000" w:themeColor="text1"/>
          <w:sz w:val="30"/>
          <w:szCs w:val="30"/>
          <w14:textFill>
            <w14:solidFill>
              <w14:schemeClr w14:val="tx1"/>
            </w14:solidFill>
          </w14:textFill>
        </w:rPr>
        <w:t>的编制</w:t>
      </w:r>
      <w:bookmarkEnd w:id="150"/>
      <w:bookmarkEnd w:id="151"/>
      <w:bookmarkEnd w:id="152"/>
      <w:bookmarkEnd w:id="153"/>
      <w:bookmarkEnd w:id="154"/>
    </w:p>
    <w:p>
      <w:pPr>
        <w:pStyle w:val="7"/>
        <w:ind w:firstLine="482" w:firstLineChars="200"/>
        <w:rPr>
          <w:rFonts w:ascii="宋体" w:hAnsi="宋体"/>
          <w:bCs w:val="0"/>
          <w:color w:val="000000" w:themeColor="text1"/>
          <w:sz w:val="24"/>
          <w:szCs w:val="24"/>
          <w14:textFill>
            <w14:solidFill>
              <w14:schemeClr w14:val="tx1"/>
            </w14:solidFill>
          </w14:textFill>
        </w:rPr>
      </w:pPr>
      <w:bookmarkStart w:id="155" w:name="_Toc99566920"/>
      <w:bookmarkStart w:id="156" w:name="_Toc136956303"/>
      <w:bookmarkStart w:id="157" w:name="_Toc81555871"/>
      <w:bookmarkStart w:id="158" w:name="_Toc99567389"/>
      <w:bookmarkStart w:id="159" w:name="_Toc116261032"/>
      <w:bookmarkStart w:id="160" w:name="_Toc117339950"/>
      <w:bookmarkStart w:id="161" w:name="_Toc81817972"/>
      <w:r>
        <w:rPr>
          <w:rFonts w:ascii="宋体" w:hAnsi="宋体"/>
          <w:bCs w:val="0"/>
          <w:color w:val="000000" w:themeColor="text1"/>
          <w:sz w:val="24"/>
          <w:szCs w:val="24"/>
          <w14:textFill>
            <w14:solidFill>
              <w14:schemeClr w14:val="tx1"/>
            </w14:solidFill>
          </w14:textFill>
        </w:rPr>
        <w:t xml:space="preserve">3.1 </w:t>
      </w:r>
      <w:r>
        <w:rPr>
          <w:rFonts w:hint="eastAsia" w:ascii="宋体" w:hAnsi="宋体"/>
          <w:bCs w:val="0"/>
          <w:color w:val="000000" w:themeColor="text1"/>
          <w:sz w:val="24"/>
          <w:szCs w:val="24"/>
          <w14:textFill>
            <w14:solidFill>
              <w14:schemeClr w14:val="tx1"/>
            </w14:solidFill>
          </w14:textFill>
        </w:rPr>
        <w:t>投标文件的组成</w:t>
      </w:r>
      <w:bookmarkEnd w:id="155"/>
      <w:bookmarkEnd w:id="156"/>
      <w:bookmarkEnd w:id="157"/>
      <w:bookmarkEnd w:id="158"/>
      <w:bookmarkEnd w:id="159"/>
      <w:bookmarkEnd w:id="160"/>
      <w:bookmarkEnd w:id="161"/>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3.1.1投标文件由资格审查部分、技术部分、商务部分三部分组成。</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3.1.2在编制技术标投标文件时，粘贴图片使用JPG格式的文件，并且每张图片的分辩率应小于100dpi，最终的每份标书文件所占用的磁盘空间小于100M。</w:t>
      </w:r>
    </w:p>
    <w:p>
      <w:pPr>
        <w:pStyle w:val="7"/>
        <w:ind w:firstLine="482" w:firstLineChars="200"/>
        <w:rPr>
          <w:rFonts w:ascii="宋体" w:hAnsi="宋体"/>
          <w:bCs w:val="0"/>
          <w:color w:val="000000" w:themeColor="text1"/>
          <w:sz w:val="24"/>
          <w:szCs w:val="24"/>
          <w14:textFill>
            <w14:solidFill>
              <w14:schemeClr w14:val="tx1"/>
            </w14:solidFill>
          </w14:textFill>
        </w:rPr>
      </w:pPr>
      <w:bookmarkStart w:id="162" w:name="_Toc99567390"/>
      <w:bookmarkStart w:id="163" w:name="_Toc117339951"/>
      <w:bookmarkStart w:id="164" w:name="_Toc116261033"/>
      <w:bookmarkStart w:id="165" w:name="_Toc81817973"/>
      <w:bookmarkStart w:id="166" w:name="_Toc81555872"/>
      <w:bookmarkStart w:id="167" w:name="_Toc136956304"/>
      <w:bookmarkStart w:id="168" w:name="_Toc99566921"/>
      <w:r>
        <w:rPr>
          <w:rFonts w:ascii="宋体" w:hAnsi="宋体"/>
          <w:bCs w:val="0"/>
          <w:color w:val="000000" w:themeColor="text1"/>
          <w:sz w:val="24"/>
          <w:szCs w:val="24"/>
          <w14:textFill>
            <w14:solidFill>
              <w14:schemeClr w14:val="tx1"/>
            </w14:solidFill>
          </w14:textFill>
        </w:rPr>
        <w:t xml:space="preserve">3.2 </w:t>
      </w:r>
      <w:r>
        <w:rPr>
          <w:rFonts w:hint="eastAsia" w:ascii="宋体" w:hAnsi="宋体"/>
          <w:bCs w:val="0"/>
          <w:color w:val="000000" w:themeColor="text1"/>
          <w:sz w:val="24"/>
          <w:szCs w:val="24"/>
          <w14:textFill>
            <w14:solidFill>
              <w14:schemeClr w14:val="tx1"/>
            </w14:solidFill>
          </w14:textFill>
        </w:rPr>
        <w:t>投标报价</w:t>
      </w:r>
      <w:bookmarkEnd w:id="162"/>
      <w:bookmarkEnd w:id="163"/>
      <w:bookmarkEnd w:id="164"/>
      <w:bookmarkEnd w:id="165"/>
      <w:bookmarkEnd w:id="166"/>
      <w:bookmarkEnd w:id="167"/>
      <w:bookmarkEnd w:id="168"/>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3.2.1投标报价采用的币种为人民币。</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3.2.2招标控制价（拦标价）及报价方式：见投标人须知前附表。</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3.2.3本项目报价应包括为完成本项目招标范围及合同中约定的所有工作内容可能发生的一切费用。</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1）投标报价还应包括完成本项目所需的人工费、材料费、机械费、管理费和利润等，应充分考虑包括在合同条款中约定的风险范围内的各种因素。且投标人需根据本招标文件的技术文件、现行施工规范和标准，以及投标人对现场实际情况的踏勘和市场竞争因素，并结合企业实力自行确定。</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w:t>
      </w:r>
      <w:r>
        <w:rPr>
          <w:rFonts w:ascii="宋体" w:hAnsi="宋体"/>
          <w:snapToGrid w:val="0"/>
          <w:color w:val="000000" w:themeColor="text1"/>
          <w:kern w:val="0"/>
          <w:sz w:val="24"/>
          <w14:textFill>
            <w14:solidFill>
              <w14:schemeClr w14:val="tx1"/>
            </w14:solidFill>
          </w14:textFill>
        </w:rPr>
        <w:t xml:space="preserve">2）投标人所报的下浮率为投标人按期完成本招标文件和合同条款上所列招标范围内所有工程内容的一个统一的优惠比例，该下浮率在整个合同签订及合同履行中固定不变，中标人不得以任何理由更改该中标的下浮率。 </w:t>
      </w:r>
    </w:p>
    <w:p>
      <w:pPr>
        <w:spacing w:line="360" w:lineRule="auto"/>
        <w:ind w:firstLine="480" w:firstLineChars="200"/>
        <w:rPr>
          <w:rFonts w:ascii="宋体" w:hAnsi="宋体"/>
          <w:snapToGrid w:val="0"/>
          <w:color w:val="000000" w:themeColor="text1"/>
          <w:kern w:val="0"/>
          <w:sz w:val="24"/>
          <w:u w:val="single"/>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3.2.4投标人可先到工地踏勘以充分了解工地位置、情况、道路及任何其他足以影响报价的情况，任何因忽视或误解而导致的索赔或工作周期延长申请将不被批准。</w:t>
      </w:r>
    </w:p>
    <w:p>
      <w:pPr>
        <w:pStyle w:val="7"/>
        <w:ind w:firstLine="482" w:firstLineChars="200"/>
        <w:rPr>
          <w:rFonts w:ascii="宋体" w:hAnsi="宋体"/>
          <w:bCs w:val="0"/>
          <w:color w:val="000000" w:themeColor="text1"/>
          <w:sz w:val="24"/>
          <w:szCs w:val="24"/>
          <w14:textFill>
            <w14:solidFill>
              <w14:schemeClr w14:val="tx1"/>
            </w14:solidFill>
          </w14:textFill>
        </w:rPr>
      </w:pPr>
      <w:bookmarkStart w:id="169" w:name="_Toc99566922"/>
      <w:bookmarkStart w:id="170" w:name="_Toc117339952"/>
      <w:bookmarkStart w:id="171" w:name="_Toc116261034"/>
      <w:bookmarkStart w:id="172" w:name="_Toc81555873"/>
      <w:bookmarkStart w:id="173" w:name="_Toc81817974"/>
      <w:bookmarkStart w:id="174" w:name="_Toc99567391"/>
      <w:bookmarkStart w:id="175" w:name="_Toc136956305"/>
      <w:r>
        <w:rPr>
          <w:rFonts w:ascii="宋体" w:hAnsi="宋体"/>
          <w:bCs w:val="0"/>
          <w:color w:val="000000" w:themeColor="text1"/>
          <w:sz w:val="24"/>
          <w:szCs w:val="24"/>
          <w14:textFill>
            <w14:solidFill>
              <w14:schemeClr w14:val="tx1"/>
            </w14:solidFill>
          </w14:textFill>
        </w:rPr>
        <w:t xml:space="preserve">3.3 </w:t>
      </w:r>
      <w:r>
        <w:rPr>
          <w:rFonts w:hint="eastAsia" w:ascii="宋体" w:hAnsi="宋体"/>
          <w:bCs w:val="0"/>
          <w:color w:val="000000" w:themeColor="text1"/>
          <w:sz w:val="24"/>
          <w:szCs w:val="24"/>
          <w14:textFill>
            <w14:solidFill>
              <w14:schemeClr w14:val="tx1"/>
            </w14:solidFill>
          </w14:textFill>
        </w:rPr>
        <w:t>投标有效期</w:t>
      </w:r>
      <w:bookmarkEnd w:id="169"/>
      <w:bookmarkEnd w:id="170"/>
      <w:bookmarkEnd w:id="171"/>
      <w:bookmarkEnd w:id="172"/>
      <w:bookmarkEnd w:id="173"/>
      <w:bookmarkEnd w:id="174"/>
      <w:bookmarkEnd w:id="175"/>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3.3.1 </w:t>
      </w:r>
      <w:r>
        <w:rPr>
          <w:rFonts w:hint="eastAsia" w:ascii="宋体" w:hAnsi="宋体"/>
          <w:color w:val="000000" w:themeColor="text1"/>
          <w:sz w:val="24"/>
          <w14:textFill>
            <w14:solidFill>
              <w14:schemeClr w14:val="tx1"/>
            </w14:solidFill>
          </w14:textFill>
        </w:rPr>
        <w:t>在投标人须知前附表规定的投标有效期内，投标人不得要求撤销或修改其投标文件。</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3.3.2 </w:t>
      </w:r>
      <w:r>
        <w:rPr>
          <w:rFonts w:hint="eastAsia" w:ascii="宋体" w:hAnsi="宋体"/>
          <w:color w:val="000000" w:themeColor="text1"/>
          <w:sz w:val="24"/>
          <w14:textFill>
            <w14:solidFill>
              <w14:schemeClr w14:val="tx1"/>
            </w14:solidFill>
          </w14:textFill>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7"/>
        <w:ind w:firstLine="482" w:firstLineChars="200"/>
        <w:rPr>
          <w:rFonts w:ascii="宋体" w:hAnsi="宋体"/>
          <w:bCs w:val="0"/>
          <w:color w:val="000000" w:themeColor="text1"/>
          <w:sz w:val="24"/>
          <w:szCs w:val="24"/>
          <w14:textFill>
            <w14:solidFill>
              <w14:schemeClr w14:val="tx1"/>
            </w14:solidFill>
          </w14:textFill>
        </w:rPr>
      </w:pPr>
      <w:bookmarkStart w:id="176" w:name="_Toc136956306"/>
      <w:bookmarkStart w:id="177" w:name="_Toc81817975"/>
      <w:bookmarkStart w:id="178" w:name="_Toc99566923"/>
      <w:bookmarkStart w:id="179" w:name="_Toc117339953"/>
      <w:bookmarkStart w:id="180" w:name="_Toc99567392"/>
      <w:bookmarkStart w:id="181" w:name="_Toc116261035"/>
      <w:bookmarkStart w:id="182" w:name="_Toc81555874"/>
      <w:r>
        <w:rPr>
          <w:rFonts w:ascii="宋体" w:hAnsi="宋体"/>
          <w:bCs w:val="0"/>
          <w:color w:val="000000" w:themeColor="text1"/>
          <w:sz w:val="24"/>
          <w:szCs w:val="24"/>
          <w14:textFill>
            <w14:solidFill>
              <w14:schemeClr w14:val="tx1"/>
            </w14:solidFill>
          </w14:textFill>
        </w:rPr>
        <w:t xml:space="preserve">3.4 </w:t>
      </w:r>
      <w:r>
        <w:rPr>
          <w:rFonts w:hint="eastAsia" w:ascii="宋体" w:hAnsi="宋体"/>
          <w:bCs w:val="0"/>
          <w:color w:val="000000" w:themeColor="text1"/>
          <w:sz w:val="24"/>
          <w:szCs w:val="24"/>
          <w14:textFill>
            <w14:solidFill>
              <w14:schemeClr w14:val="tx1"/>
            </w14:solidFill>
          </w14:textFill>
        </w:rPr>
        <w:t>投标保证金</w:t>
      </w:r>
      <w:bookmarkEnd w:id="176"/>
      <w:bookmarkEnd w:id="177"/>
      <w:bookmarkEnd w:id="178"/>
      <w:bookmarkEnd w:id="179"/>
      <w:bookmarkEnd w:id="180"/>
      <w:bookmarkEnd w:id="181"/>
      <w:bookmarkEnd w:id="182"/>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3.4.1投标人在递交投标文件的同时，应按投标人须知前附表的规定递交投标保证金。</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3.4.2 </w:t>
      </w:r>
      <w:r>
        <w:rPr>
          <w:rFonts w:hint="eastAsia" w:ascii="宋体" w:hAnsi="宋体"/>
          <w:color w:val="000000" w:themeColor="text1"/>
          <w:sz w:val="24"/>
          <w14:textFill>
            <w14:solidFill>
              <w14:schemeClr w14:val="tx1"/>
            </w14:solidFill>
          </w14:textFill>
        </w:rPr>
        <w:t>投标人不按本章第</w:t>
      </w:r>
      <w:r>
        <w:rPr>
          <w:rFonts w:ascii="宋体" w:hAnsi="宋体"/>
          <w:color w:val="000000" w:themeColor="text1"/>
          <w:sz w:val="24"/>
          <w14:textFill>
            <w14:solidFill>
              <w14:schemeClr w14:val="tx1"/>
            </w14:solidFill>
          </w14:textFill>
        </w:rPr>
        <w:t>3.4.1项要求提交投标保证金的，其投标文件按否决投标处理。</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3.4.3投标保证金退还到投标人的基本账户。</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3.4.4投标保证金不予退还的情形：见投标人须知前附表。</w:t>
      </w:r>
    </w:p>
    <w:p>
      <w:pPr>
        <w:pStyle w:val="7"/>
        <w:ind w:firstLine="482" w:firstLineChars="200"/>
        <w:rPr>
          <w:rFonts w:ascii="宋体" w:hAnsi="宋体"/>
          <w:bCs w:val="0"/>
          <w:color w:val="000000" w:themeColor="text1"/>
          <w:sz w:val="24"/>
          <w:szCs w:val="24"/>
          <w14:textFill>
            <w14:solidFill>
              <w14:schemeClr w14:val="tx1"/>
            </w14:solidFill>
          </w14:textFill>
        </w:rPr>
      </w:pPr>
      <w:bookmarkStart w:id="183" w:name="_Toc81555875"/>
      <w:bookmarkStart w:id="184" w:name="_Toc136956307"/>
      <w:bookmarkStart w:id="185" w:name="_Toc116261036"/>
      <w:bookmarkStart w:id="186" w:name="_Toc117339954"/>
      <w:bookmarkStart w:id="187" w:name="_Toc99566924"/>
      <w:bookmarkStart w:id="188" w:name="_Toc99567393"/>
      <w:bookmarkStart w:id="189" w:name="_Toc81817976"/>
      <w:r>
        <w:rPr>
          <w:rFonts w:ascii="宋体" w:hAnsi="宋体"/>
          <w:bCs w:val="0"/>
          <w:color w:val="000000" w:themeColor="text1"/>
          <w:sz w:val="24"/>
          <w:szCs w:val="24"/>
          <w14:textFill>
            <w14:solidFill>
              <w14:schemeClr w14:val="tx1"/>
            </w14:solidFill>
          </w14:textFill>
        </w:rPr>
        <w:t>3.5备选投标方案</w:t>
      </w:r>
      <w:bookmarkEnd w:id="183"/>
      <w:bookmarkEnd w:id="184"/>
      <w:bookmarkEnd w:id="185"/>
      <w:bookmarkEnd w:id="186"/>
      <w:bookmarkEnd w:id="187"/>
      <w:bookmarkEnd w:id="188"/>
      <w:bookmarkEnd w:id="189"/>
    </w:p>
    <w:p>
      <w:pPr>
        <w:spacing w:line="360" w:lineRule="auto"/>
        <w:ind w:firstLine="540" w:firstLineChars="225"/>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3.5.1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
        <w:ind w:firstLine="472" w:firstLineChars="196"/>
        <w:rPr>
          <w:rFonts w:ascii="宋体" w:hAnsi="宋体"/>
          <w:bCs w:val="0"/>
          <w:color w:val="000000" w:themeColor="text1"/>
          <w:sz w:val="24"/>
          <w:szCs w:val="24"/>
          <w14:textFill>
            <w14:solidFill>
              <w14:schemeClr w14:val="tx1"/>
            </w14:solidFill>
          </w14:textFill>
        </w:rPr>
      </w:pPr>
      <w:bookmarkStart w:id="190" w:name="_Toc136956308"/>
      <w:bookmarkStart w:id="191" w:name="_Toc81555876"/>
      <w:bookmarkStart w:id="192" w:name="_Toc99566925"/>
      <w:bookmarkStart w:id="193" w:name="_Toc116261037"/>
      <w:bookmarkStart w:id="194" w:name="_Toc99567394"/>
      <w:bookmarkStart w:id="195" w:name="_Toc81817977"/>
      <w:bookmarkStart w:id="196" w:name="_Toc117339955"/>
      <w:r>
        <w:rPr>
          <w:rFonts w:ascii="宋体" w:hAnsi="宋体"/>
          <w:bCs w:val="0"/>
          <w:color w:val="000000" w:themeColor="text1"/>
          <w:sz w:val="24"/>
          <w:szCs w:val="24"/>
          <w14:textFill>
            <w14:solidFill>
              <w14:schemeClr w14:val="tx1"/>
            </w14:solidFill>
          </w14:textFill>
        </w:rPr>
        <w:t>3.6投标文件的编制</w:t>
      </w:r>
      <w:bookmarkEnd w:id="190"/>
      <w:bookmarkEnd w:id="191"/>
      <w:bookmarkEnd w:id="192"/>
      <w:bookmarkEnd w:id="193"/>
      <w:bookmarkEnd w:id="194"/>
      <w:bookmarkEnd w:id="195"/>
      <w:bookmarkEnd w:id="196"/>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3.6.1 </w:t>
      </w:r>
      <w:r>
        <w:rPr>
          <w:rFonts w:hint="eastAsia" w:ascii="宋体" w:hAnsi="宋体"/>
          <w:color w:val="000000" w:themeColor="text1"/>
          <w:sz w:val="24"/>
          <w14:textFill>
            <w14:solidFill>
              <w14:schemeClr w14:val="tx1"/>
            </w14:solidFill>
          </w14:textFill>
        </w:rPr>
        <w:t>投标</w:t>
      </w:r>
      <w:r>
        <w:rPr>
          <w:rFonts w:ascii="宋体" w:hAnsi="宋体"/>
          <w:color w:val="000000" w:themeColor="text1"/>
          <w:sz w:val="24"/>
          <w14:textFill>
            <w14:solidFill>
              <w14:schemeClr w14:val="tx1"/>
            </w14:solidFill>
          </w14:textFill>
        </w:rPr>
        <w:t>文件格式：</w:t>
      </w:r>
      <w:r>
        <w:rPr>
          <w:rFonts w:hint="eastAsia" w:ascii="宋体" w:hAnsi="宋体"/>
          <w:color w:val="000000" w:themeColor="text1"/>
          <w:sz w:val="24"/>
          <w14:textFill>
            <w14:solidFill>
              <w14:schemeClr w14:val="tx1"/>
            </w14:solidFill>
          </w14:textFill>
        </w:rPr>
        <w:t>见投标人须知前附表。</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3.6.2 </w:t>
      </w:r>
      <w:r>
        <w:rPr>
          <w:rFonts w:hint="eastAsia" w:ascii="宋体" w:hAnsi="宋体"/>
          <w:color w:val="000000" w:themeColor="text1"/>
          <w:sz w:val="24"/>
          <w14:textFill>
            <w14:solidFill>
              <w14:schemeClr w14:val="tx1"/>
            </w14:solidFill>
          </w14:textFill>
        </w:rPr>
        <w:t>投标文件应当对招标文件有关工期、投标有效期、质量要求、技术标准和要求、招标范围等实质性内容作出响应。</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3.6.3投标文件的签署：见投标人须知前附表。</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3.6.4投标文件递交及有关内容：见投标人须知前附表。</w:t>
      </w:r>
    </w:p>
    <w:p>
      <w:pPr>
        <w:pStyle w:val="6"/>
        <w:spacing w:line="480" w:lineRule="auto"/>
        <w:jc w:val="center"/>
        <w:rPr>
          <w:rFonts w:ascii="宋体" w:hAnsi="宋体"/>
          <w:bCs w:val="0"/>
          <w:color w:val="000000" w:themeColor="text1"/>
          <w:sz w:val="30"/>
          <w:szCs w:val="30"/>
          <w14:textFill>
            <w14:solidFill>
              <w14:schemeClr w14:val="tx1"/>
            </w14:solidFill>
          </w14:textFill>
        </w:rPr>
      </w:pPr>
      <w:bookmarkStart w:id="197" w:name="_Toc229583204"/>
      <w:bookmarkStart w:id="198" w:name="_Toc38462876"/>
      <w:bookmarkStart w:id="199" w:name="_Toc347307766"/>
      <w:bookmarkStart w:id="200" w:name="_Toc300848192"/>
      <w:bookmarkStart w:id="201" w:name="_Toc136956309"/>
      <w:bookmarkStart w:id="202" w:name="_Toc529797925"/>
      <w:bookmarkStart w:id="203" w:name="_Toc60323159"/>
      <w:bookmarkStart w:id="204" w:name="_Toc38031563"/>
      <w:r>
        <w:rPr>
          <w:rFonts w:hint="eastAsia" w:ascii="宋体" w:hAnsi="宋体"/>
          <w:bCs w:val="0"/>
          <w:color w:val="000000" w:themeColor="text1"/>
          <w:sz w:val="30"/>
          <w:szCs w:val="30"/>
          <w14:textFill>
            <w14:solidFill>
              <w14:schemeClr w14:val="tx1"/>
            </w14:solidFill>
          </w14:textFill>
        </w:rPr>
        <w:t>（四）投标</w:t>
      </w:r>
      <w:bookmarkEnd w:id="197"/>
      <w:bookmarkEnd w:id="198"/>
      <w:bookmarkEnd w:id="199"/>
      <w:bookmarkEnd w:id="200"/>
      <w:bookmarkEnd w:id="201"/>
      <w:bookmarkEnd w:id="202"/>
      <w:bookmarkEnd w:id="203"/>
      <w:bookmarkEnd w:id="204"/>
    </w:p>
    <w:p>
      <w:pPr>
        <w:pStyle w:val="7"/>
        <w:ind w:firstLine="463" w:firstLineChars="192"/>
        <w:rPr>
          <w:rFonts w:ascii="宋体" w:hAnsi="宋体"/>
          <w:bCs w:val="0"/>
          <w:color w:val="000000" w:themeColor="text1"/>
          <w:sz w:val="24"/>
          <w:szCs w:val="24"/>
          <w14:textFill>
            <w14:solidFill>
              <w14:schemeClr w14:val="tx1"/>
            </w14:solidFill>
          </w14:textFill>
        </w:rPr>
      </w:pPr>
      <w:bookmarkStart w:id="205" w:name="_Toc81555878"/>
      <w:bookmarkStart w:id="206" w:name="_Toc136956310"/>
      <w:bookmarkStart w:id="207" w:name="_Toc99566927"/>
      <w:bookmarkStart w:id="208" w:name="_Toc99567396"/>
      <w:bookmarkStart w:id="209" w:name="_Toc116261039"/>
      <w:bookmarkStart w:id="210" w:name="_Toc81817979"/>
      <w:bookmarkStart w:id="211" w:name="_Toc117339957"/>
      <w:r>
        <w:rPr>
          <w:rFonts w:ascii="宋体" w:hAnsi="宋体"/>
          <w:bCs w:val="0"/>
          <w:color w:val="000000" w:themeColor="text1"/>
          <w:sz w:val="24"/>
          <w:szCs w:val="24"/>
          <w14:textFill>
            <w14:solidFill>
              <w14:schemeClr w14:val="tx1"/>
            </w14:solidFill>
          </w14:textFill>
        </w:rPr>
        <w:t>4.1投标文件的密封和标识</w:t>
      </w:r>
      <w:bookmarkEnd w:id="205"/>
      <w:bookmarkEnd w:id="206"/>
      <w:bookmarkEnd w:id="207"/>
      <w:bookmarkEnd w:id="208"/>
      <w:bookmarkEnd w:id="209"/>
      <w:bookmarkEnd w:id="210"/>
      <w:bookmarkEnd w:id="211"/>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4.1.1投标文件的加密：见投标人须知前附表。</w:t>
      </w:r>
    </w:p>
    <w:p>
      <w:pPr>
        <w:pStyle w:val="7"/>
        <w:ind w:firstLine="463" w:firstLineChars="192"/>
        <w:rPr>
          <w:rFonts w:ascii="宋体" w:hAnsi="宋体"/>
          <w:bCs w:val="0"/>
          <w:color w:val="000000" w:themeColor="text1"/>
          <w:sz w:val="24"/>
          <w:szCs w:val="24"/>
          <w14:textFill>
            <w14:solidFill>
              <w14:schemeClr w14:val="tx1"/>
            </w14:solidFill>
          </w14:textFill>
        </w:rPr>
      </w:pPr>
      <w:bookmarkStart w:id="212" w:name="_Toc116261040"/>
      <w:bookmarkStart w:id="213" w:name="_Toc117339958"/>
      <w:bookmarkStart w:id="214" w:name="_Toc81817980"/>
      <w:bookmarkStart w:id="215" w:name="_Toc99567397"/>
      <w:bookmarkStart w:id="216" w:name="_Toc136956311"/>
      <w:bookmarkStart w:id="217" w:name="_Toc99566928"/>
      <w:bookmarkStart w:id="218" w:name="_Toc81555879"/>
      <w:r>
        <w:rPr>
          <w:rFonts w:ascii="宋体" w:hAnsi="宋体"/>
          <w:bCs w:val="0"/>
          <w:color w:val="000000" w:themeColor="text1"/>
          <w:sz w:val="24"/>
          <w:szCs w:val="24"/>
          <w14:textFill>
            <w14:solidFill>
              <w14:schemeClr w14:val="tx1"/>
            </w14:solidFill>
          </w14:textFill>
        </w:rPr>
        <w:t>4.2投标文件的递交</w:t>
      </w:r>
      <w:bookmarkEnd w:id="212"/>
      <w:bookmarkEnd w:id="213"/>
      <w:bookmarkEnd w:id="214"/>
      <w:bookmarkEnd w:id="215"/>
      <w:bookmarkEnd w:id="216"/>
      <w:bookmarkEnd w:id="217"/>
      <w:bookmarkEnd w:id="218"/>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4.2.1 </w:t>
      </w:r>
      <w:r>
        <w:rPr>
          <w:rFonts w:hint="eastAsia" w:ascii="宋体" w:hAnsi="宋体"/>
          <w:color w:val="000000" w:themeColor="text1"/>
          <w:sz w:val="24"/>
          <w14:textFill>
            <w14:solidFill>
              <w14:schemeClr w14:val="tx1"/>
            </w14:solidFill>
          </w14:textFill>
        </w:rPr>
        <w:t>投标人应在本章第</w:t>
      </w:r>
      <w:r>
        <w:rPr>
          <w:rFonts w:ascii="宋体" w:hAnsi="宋体"/>
          <w:color w:val="000000" w:themeColor="text1"/>
          <w:sz w:val="24"/>
          <w14:textFill>
            <w14:solidFill>
              <w14:schemeClr w14:val="tx1"/>
            </w14:solidFill>
          </w14:textFill>
        </w:rPr>
        <w:t xml:space="preserve">2.2.2 </w:t>
      </w:r>
      <w:r>
        <w:rPr>
          <w:rFonts w:hint="eastAsia" w:ascii="宋体" w:hAnsi="宋体"/>
          <w:color w:val="000000" w:themeColor="text1"/>
          <w:sz w:val="24"/>
          <w14:textFill>
            <w14:solidFill>
              <w14:schemeClr w14:val="tx1"/>
            </w14:solidFill>
          </w14:textFill>
        </w:rPr>
        <w:t>项规定的投标截止时间前递交投标文件。</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4.2.2 </w:t>
      </w:r>
      <w:r>
        <w:rPr>
          <w:rFonts w:hint="eastAsia" w:ascii="宋体" w:hAnsi="宋体"/>
          <w:color w:val="000000" w:themeColor="text1"/>
          <w:sz w:val="24"/>
          <w14:textFill>
            <w14:solidFill>
              <w14:schemeClr w14:val="tx1"/>
            </w14:solidFill>
          </w14:textFill>
        </w:rPr>
        <w:t>网上上传：投标人登录“云南省公共资源交易信息网</w:t>
      </w:r>
      <w:r>
        <w:rPr>
          <w:rFonts w:ascii="宋体" w:hAnsi="宋体"/>
          <w:color w:val="000000" w:themeColor="text1"/>
          <w:sz w:val="24"/>
          <w14:textFill>
            <w14:solidFill>
              <w14:schemeClr w14:val="tx1"/>
            </w14:solidFill>
          </w14:textFill>
        </w:rPr>
        <w:t>（昆明市）</w:t>
      </w:r>
      <w:r>
        <w:rPr>
          <w:rFonts w:hint="eastAsia" w:ascii="宋体" w:hAnsi="宋体"/>
          <w:color w:val="000000" w:themeColor="text1"/>
          <w:sz w:val="24"/>
          <w14:textFill>
            <w14:solidFill>
              <w14:schemeClr w14:val="tx1"/>
            </w14:solidFill>
          </w14:textFill>
        </w:rPr>
        <w:t>”，根据拟要投标的项目，上传投标文件，电子文件必须使用《云南省工程建设模块化投标文件编制系统》制作（格式为</w:t>
      </w:r>
      <w:r>
        <w:rPr>
          <w:rFonts w:ascii="宋体" w:hAnsi="宋体"/>
          <w:color w:val="000000" w:themeColor="text1"/>
          <w:sz w:val="24"/>
          <w14:textFill>
            <w14:solidFill>
              <w14:schemeClr w14:val="tx1"/>
            </w14:solidFill>
          </w14:textFill>
        </w:rPr>
        <w:t>*.BTBJ），并完成最后的“确认并签名”，打印“上传投标文件回执”，表明投标人网上上传投标文件成功。</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4.2.3投标人在提交投标文件截止时间前，应将电子投标文件上传到云南省公共资源交易信息网（昆明市）</w:t>
      </w:r>
      <w:r>
        <w:rPr>
          <w:rFonts w:hint="eastAsia" w:ascii="宋体" w:hAnsi="宋体"/>
          <w:color w:val="000000" w:themeColor="text1"/>
          <w:sz w:val="24"/>
          <w14:textFill>
            <w14:solidFill>
              <w14:schemeClr w14:val="tx1"/>
            </w14:solidFill>
          </w14:textFill>
        </w:rPr>
        <w:t>，如果投标人没有按规定网上递交电子投标文件，视为投标无效。</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4.2.4除投标人须知前附表另有规定外，投标人所递交的投标文件不予退还。</w:t>
      </w:r>
    </w:p>
    <w:p>
      <w:pPr>
        <w:pStyle w:val="7"/>
        <w:ind w:firstLine="463" w:firstLineChars="192"/>
        <w:rPr>
          <w:rFonts w:ascii="宋体" w:hAnsi="宋体"/>
          <w:bCs w:val="0"/>
          <w:color w:val="000000" w:themeColor="text1"/>
          <w:sz w:val="24"/>
          <w:szCs w:val="24"/>
          <w14:textFill>
            <w14:solidFill>
              <w14:schemeClr w14:val="tx1"/>
            </w14:solidFill>
          </w14:textFill>
        </w:rPr>
      </w:pPr>
      <w:bookmarkStart w:id="219" w:name="_Toc99566929"/>
      <w:bookmarkStart w:id="220" w:name="_Toc116261041"/>
      <w:bookmarkStart w:id="221" w:name="_Toc99567398"/>
      <w:bookmarkStart w:id="222" w:name="_Toc117339959"/>
      <w:bookmarkStart w:id="223" w:name="_Toc81555880"/>
      <w:bookmarkStart w:id="224" w:name="_Toc136956312"/>
      <w:bookmarkStart w:id="225" w:name="_Toc81817981"/>
      <w:r>
        <w:rPr>
          <w:rFonts w:ascii="宋体" w:hAnsi="宋体"/>
          <w:bCs w:val="0"/>
          <w:color w:val="000000" w:themeColor="text1"/>
          <w:sz w:val="24"/>
          <w:szCs w:val="24"/>
          <w14:textFill>
            <w14:solidFill>
              <w14:schemeClr w14:val="tx1"/>
            </w14:solidFill>
          </w14:textFill>
        </w:rPr>
        <w:t>4.3投标文件的修改与撤回</w:t>
      </w:r>
      <w:bookmarkEnd w:id="219"/>
      <w:bookmarkEnd w:id="220"/>
      <w:bookmarkEnd w:id="221"/>
      <w:bookmarkEnd w:id="222"/>
      <w:bookmarkEnd w:id="223"/>
      <w:bookmarkEnd w:id="224"/>
      <w:bookmarkEnd w:id="225"/>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在本章第</w:t>
      </w:r>
      <w:r>
        <w:rPr>
          <w:rFonts w:ascii="宋体" w:hAnsi="宋体"/>
          <w:color w:val="000000" w:themeColor="text1"/>
          <w:sz w:val="24"/>
          <w14:textFill>
            <w14:solidFill>
              <w14:schemeClr w14:val="tx1"/>
            </w14:solidFill>
          </w14:textFill>
        </w:rPr>
        <w:t xml:space="preserve">2.2.2 </w:t>
      </w:r>
      <w:r>
        <w:rPr>
          <w:rFonts w:hint="eastAsia" w:ascii="宋体" w:hAnsi="宋体"/>
          <w:color w:val="000000" w:themeColor="text1"/>
          <w:sz w:val="24"/>
          <w14:textFill>
            <w14:solidFill>
              <w14:schemeClr w14:val="tx1"/>
            </w14:solidFill>
          </w14:textFill>
        </w:rPr>
        <w:t>项规定的投标截止时间前，投标人可以修改或撤回已递交的投标文件，已递交的投标文件，无须以书面形式通知招标人。</w:t>
      </w:r>
    </w:p>
    <w:p>
      <w:pPr>
        <w:pStyle w:val="7"/>
        <w:ind w:firstLine="463" w:firstLineChars="192"/>
        <w:rPr>
          <w:rFonts w:ascii="宋体" w:hAnsi="宋体"/>
          <w:bCs w:val="0"/>
          <w:color w:val="000000" w:themeColor="text1"/>
          <w:sz w:val="24"/>
          <w:szCs w:val="24"/>
          <w14:textFill>
            <w14:solidFill>
              <w14:schemeClr w14:val="tx1"/>
            </w14:solidFill>
          </w14:textFill>
        </w:rPr>
      </w:pPr>
      <w:bookmarkStart w:id="226" w:name="_Toc116261042"/>
      <w:bookmarkStart w:id="227" w:name="_Toc136956313"/>
      <w:bookmarkStart w:id="228" w:name="_Toc81555881"/>
      <w:bookmarkStart w:id="229" w:name="_Toc99566930"/>
      <w:bookmarkStart w:id="230" w:name="_Toc81817982"/>
      <w:bookmarkStart w:id="231" w:name="_Toc99567399"/>
      <w:bookmarkStart w:id="232" w:name="_Toc117339960"/>
      <w:r>
        <w:rPr>
          <w:rFonts w:ascii="宋体" w:hAnsi="宋体"/>
          <w:bCs w:val="0"/>
          <w:color w:val="000000" w:themeColor="text1"/>
          <w:sz w:val="24"/>
          <w:szCs w:val="24"/>
          <w14:textFill>
            <w14:solidFill>
              <w14:schemeClr w14:val="tx1"/>
            </w14:solidFill>
          </w14:textFill>
        </w:rPr>
        <w:t>4.4迟交的投标文件</w:t>
      </w:r>
      <w:bookmarkEnd w:id="226"/>
      <w:bookmarkEnd w:id="227"/>
      <w:bookmarkEnd w:id="228"/>
      <w:bookmarkEnd w:id="229"/>
      <w:bookmarkEnd w:id="230"/>
      <w:bookmarkEnd w:id="231"/>
      <w:bookmarkEnd w:id="232"/>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4.4.1招标人在本须知前附表第2.2.2说明的投标截止时间以后收到的投标文件，将被拒绝并退回给投标人。</w:t>
      </w:r>
    </w:p>
    <w:p>
      <w:pPr>
        <w:pStyle w:val="6"/>
        <w:spacing w:line="480" w:lineRule="auto"/>
        <w:jc w:val="center"/>
        <w:rPr>
          <w:rFonts w:ascii="宋体" w:hAnsi="宋体"/>
          <w:bCs w:val="0"/>
          <w:color w:val="000000" w:themeColor="text1"/>
          <w:sz w:val="30"/>
          <w:szCs w:val="30"/>
          <w14:textFill>
            <w14:solidFill>
              <w14:schemeClr w14:val="tx1"/>
            </w14:solidFill>
          </w14:textFill>
        </w:rPr>
      </w:pPr>
      <w:bookmarkStart w:id="233" w:name="_Toc38031564"/>
      <w:bookmarkStart w:id="234" w:name="_Toc38462877"/>
      <w:bookmarkStart w:id="235" w:name="_Toc136956314"/>
      <w:bookmarkStart w:id="236" w:name="_Toc229583205"/>
      <w:bookmarkStart w:id="237" w:name="_Toc60323160"/>
      <w:bookmarkStart w:id="238" w:name="_Toc300848193"/>
      <w:bookmarkStart w:id="239" w:name="_Toc529797926"/>
      <w:bookmarkStart w:id="240" w:name="_Toc347307767"/>
      <w:r>
        <w:rPr>
          <w:rFonts w:hint="eastAsia" w:ascii="宋体" w:hAnsi="宋体"/>
          <w:bCs w:val="0"/>
          <w:color w:val="000000" w:themeColor="text1"/>
          <w:sz w:val="30"/>
          <w:szCs w:val="30"/>
          <w14:textFill>
            <w14:solidFill>
              <w14:schemeClr w14:val="tx1"/>
            </w14:solidFill>
          </w14:textFill>
        </w:rPr>
        <w:t>（五）开标</w:t>
      </w:r>
      <w:bookmarkEnd w:id="233"/>
      <w:bookmarkEnd w:id="234"/>
      <w:bookmarkEnd w:id="235"/>
      <w:bookmarkEnd w:id="236"/>
      <w:bookmarkEnd w:id="237"/>
      <w:bookmarkEnd w:id="238"/>
      <w:bookmarkEnd w:id="239"/>
      <w:bookmarkEnd w:id="240"/>
    </w:p>
    <w:p>
      <w:pPr>
        <w:pStyle w:val="7"/>
        <w:ind w:firstLine="463" w:firstLineChars="192"/>
        <w:rPr>
          <w:rFonts w:ascii="宋体" w:hAnsi="宋体"/>
          <w:bCs w:val="0"/>
          <w:color w:val="000000" w:themeColor="text1"/>
          <w:sz w:val="24"/>
          <w:szCs w:val="24"/>
          <w14:textFill>
            <w14:solidFill>
              <w14:schemeClr w14:val="tx1"/>
            </w14:solidFill>
          </w14:textFill>
        </w:rPr>
      </w:pPr>
      <w:bookmarkStart w:id="241" w:name="_Toc117339962"/>
      <w:bookmarkStart w:id="242" w:name="_Toc136956315"/>
      <w:bookmarkStart w:id="243" w:name="_Toc81555883"/>
      <w:bookmarkStart w:id="244" w:name="_Toc99567401"/>
      <w:bookmarkStart w:id="245" w:name="_Toc99566932"/>
      <w:bookmarkStart w:id="246" w:name="_Toc116261044"/>
      <w:bookmarkStart w:id="247" w:name="_Toc81817984"/>
      <w:r>
        <w:rPr>
          <w:rFonts w:ascii="宋体" w:hAnsi="宋体"/>
          <w:bCs w:val="0"/>
          <w:color w:val="000000" w:themeColor="text1"/>
          <w:sz w:val="24"/>
          <w:szCs w:val="24"/>
          <w14:textFill>
            <w14:solidFill>
              <w14:schemeClr w14:val="tx1"/>
            </w14:solidFill>
          </w14:textFill>
        </w:rPr>
        <w:t>5.1开标时间和地点</w:t>
      </w:r>
      <w:bookmarkEnd w:id="241"/>
      <w:bookmarkEnd w:id="242"/>
      <w:bookmarkEnd w:id="243"/>
      <w:bookmarkEnd w:id="244"/>
      <w:bookmarkEnd w:id="245"/>
      <w:bookmarkEnd w:id="246"/>
      <w:bookmarkEnd w:id="247"/>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5.1.1招标人按投标人须知前附表所规定的时间和地点公开开标，并邀请现场开标的投标人的法定代表人或法定代表人委托代理人准时参加。</w:t>
      </w:r>
    </w:p>
    <w:p>
      <w:pPr>
        <w:pStyle w:val="7"/>
        <w:ind w:firstLine="463" w:firstLineChars="192"/>
        <w:rPr>
          <w:rFonts w:ascii="宋体" w:hAnsi="宋体"/>
          <w:bCs w:val="0"/>
          <w:color w:val="000000" w:themeColor="text1"/>
          <w:sz w:val="24"/>
          <w:szCs w:val="24"/>
          <w14:textFill>
            <w14:solidFill>
              <w14:schemeClr w14:val="tx1"/>
            </w14:solidFill>
          </w14:textFill>
        </w:rPr>
      </w:pPr>
      <w:bookmarkStart w:id="248" w:name="_Toc99566933"/>
      <w:bookmarkStart w:id="249" w:name="_Toc116261045"/>
      <w:bookmarkStart w:id="250" w:name="_Toc99567402"/>
      <w:bookmarkStart w:id="251" w:name="_Toc81817985"/>
      <w:bookmarkStart w:id="252" w:name="_Toc117339963"/>
      <w:bookmarkStart w:id="253" w:name="_Toc136956316"/>
      <w:bookmarkStart w:id="254" w:name="_Toc81555884"/>
      <w:r>
        <w:rPr>
          <w:rFonts w:ascii="宋体" w:hAnsi="宋体"/>
          <w:bCs w:val="0"/>
          <w:color w:val="000000" w:themeColor="text1"/>
          <w:sz w:val="24"/>
          <w:szCs w:val="24"/>
          <w14:textFill>
            <w14:solidFill>
              <w14:schemeClr w14:val="tx1"/>
            </w14:solidFill>
          </w14:textFill>
        </w:rPr>
        <w:t>5.2</w:t>
      </w:r>
      <w:r>
        <w:rPr>
          <w:rFonts w:hint="eastAsia" w:ascii="宋体" w:hAnsi="宋体"/>
          <w:bCs w:val="0"/>
          <w:color w:val="000000" w:themeColor="text1"/>
          <w:sz w:val="24"/>
          <w:szCs w:val="24"/>
          <w14:textFill>
            <w14:solidFill>
              <w14:schemeClr w14:val="tx1"/>
            </w14:solidFill>
          </w14:textFill>
        </w:rPr>
        <w:t>开标程序</w:t>
      </w:r>
      <w:bookmarkEnd w:id="248"/>
      <w:bookmarkEnd w:id="249"/>
      <w:bookmarkEnd w:id="250"/>
      <w:bookmarkEnd w:id="251"/>
      <w:bookmarkEnd w:id="252"/>
      <w:bookmarkEnd w:id="253"/>
      <w:bookmarkEnd w:id="254"/>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代理公司根据智能开标系统操作流程依次进行，投标人应提前熟悉智能开标的相关操作流程，在规定的时间完成在线签到、解密、开标一览表确认等操作。</w:t>
      </w:r>
    </w:p>
    <w:p>
      <w:pPr>
        <w:pStyle w:val="7"/>
        <w:ind w:firstLine="463" w:firstLineChars="192"/>
        <w:rPr>
          <w:rFonts w:ascii="宋体" w:hAnsi="宋体"/>
          <w:bCs w:val="0"/>
          <w:color w:val="000000" w:themeColor="text1"/>
          <w:sz w:val="24"/>
          <w:szCs w:val="24"/>
          <w14:textFill>
            <w14:solidFill>
              <w14:schemeClr w14:val="tx1"/>
            </w14:solidFill>
          </w14:textFill>
        </w:rPr>
      </w:pPr>
      <w:bookmarkStart w:id="255" w:name="_Toc99566934"/>
      <w:bookmarkStart w:id="256" w:name="_Toc116261046"/>
      <w:bookmarkStart w:id="257" w:name="_Toc117339964"/>
      <w:bookmarkStart w:id="258" w:name="_Toc81817986"/>
      <w:bookmarkStart w:id="259" w:name="_Toc99567403"/>
      <w:bookmarkStart w:id="260" w:name="_Toc81555885"/>
      <w:bookmarkStart w:id="261" w:name="_Toc136956317"/>
      <w:bookmarkStart w:id="262" w:name="_Toc229583206"/>
      <w:bookmarkStart w:id="263" w:name="_Toc347307768"/>
      <w:bookmarkStart w:id="264" w:name="_Toc300848194"/>
      <w:r>
        <w:rPr>
          <w:rFonts w:ascii="宋体" w:hAnsi="宋体"/>
          <w:bCs w:val="0"/>
          <w:color w:val="000000" w:themeColor="text1"/>
          <w:sz w:val="24"/>
          <w:szCs w:val="24"/>
          <w14:textFill>
            <w14:solidFill>
              <w14:schemeClr w14:val="tx1"/>
            </w14:solidFill>
          </w14:textFill>
        </w:rPr>
        <w:t>5.3投标文件不予受理情形</w:t>
      </w:r>
      <w:bookmarkEnd w:id="255"/>
      <w:bookmarkEnd w:id="256"/>
      <w:bookmarkEnd w:id="257"/>
      <w:bookmarkEnd w:id="258"/>
      <w:bookmarkEnd w:id="259"/>
      <w:bookmarkEnd w:id="260"/>
      <w:bookmarkEnd w:id="261"/>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投标文件有下列情形之一的，招标人不予受理：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1）投标人未在截标时间前登录“网上开标室”，根据网上远程解密、开标的要求，在规定时间完成在线解密的；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2）在投标人须知前附表2.2.2项规定的“投标截止时间”以后逾期网上上传的；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3）未按投标人须知前附表3.4.1项规定的“投标保证金”缴纳要求递交投标保证金的；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4）投标人提交的电子标书格式不符合投标人须知前附表3.6.1项要求或开标后无法读取导入的；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5）投标人存在不良行为并在公告期内的。</w:t>
      </w:r>
    </w:p>
    <w:p>
      <w:pPr>
        <w:pStyle w:val="6"/>
        <w:spacing w:line="480" w:lineRule="auto"/>
        <w:jc w:val="center"/>
        <w:rPr>
          <w:rFonts w:ascii="宋体" w:hAnsi="宋体"/>
          <w:bCs w:val="0"/>
          <w:color w:val="000000" w:themeColor="text1"/>
          <w:sz w:val="30"/>
          <w:szCs w:val="30"/>
          <w14:textFill>
            <w14:solidFill>
              <w14:schemeClr w14:val="tx1"/>
            </w14:solidFill>
          </w14:textFill>
        </w:rPr>
      </w:pPr>
      <w:bookmarkStart w:id="265" w:name="_Toc38462878"/>
      <w:bookmarkStart w:id="266" w:name="_Toc60323161"/>
      <w:bookmarkStart w:id="267" w:name="_Toc529797927"/>
      <w:bookmarkStart w:id="268" w:name="_Toc38031565"/>
      <w:bookmarkStart w:id="269" w:name="_Toc136956318"/>
      <w:r>
        <w:rPr>
          <w:rFonts w:hint="eastAsia" w:ascii="宋体" w:hAnsi="宋体"/>
          <w:bCs w:val="0"/>
          <w:color w:val="000000" w:themeColor="text1"/>
          <w:sz w:val="30"/>
          <w:szCs w:val="30"/>
          <w14:textFill>
            <w14:solidFill>
              <w14:schemeClr w14:val="tx1"/>
            </w14:solidFill>
          </w14:textFill>
        </w:rPr>
        <w:t>（六）评标</w:t>
      </w:r>
      <w:bookmarkEnd w:id="262"/>
      <w:bookmarkEnd w:id="263"/>
      <w:bookmarkEnd w:id="264"/>
      <w:bookmarkEnd w:id="265"/>
      <w:bookmarkEnd w:id="266"/>
      <w:bookmarkEnd w:id="267"/>
      <w:bookmarkEnd w:id="268"/>
      <w:bookmarkEnd w:id="269"/>
    </w:p>
    <w:p>
      <w:pPr>
        <w:pStyle w:val="7"/>
        <w:ind w:firstLine="463" w:firstLineChars="192"/>
        <w:rPr>
          <w:rFonts w:ascii="宋体" w:hAnsi="宋体"/>
          <w:bCs w:val="0"/>
          <w:color w:val="000000" w:themeColor="text1"/>
          <w:sz w:val="24"/>
          <w:szCs w:val="24"/>
          <w14:textFill>
            <w14:solidFill>
              <w14:schemeClr w14:val="tx1"/>
            </w14:solidFill>
          </w14:textFill>
        </w:rPr>
      </w:pPr>
      <w:bookmarkStart w:id="270" w:name="_Toc136956319"/>
      <w:bookmarkStart w:id="271" w:name="_Toc99566936"/>
      <w:bookmarkStart w:id="272" w:name="_Toc117339966"/>
      <w:bookmarkStart w:id="273" w:name="_Toc81555887"/>
      <w:bookmarkStart w:id="274" w:name="_Toc81817988"/>
      <w:bookmarkStart w:id="275" w:name="_Toc99567405"/>
      <w:bookmarkStart w:id="276" w:name="_Toc116261048"/>
      <w:r>
        <w:rPr>
          <w:rFonts w:ascii="宋体" w:hAnsi="宋体"/>
          <w:bCs w:val="0"/>
          <w:color w:val="000000" w:themeColor="text1"/>
          <w:sz w:val="24"/>
          <w:szCs w:val="24"/>
          <w14:textFill>
            <w14:solidFill>
              <w14:schemeClr w14:val="tx1"/>
            </w14:solidFill>
          </w14:textFill>
        </w:rPr>
        <w:t xml:space="preserve">6.1 </w:t>
      </w:r>
      <w:r>
        <w:rPr>
          <w:rFonts w:hint="eastAsia" w:ascii="宋体" w:hAnsi="宋体"/>
          <w:bCs w:val="0"/>
          <w:color w:val="000000" w:themeColor="text1"/>
          <w:sz w:val="24"/>
          <w:szCs w:val="24"/>
          <w14:textFill>
            <w14:solidFill>
              <w14:schemeClr w14:val="tx1"/>
            </w14:solidFill>
          </w14:textFill>
        </w:rPr>
        <w:t>评标委员会</w:t>
      </w:r>
      <w:bookmarkEnd w:id="270"/>
      <w:bookmarkEnd w:id="271"/>
      <w:bookmarkEnd w:id="272"/>
      <w:bookmarkEnd w:id="273"/>
      <w:bookmarkEnd w:id="274"/>
      <w:bookmarkEnd w:id="275"/>
      <w:bookmarkEnd w:id="276"/>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6.1.1 </w:t>
      </w:r>
      <w:r>
        <w:rPr>
          <w:rFonts w:hint="eastAsia" w:ascii="宋体" w:hAnsi="宋体"/>
          <w:color w:val="000000" w:themeColor="text1"/>
          <w:sz w:val="24"/>
          <w14:textFill>
            <w14:solidFill>
              <w14:schemeClr w14:val="tx1"/>
            </w14:solidFill>
          </w14:textFill>
        </w:rPr>
        <w:t>评标由招标人依法组建的评标委员会负责。评标委员会</w:t>
      </w:r>
      <w:r>
        <w:rPr>
          <w:rFonts w:ascii="宋体" w:hAnsi="宋体"/>
          <w:color w:val="000000" w:themeColor="text1"/>
          <w:sz w:val="24"/>
          <w14:textFill>
            <w14:solidFill>
              <w14:schemeClr w14:val="tx1"/>
            </w14:solidFill>
          </w14:textFill>
        </w:rPr>
        <w:t>由</w:t>
      </w:r>
      <w:r>
        <w:rPr>
          <w:rFonts w:hint="eastAsia"/>
          <w:color w:val="000000" w:themeColor="text1"/>
          <w:kern w:val="0"/>
          <w:sz w:val="24"/>
          <w14:textFill>
            <w14:solidFill>
              <w14:schemeClr w14:val="tx1"/>
            </w14:solidFill>
          </w14:textFill>
        </w:rPr>
        <w:t>招标人代表以及从评标专家库中随机抽取的专家组成</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评标委员会成员人数以及技术、经济等方面专家的确定方式见投标人须知前附表。</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6.1.2 评标委员会成员有下列情形之一的，应当回避：</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（1）招标人或投标人的主要负责人的近亲属；</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（2）项目主管部门或者行政监督部门的人员：</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（3）与投标人有经济利益关系，可能影响对投标公正评审的；</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（4）曾因在招标、评标以及其他与招标投标有关活动中从事违法行为而受过行政处罚或刑事处罚的。</w:t>
      </w:r>
    </w:p>
    <w:p>
      <w:pPr>
        <w:spacing w:line="360" w:lineRule="auto"/>
        <w:ind w:firstLine="480" w:firstLineChars="200"/>
        <w:rPr>
          <w:rFonts w:ascii="宋体" w:hAns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6.1.3评审委员会成员应</w:t>
      </w:r>
      <w:r>
        <w:rPr>
          <w:rFonts w:hint="eastAsia" w:ascii="宋体" w:hAnsi="宋体"/>
          <w:color w:val="000000" w:themeColor="text1"/>
          <w:sz w:val="24"/>
          <w14:textFill>
            <w14:solidFill>
              <w14:schemeClr w14:val="tx1"/>
            </w14:solidFill>
          </w14:textFill>
        </w:rPr>
        <w:t>当</w:t>
      </w:r>
      <w:r>
        <w:rPr>
          <w:rFonts w:ascii="宋体" w:hAnsi="宋体"/>
          <w:color w:val="000000" w:themeColor="text1"/>
          <w:sz w:val="24"/>
          <w14:textFill>
            <w14:solidFill>
              <w14:schemeClr w14:val="tx1"/>
            </w14:solidFill>
          </w14:textFill>
        </w:rPr>
        <w:t>客观、公正地履行职责，遵守职业道德，对所提出的评审意见承担个人责任。评审委员会成员和与评标活动有关的工作人员不得透露对</w:t>
      </w:r>
      <w:r>
        <w:rPr>
          <w:rFonts w:hint="eastAsia" w:ascii="宋体" w:hAnsi="宋体"/>
          <w:color w:val="000000" w:themeColor="text1"/>
          <w:sz w:val="24"/>
          <w14:textFill>
            <w14:solidFill>
              <w14:schemeClr w14:val="tx1"/>
            </w14:solidFill>
          </w14:textFill>
        </w:rPr>
        <w:t>投标</w:t>
      </w:r>
      <w:r>
        <w:rPr>
          <w:rFonts w:ascii="宋体" w:hAnsi="宋体"/>
          <w:color w:val="000000" w:themeColor="text1"/>
          <w:sz w:val="24"/>
          <w14:textFill>
            <w14:solidFill>
              <w14:schemeClr w14:val="tx1"/>
            </w14:solidFill>
          </w14:textFill>
        </w:rPr>
        <w:t>文件的评审和比较、中标候选人的推荐情况以及与评标有关的其他情况。</w:t>
      </w:r>
    </w:p>
    <w:p>
      <w:pPr>
        <w:pStyle w:val="7"/>
        <w:ind w:firstLine="463" w:firstLineChars="192"/>
        <w:rPr>
          <w:rFonts w:ascii="宋体" w:hAnsi="宋体"/>
          <w:bCs w:val="0"/>
          <w:color w:val="000000" w:themeColor="text1"/>
          <w:sz w:val="24"/>
          <w:szCs w:val="24"/>
          <w14:textFill>
            <w14:solidFill>
              <w14:schemeClr w14:val="tx1"/>
            </w14:solidFill>
          </w14:textFill>
        </w:rPr>
      </w:pPr>
      <w:bookmarkStart w:id="277" w:name="_Toc116261049"/>
      <w:bookmarkStart w:id="278" w:name="_Toc99567406"/>
      <w:bookmarkStart w:id="279" w:name="_Toc117339967"/>
      <w:bookmarkStart w:id="280" w:name="_Toc81817989"/>
      <w:bookmarkStart w:id="281" w:name="_Toc136956320"/>
      <w:bookmarkStart w:id="282" w:name="_Toc99566937"/>
      <w:bookmarkStart w:id="283" w:name="_Toc81555888"/>
      <w:r>
        <w:rPr>
          <w:rFonts w:ascii="宋体" w:hAnsi="宋体"/>
          <w:bCs w:val="0"/>
          <w:color w:val="000000" w:themeColor="text1"/>
          <w:sz w:val="24"/>
          <w:szCs w:val="24"/>
          <w14:textFill>
            <w14:solidFill>
              <w14:schemeClr w14:val="tx1"/>
            </w14:solidFill>
          </w14:textFill>
        </w:rPr>
        <w:t xml:space="preserve">6.2 </w:t>
      </w:r>
      <w:r>
        <w:rPr>
          <w:rFonts w:hint="eastAsia" w:ascii="宋体" w:hAnsi="宋体"/>
          <w:bCs w:val="0"/>
          <w:color w:val="000000" w:themeColor="text1"/>
          <w:sz w:val="24"/>
          <w:szCs w:val="24"/>
          <w14:textFill>
            <w14:solidFill>
              <w14:schemeClr w14:val="tx1"/>
            </w14:solidFill>
          </w14:textFill>
        </w:rPr>
        <w:t>评标原则</w:t>
      </w:r>
      <w:bookmarkEnd w:id="277"/>
      <w:bookmarkEnd w:id="278"/>
      <w:bookmarkEnd w:id="279"/>
      <w:bookmarkEnd w:id="280"/>
      <w:bookmarkEnd w:id="281"/>
      <w:bookmarkEnd w:id="282"/>
      <w:bookmarkEnd w:id="283"/>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评标活动应遵循公平、公正、科学、择优的原则，任何单位或个人不得非法干预或者影响评标过程和结果。</w:t>
      </w:r>
    </w:p>
    <w:p>
      <w:pPr>
        <w:pStyle w:val="7"/>
        <w:ind w:firstLine="463" w:firstLineChars="192"/>
        <w:rPr>
          <w:rFonts w:ascii="宋体" w:hAnsi="宋体"/>
          <w:bCs w:val="0"/>
          <w:color w:val="000000" w:themeColor="text1"/>
          <w:sz w:val="24"/>
          <w:szCs w:val="24"/>
          <w14:textFill>
            <w14:solidFill>
              <w14:schemeClr w14:val="tx1"/>
            </w14:solidFill>
          </w14:textFill>
        </w:rPr>
      </w:pPr>
      <w:bookmarkStart w:id="284" w:name="_Toc116261050"/>
      <w:bookmarkStart w:id="285" w:name="_Toc99566938"/>
      <w:bookmarkStart w:id="286" w:name="_Toc136956321"/>
      <w:bookmarkStart w:id="287" w:name="_Toc81555889"/>
      <w:bookmarkStart w:id="288" w:name="_Toc81817990"/>
      <w:bookmarkStart w:id="289" w:name="_Toc99567407"/>
      <w:bookmarkStart w:id="290" w:name="_Toc117339968"/>
      <w:r>
        <w:rPr>
          <w:rFonts w:ascii="宋体" w:hAnsi="宋体"/>
          <w:bCs w:val="0"/>
          <w:color w:val="000000" w:themeColor="text1"/>
          <w:sz w:val="24"/>
          <w:szCs w:val="24"/>
          <w14:textFill>
            <w14:solidFill>
              <w14:schemeClr w14:val="tx1"/>
            </w14:solidFill>
          </w14:textFill>
        </w:rPr>
        <w:t>6.3评标</w:t>
      </w:r>
      <w:bookmarkEnd w:id="284"/>
      <w:bookmarkEnd w:id="285"/>
      <w:bookmarkEnd w:id="286"/>
      <w:bookmarkEnd w:id="287"/>
      <w:bookmarkEnd w:id="288"/>
      <w:bookmarkEnd w:id="289"/>
      <w:bookmarkEnd w:id="290"/>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按照投标人须知前附表的规定及第三章“评标办法”规定的方法、评审因素、标准和程序对投标文件进行评审。第三章“评标办法”没有规定的方法、评审因素和标准，不作为评标依据。评标过程中如有特殊情况，由评标委员会集体讨论决定。</w:t>
      </w:r>
    </w:p>
    <w:p>
      <w:pPr>
        <w:pStyle w:val="6"/>
        <w:spacing w:line="480" w:lineRule="auto"/>
        <w:jc w:val="center"/>
        <w:rPr>
          <w:rFonts w:ascii="宋体" w:hAnsi="宋体"/>
          <w:bCs w:val="0"/>
          <w:color w:val="000000" w:themeColor="text1"/>
          <w:sz w:val="30"/>
          <w:szCs w:val="30"/>
          <w14:textFill>
            <w14:solidFill>
              <w14:schemeClr w14:val="tx1"/>
            </w14:solidFill>
          </w14:textFill>
        </w:rPr>
      </w:pPr>
      <w:bookmarkStart w:id="291" w:name="_Toc60323162"/>
      <w:bookmarkStart w:id="292" w:name="_Toc229583207"/>
      <w:bookmarkStart w:id="293" w:name="_Toc529797928"/>
      <w:bookmarkStart w:id="294" w:name="_Toc38462879"/>
      <w:bookmarkStart w:id="295" w:name="_Toc136956322"/>
      <w:bookmarkStart w:id="296" w:name="_Toc300848195"/>
      <w:bookmarkStart w:id="297" w:name="_Toc347307769"/>
      <w:bookmarkStart w:id="298" w:name="_Toc38031566"/>
      <w:r>
        <w:rPr>
          <w:rFonts w:hint="eastAsia" w:ascii="宋体" w:hAnsi="宋体"/>
          <w:bCs w:val="0"/>
          <w:color w:val="000000" w:themeColor="text1"/>
          <w:sz w:val="30"/>
          <w:szCs w:val="30"/>
          <w14:textFill>
            <w14:solidFill>
              <w14:schemeClr w14:val="tx1"/>
            </w14:solidFill>
          </w14:textFill>
        </w:rPr>
        <w:t>（七）合同授予</w:t>
      </w:r>
      <w:bookmarkEnd w:id="291"/>
      <w:bookmarkEnd w:id="292"/>
      <w:bookmarkEnd w:id="293"/>
      <w:bookmarkEnd w:id="294"/>
      <w:bookmarkEnd w:id="295"/>
      <w:bookmarkEnd w:id="296"/>
      <w:bookmarkEnd w:id="297"/>
      <w:bookmarkEnd w:id="298"/>
    </w:p>
    <w:p>
      <w:pPr>
        <w:pStyle w:val="7"/>
        <w:ind w:firstLine="463" w:firstLineChars="192"/>
        <w:rPr>
          <w:rFonts w:ascii="宋体" w:hAnsi="宋体"/>
          <w:bCs w:val="0"/>
          <w:color w:val="000000" w:themeColor="text1"/>
          <w:sz w:val="24"/>
          <w:szCs w:val="24"/>
          <w14:textFill>
            <w14:solidFill>
              <w14:schemeClr w14:val="tx1"/>
            </w14:solidFill>
          </w14:textFill>
        </w:rPr>
      </w:pPr>
      <w:bookmarkStart w:id="299" w:name="_Toc117339970"/>
      <w:bookmarkStart w:id="300" w:name="_Toc81817992"/>
      <w:bookmarkStart w:id="301" w:name="_Toc99566940"/>
      <w:bookmarkStart w:id="302" w:name="_Toc136956323"/>
      <w:bookmarkStart w:id="303" w:name="_Toc99567409"/>
      <w:bookmarkStart w:id="304" w:name="_Toc116261052"/>
      <w:bookmarkStart w:id="305" w:name="_Toc81555891"/>
      <w:bookmarkStart w:id="306" w:name="_Toc347307770"/>
      <w:bookmarkStart w:id="307" w:name="_Toc334392568"/>
      <w:bookmarkStart w:id="308" w:name="_Toc307177932"/>
      <w:bookmarkStart w:id="309" w:name="_Toc320699679"/>
      <w:bookmarkStart w:id="310" w:name="_Toc300848196"/>
      <w:bookmarkStart w:id="311" w:name="_Toc184635079"/>
      <w:bookmarkStart w:id="312" w:name="_Toc300848197"/>
      <w:r>
        <w:rPr>
          <w:rFonts w:ascii="宋体" w:hAnsi="宋体"/>
          <w:bCs w:val="0"/>
          <w:color w:val="000000" w:themeColor="text1"/>
          <w:sz w:val="24"/>
          <w:szCs w:val="24"/>
          <w14:textFill>
            <w14:solidFill>
              <w14:schemeClr w14:val="tx1"/>
            </w14:solidFill>
          </w14:textFill>
        </w:rPr>
        <w:t>7.1定标方式</w:t>
      </w:r>
      <w:bookmarkEnd w:id="299"/>
      <w:bookmarkEnd w:id="300"/>
      <w:bookmarkEnd w:id="301"/>
      <w:bookmarkEnd w:id="302"/>
      <w:bookmarkEnd w:id="303"/>
      <w:bookmarkEnd w:id="304"/>
      <w:bookmarkEnd w:id="305"/>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pStyle w:val="7"/>
        <w:ind w:firstLine="463" w:firstLineChars="192"/>
        <w:rPr>
          <w:rFonts w:ascii="宋体" w:hAnsi="宋体"/>
          <w:bCs w:val="0"/>
          <w:color w:val="000000" w:themeColor="text1"/>
          <w:sz w:val="24"/>
          <w:szCs w:val="24"/>
          <w14:textFill>
            <w14:solidFill>
              <w14:schemeClr w14:val="tx1"/>
            </w14:solidFill>
          </w14:textFill>
        </w:rPr>
      </w:pPr>
      <w:bookmarkStart w:id="313" w:name="_Toc136956324"/>
      <w:bookmarkStart w:id="314" w:name="_Toc99567410"/>
      <w:bookmarkStart w:id="315" w:name="_Toc81555892"/>
      <w:bookmarkStart w:id="316" w:name="_Toc116261053"/>
      <w:bookmarkStart w:id="317" w:name="_Toc81817993"/>
      <w:bookmarkStart w:id="318" w:name="_Toc117339971"/>
      <w:bookmarkStart w:id="319" w:name="_Toc99566941"/>
      <w:r>
        <w:rPr>
          <w:rFonts w:ascii="宋体" w:hAnsi="宋体"/>
          <w:bCs w:val="0"/>
          <w:color w:val="000000" w:themeColor="text1"/>
          <w:sz w:val="24"/>
          <w:szCs w:val="24"/>
          <w14:textFill>
            <w14:solidFill>
              <w14:schemeClr w14:val="tx1"/>
            </w14:solidFill>
          </w14:textFill>
        </w:rPr>
        <w:t>7.2中标通知</w:t>
      </w:r>
      <w:bookmarkEnd w:id="313"/>
      <w:bookmarkEnd w:id="314"/>
      <w:bookmarkEnd w:id="315"/>
      <w:bookmarkEnd w:id="316"/>
      <w:bookmarkEnd w:id="317"/>
      <w:bookmarkEnd w:id="318"/>
      <w:bookmarkEnd w:id="319"/>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7.2.1评标完成后，发布评标结果公示，公示期（不少于3日），公示结束无异议后，发布中标公示，之后招标人以书面形式向中标人发出中标通知书，同时将中标结果通知未中标的投标人。</w:t>
      </w:r>
    </w:p>
    <w:p>
      <w:pPr>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如中标人在接到通知后未及时缴纳应承担的相关费用并领取中标通知书的，由此产生的后果由中标人自负。</w:t>
      </w:r>
    </w:p>
    <w:p>
      <w:pPr>
        <w:pStyle w:val="7"/>
        <w:ind w:firstLine="463" w:firstLineChars="192"/>
        <w:rPr>
          <w:rFonts w:ascii="宋体" w:hAnsi="宋体"/>
          <w:bCs w:val="0"/>
          <w:color w:val="000000" w:themeColor="text1"/>
          <w:sz w:val="24"/>
          <w:szCs w:val="24"/>
          <w14:textFill>
            <w14:solidFill>
              <w14:schemeClr w14:val="tx1"/>
            </w14:solidFill>
          </w14:textFill>
        </w:rPr>
      </w:pPr>
      <w:bookmarkStart w:id="320" w:name="_Toc99567411"/>
      <w:bookmarkStart w:id="321" w:name="_Toc99566942"/>
      <w:bookmarkStart w:id="322" w:name="_Toc117339972"/>
      <w:bookmarkStart w:id="323" w:name="_Toc81817994"/>
      <w:bookmarkStart w:id="324" w:name="_Toc81555893"/>
      <w:bookmarkStart w:id="325" w:name="_Toc136956325"/>
      <w:bookmarkStart w:id="326" w:name="_Toc116261054"/>
      <w:r>
        <w:rPr>
          <w:rFonts w:ascii="宋体" w:hAnsi="宋体"/>
          <w:bCs w:val="0"/>
          <w:color w:val="000000" w:themeColor="text1"/>
          <w:sz w:val="24"/>
          <w:szCs w:val="24"/>
          <w14:textFill>
            <w14:solidFill>
              <w14:schemeClr w14:val="tx1"/>
            </w14:solidFill>
          </w14:textFill>
        </w:rPr>
        <w:t>7.3履约担保</w:t>
      </w:r>
      <w:bookmarkEnd w:id="320"/>
      <w:bookmarkEnd w:id="321"/>
      <w:bookmarkEnd w:id="322"/>
      <w:bookmarkEnd w:id="323"/>
      <w:bookmarkEnd w:id="324"/>
      <w:bookmarkEnd w:id="325"/>
      <w:bookmarkEnd w:id="326"/>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7.3.1 </w:t>
      </w:r>
      <w:r>
        <w:rPr>
          <w:rFonts w:hint="eastAsia" w:ascii="宋体" w:hAnsi="宋体"/>
          <w:color w:val="000000" w:themeColor="text1"/>
          <w:sz w:val="24"/>
          <w14:textFill>
            <w14:solidFill>
              <w14:schemeClr w14:val="tx1"/>
            </w14:solidFill>
          </w14:textFill>
        </w:rPr>
        <w:t>在签订合同前，中标人应按投标人须知前附表规定的金额、担保形式和招标文件第四章“合同条款及格式”规定的履约担保格式向招标人提交履约担保。</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7.3.2 </w:t>
      </w:r>
      <w:r>
        <w:rPr>
          <w:rFonts w:hint="eastAsia" w:ascii="宋体" w:hAnsi="宋体"/>
          <w:color w:val="000000" w:themeColor="text1"/>
          <w:sz w:val="24"/>
          <w14:textFill>
            <w14:solidFill>
              <w14:schemeClr w14:val="tx1"/>
            </w14:solidFill>
          </w14:textFill>
        </w:rPr>
        <w:t>中标人不能按本章第</w:t>
      </w:r>
      <w:r>
        <w:rPr>
          <w:rFonts w:ascii="宋体" w:hAnsi="宋体"/>
          <w:color w:val="000000" w:themeColor="text1"/>
          <w:sz w:val="24"/>
          <w14:textFill>
            <w14:solidFill>
              <w14:schemeClr w14:val="tx1"/>
            </w14:solidFill>
          </w14:textFill>
        </w:rPr>
        <w:t xml:space="preserve">7.3.1 </w:t>
      </w:r>
      <w:r>
        <w:rPr>
          <w:rFonts w:hint="eastAsia" w:ascii="宋体" w:hAnsi="宋体"/>
          <w:color w:val="000000" w:themeColor="text1"/>
          <w:sz w:val="24"/>
          <w14:textFill>
            <w14:solidFill>
              <w14:schemeClr w14:val="tx1"/>
            </w14:solidFill>
          </w14:textFill>
        </w:rPr>
        <w:t>项要求提交履约担保的，视为放弃中标，其投标保证金不予退还，给招标人造成损失的，中标人还应当予以赔偿。</w:t>
      </w:r>
    </w:p>
    <w:p>
      <w:pPr>
        <w:pStyle w:val="7"/>
        <w:ind w:firstLine="463" w:firstLineChars="192"/>
        <w:rPr>
          <w:rFonts w:ascii="宋体" w:hAnsi="宋体"/>
          <w:bCs w:val="0"/>
          <w:color w:val="000000" w:themeColor="text1"/>
          <w:sz w:val="24"/>
          <w:szCs w:val="24"/>
          <w14:textFill>
            <w14:solidFill>
              <w14:schemeClr w14:val="tx1"/>
            </w14:solidFill>
          </w14:textFill>
        </w:rPr>
      </w:pPr>
      <w:bookmarkStart w:id="327" w:name="_Toc136956326"/>
      <w:bookmarkStart w:id="328" w:name="_Toc99567412"/>
      <w:bookmarkStart w:id="329" w:name="_Toc117339973"/>
      <w:bookmarkStart w:id="330" w:name="_Toc116261055"/>
      <w:bookmarkStart w:id="331" w:name="_Toc99566943"/>
      <w:bookmarkStart w:id="332" w:name="_Toc81817995"/>
      <w:bookmarkStart w:id="333" w:name="_Toc81555894"/>
      <w:r>
        <w:rPr>
          <w:rFonts w:ascii="宋体" w:hAnsi="宋体"/>
          <w:bCs w:val="0"/>
          <w:color w:val="000000" w:themeColor="text1"/>
          <w:sz w:val="24"/>
          <w:szCs w:val="24"/>
          <w14:textFill>
            <w14:solidFill>
              <w14:schemeClr w14:val="tx1"/>
            </w14:solidFill>
          </w14:textFill>
        </w:rPr>
        <w:t>7.4签订合同</w:t>
      </w:r>
      <w:bookmarkEnd w:id="327"/>
      <w:bookmarkEnd w:id="328"/>
      <w:bookmarkEnd w:id="329"/>
      <w:bookmarkEnd w:id="330"/>
      <w:bookmarkEnd w:id="331"/>
      <w:bookmarkEnd w:id="332"/>
      <w:bookmarkEnd w:id="333"/>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7.4.1 </w:t>
      </w:r>
      <w:r>
        <w:rPr>
          <w:rFonts w:hint="eastAsia" w:ascii="宋体" w:hAnsi="宋体"/>
          <w:color w:val="000000" w:themeColor="text1"/>
          <w:sz w:val="24"/>
          <w14:textFill>
            <w14:solidFill>
              <w14:schemeClr w14:val="tx1"/>
            </w14:solidFill>
          </w14:textFill>
        </w:rPr>
        <w:t>招标人和中标人应当自中标通知书发出之日起</w:t>
      </w:r>
      <w:r>
        <w:rPr>
          <w:rFonts w:ascii="宋体" w:hAnsi="宋体"/>
          <w:color w:val="000000" w:themeColor="text1"/>
          <w:sz w:val="24"/>
          <w14:textFill>
            <w14:solidFill>
              <w14:schemeClr w14:val="tx1"/>
            </w14:solidFill>
          </w14:textFill>
        </w:rPr>
        <w:t>30天内，根据招标文件和中标人的投标文件订立书面合同。中标人无正当理由拒签合同的，招标人将报请行政主管部门取消其中标资格，给招标人造成损失的，中标人还应予以赔偿。</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7.4.2 </w:t>
      </w:r>
      <w:r>
        <w:rPr>
          <w:rFonts w:hint="eastAsia" w:ascii="宋体" w:hAnsi="宋体"/>
          <w:color w:val="000000" w:themeColor="text1"/>
          <w:sz w:val="24"/>
          <w14:textFill>
            <w14:solidFill>
              <w14:schemeClr w14:val="tx1"/>
            </w14:solidFill>
          </w14:textFill>
        </w:rPr>
        <w:t>投标人中标后，不得违反《中华人民共和国建筑法》、《中华人民共和国民法典》、《中华人民共和国招标投标法》、七部委</w:t>
      </w:r>
      <w:r>
        <w:rPr>
          <w:rFonts w:ascii="宋体" w:hAnsi="宋体"/>
          <w:color w:val="000000" w:themeColor="text1"/>
          <w:sz w:val="24"/>
          <w14:textFill>
            <w14:solidFill>
              <w14:schemeClr w14:val="tx1"/>
            </w14:solidFill>
          </w14:textFill>
        </w:rPr>
        <w:t>12号令《评标委员会和评标方法暂行规定》、七部委30号令《工程建设项目施工招标投标办法》等相关法规及合同约定。</w:t>
      </w:r>
    </w:p>
    <w:p>
      <w:pPr>
        <w:pStyle w:val="6"/>
        <w:spacing w:line="480" w:lineRule="auto"/>
        <w:jc w:val="center"/>
        <w:rPr>
          <w:rFonts w:ascii="宋体" w:hAnsi="宋体"/>
          <w:bCs w:val="0"/>
          <w:color w:val="000000" w:themeColor="text1"/>
          <w:sz w:val="30"/>
          <w:szCs w:val="30"/>
          <w14:textFill>
            <w14:solidFill>
              <w14:schemeClr w14:val="tx1"/>
            </w14:solidFill>
          </w14:textFill>
        </w:rPr>
      </w:pPr>
      <w:bookmarkStart w:id="334" w:name="_Toc60323163"/>
      <w:bookmarkStart w:id="335" w:name="_Toc38031567"/>
      <w:bookmarkStart w:id="336" w:name="_Toc38462880"/>
      <w:bookmarkStart w:id="337" w:name="_Toc136956327"/>
      <w:bookmarkStart w:id="338" w:name="_Toc529797929"/>
      <w:r>
        <w:rPr>
          <w:rFonts w:hint="eastAsia" w:ascii="宋体" w:hAnsi="宋体"/>
          <w:bCs w:val="0"/>
          <w:color w:val="000000" w:themeColor="text1"/>
          <w:sz w:val="30"/>
          <w:szCs w:val="30"/>
          <w14:textFill>
            <w14:solidFill>
              <w14:schemeClr w14:val="tx1"/>
            </w14:solidFill>
          </w14:textFill>
        </w:rPr>
        <w:t>（八）重新招标</w:t>
      </w:r>
      <w:bookmarkEnd w:id="306"/>
      <w:bookmarkEnd w:id="307"/>
      <w:bookmarkEnd w:id="308"/>
      <w:bookmarkEnd w:id="309"/>
      <w:bookmarkEnd w:id="310"/>
      <w:r>
        <w:rPr>
          <w:rFonts w:hint="eastAsia" w:ascii="宋体" w:hAnsi="宋体"/>
          <w:bCs w:val="0"/>
          <w:color w:val="000000" w:themeColor="text1"/>
          <w:sz w:val="30"/>
          <w:szCs w:val="30"/>
          <w14:textFill>
            <w14:solidFill>
              <w14:schemeClr w14:val="tx1"/>
            </w14:solidFill>
          </w14:textFill>
        </w:rPr>
        <w:t>和不再招标</w:t>
      </w:r>
      <w:bookmarkEnd w:id="334"/>
      <w:bookmarkEnd w:id="335"/>
      <w:bookmarkEnd w:id="336"/>
      <w:bookmarkEnd w:id="337"/>
      <w:bookmarkEnd w:id="338"/>
    </w:p>
    <w:p>
      <w:pPr>
        <w:pStyle w:val="7"/>
        <w:ind w:firstLine="463" w:firstLineChars="192"/>
        <w:rPr>
          <w:rFonts w:ascii="宋体" w:hAnsi="宋体"/>
          <w:bCs w:val="0"/>
          <w:color w:val="000000" w:themeColor="text1"/>
          <w:sz w:val="24"/>
          <w:szCs w:val="24"/>
          <w14:textFill>
            <w14:solidFill>
              <w14:schemeClr w14:val="tx1"/>
            </w14:solidFill>
          </w14:textFill>
        </w:rPr>
      </w:pPr>
      <w:bookmarkStart w:id="339" w:name="_Toc184635078"/>
      <w:bookmarkStart w:id="340" w:name="_Toc306524540"/>
      <w:bookmarkStart w:id="341" w:name="_Toc366144077"/>
      <w:bookmarkStart w:id="342" w:name="_Toc81817997"/>
      <w:bookmarkStart w:id="343" w:name="_Toc99567414"/>
      <w:bookmarkStart w:id="344" w:name="_Toc99566945"/>
      <w:bookmarkStart w:id="345" w:name="_Toc117339975"/>
      <w:bookmarkStart w:id="346" w:name="_Toc116261057"/>
      <w:bookmarkStart w:id="347" w:name="_Toc81555896"/>
      <w:bookmarkStart w:id="348" w:name="_Toc529797930"/>
      <w:bookmarkStart w:id="349" w:name="_Toc136956328"/>
      <w:bookmarkStart w:id="350" w:name="_Toc347307771"/>
      <w:r>
        <w:rPr>
          <w:rFonts w:ascii="宋体" w:hAnsi="宋体"/>
          <w:bCs w:val="0"/>
          <w:color w:val="000000" w:themeColor="text1"/>
          <w:sz w:val="24"/>
          <w:szCs w:val="24"/>
          <w14:textFill>
            <w14:solidFill>
              <w14:schemeClr w14:val="tx1"/>
            </w14:solidFill>
          </w14:textFill>
        </w:rPr>
        <w:t>8</w:t>
      </w:r>
      <w:bookmarkEnd w:id="339"/>
      <w:bookmarkEnd w:id="340"/>
      <w:bookmarkEnd w:id="341"/>
      <w:r>
        <w:rPr>
          <w:rFonts w:ascii="宋体" w:hAnsi="宋体"/>
          <w:bCs w:val="0"/>
          <w:color w:val="000000" w:themeColor="text1"/>
          <w:sz w:val="24"/>
          <w:szCs w:val="24"/>
          <w14:textFill>
            <w14:solidFill>
              <w14:schemeClr w14:val="tx1"/>
            </w14:solidFill>
          </w14:textFill>
        </w:rPr>
        <w:t>.1</w:t>
      </w:r>
      <w:r>
        <w:rPr>
          <w:rFonts w:hint="eastAsia" w:ascii="宋体" w:hAnsi="宋体"/>
          <w:bCs w:val="0"/>
          <w:color w:val="000000" w:themeColor="text1"/>
          <w:sz w:val="24"/>
          <w:szCs w:val="24"/>
          <w14:textFill>
            <w14:solidFill>
              <w14:schemeClr w14:val="tx1"/>
            </w14:solidFill>
          </w14:textFill>
        </w:rPr>
        <w:t>重新招标</w:t>
      </w:r>
      <w:bookmarkEnd w:id="342"/>
      <w:bookmarkEnd w:id="343"/>
      <w:bookmarkEnd w:id="344"/>
      <w:bookmarkEnd w:id="345"/>
      <w:bookmarkEnd w:id="346"/>
      <w:bookmarkEnd w:id="347"/>
      <w:bookmarkEnd w:id="348"/>
      <w:bookmarkEnd w:id="349"/>
    </w:p>
    <w:p>
      <w:pPr>
        <w:spacing w:line="360" w:lineRule="auto"/>
        <w:ind w:firstLine="480" w:firstLineChars="200"/>
        <w:rPr>
          <w:rFonts w:ascii="宋体" w:hAnsi="宋体"/>
          <w:color w:val="000000" w:themeColor="text1"/>
          <w:sz w:val="24"/>
          <w14:textFill>
            <w14:solidFill>
              <w14:schemeClr w14:val="tx1"/>
            </w14:solidFill>
          </w14:textFill>
        </w:rPr>
      </w:pPr>
      <w:bookmarkStart w:id="351" w:name="_Hlk99723435"/>
      <w:bookmarkStart w:id="352" w:name="_Toc81555898"/>
      <w:bookmarkStart w:id="353" w:name="_Toc99566947"/>
      <w:bookmarkStart w:id="354" w:name="_Toc81817999"/>
      <w:bookmarkStart w:id="355" w:name="_Toc99567416"/>
      <w:r>
        <w:rPr>
          <w:rFonts w:hint="eastAsia" w:ascii="宋体" w:hAnsi="宋体"/>
          <w:color w:val="000000" w:themeColor="text1"/>
          <w:sz w:val="24"/>
          <w14:textFill>
            <w14:solidFill>
              <w14:schemeClr w14:val="tx1"/>
            </w14:solidFill>
          </w14:textFill>
        </w:rPr>
        <w:t>有下列情形之一的，招标人将重新招标：</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(1)至投标报名时间截止，参与报名的潜在投标人少于3个的；</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(2)至投标截止时间止，上传投标文件且投标人少于3个的；</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(3)经评标委员会评审后否决所有投标的；</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(4)中标候选人均未与招标人签订合同；</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(5)法律规定的其他情形。</w:t>
      </w:r>
    </w:p>
    <w:bookmarkEnd w:id="351"/>
    <w:p>
      <w:pPr>
        <w:pStyle w:val="7"/>
        <w:ind w:firstLine="463" w:firstLineChars="192"/>
        <w:rPr>
          <w:rFonts w:ascii="宋体" w:hAnsi="宋体"/>
          <w:bCs w:val="0"/>
          <w:color w:val="000000" w:themeColor="text1"/>
          <w:sz w:val="24"/>
          <w:szCs w:val="24"/>
          <w14:textFill>
            <w14:solidFill>
              <w14:schemeClr w14:val="tx1"/>
            </w14:solidFill>
          </w14:textFill>
        </w:rPr>
      </w:pPr>
      <w:bookmarkStart w:id="356" w:name="_Toc116261058"/>
      <w:bookmarkStart w:id="357" w:name="_Toc117339976"/>
      <w:bookmarkStart w:id="358" w:name="_Toc136956329"/>
      <w:r>
        <w:rPr>
          <w:rFonts w:ascii="宋体" w:hAnsi="宋体"/>
          <w:bCs w:val="0"/>
          <w:color w:val="000000" w:themeColor="text1"/>
          <w:sz w:val="24"/>
          <w:szCs w:val="24"/>
          <w14:textFill>
            <w14:solidFill>
              <w14:schemeClr w14:val="tx1"/>
            </w14:solidFill>
          </w14:textFill>
        </w:rPr>
        <w:t>8.2不再招标</w:t>
      </w:r>
      <w:bookmarkEnd w:id="352"/>
      <w:bookmarkEnd w:id="353"/>
      <w:bookmarkEnd w:id="354"/>
      <w:bookmarkEnd w:id="355"/>
      <w:bookmarkEnd w:id="356"/>
      <w:bookmarkEnd w:id="357"/>
      <w:bookmarkEnd w:id="358"/>
    </w:p>
    <w:p>
      <w:pPr>
        <w:spacing w:line="360" w:lineRule="auto"/>
        <w:ind w:firstLine="480" w:firstLineChars="200"/>
        <w:rPr>
          <w:rFonts w:ascii="宋体" w:hAnsi="宋体"/>
          <w:color w:val="000000" w:themeColor="text1"/>
          <w:sz w:val="24"/>
          <w14:textFill>
            <w14:solidFill>
              <w14:schemeClr w14:val="tx1"/>
            </w14:solidFill>
          </w14:textFill>
        </w:rPr>
      </w:pPr>
      <w:bookmarkStart w:id="359" w:name="_Hlk99723600"/>
      <w:bookmarkStart w:id="360" w:name="_Toc529797931"/>
      <w:bookmarkStart w:id="361" w:name="_Toc60323164"/>
      <w:bookmarkStart w:id="362" w:name="_Toc38031568"/>
      <w:bookmarkStart w:id="363" w:name="_Toc38462881"/>
      <w:r>
        <w:rPr>
          <w:rFonts w:ascii="宋体" w:hAnsi="宋体"/>
          <w:color w:val="000000" w:themeColor="text1"/>
          <w:sz w:val="24"/>
          <w14:textFill>
            <w14:solidFill>
              <w14:schemeClr w14:val="tx1"/>
            </w14:solidFill>
          </w14:textFill>
        </w:rPr>
        <w:t>重新招标后投标人仍不足3个，或者所有投标人均没有响应招标文件提出的实质性要求和条件的，报经原审批、核准部门审批、核准后可以不再进行招标</w:t>
      </w:r>
      <w:bookmarkEnd w:id="359"/>
      <w:r>
        <w:rPr>
          <w:rFonts w:ascii="宋体" w:hAnsi="宋体"/>
          <w:color w:val="000000" w:themeColor="text1"/>
          <w:sz w:val="24"/>
          <w14:textFill>
            <w14:solidFill>
              <w14:schemeClr w14:val="tx1"/>
            </w14:solidFill>
          </w14:textFill>
        </w:rPr>
        <w:t>。</w:t>
      </w:r>
    </w:p>
    <w:p>
      <w:pPr>
        <w:pStyle w:val="6"/>
        <w:spacing w:line="480" w:lineRule="auto"/>
        <w:jc w:val="center"/>
        <w:rPr>
          <w:rFonts w:ascii="宋体" w:hAnsi="宋体"/>
          <w:bCs w:val="0"/>
          <w:color w:val="000000" w:themeColor="text1"/>
          <w:sz w:val="30"/>
          <w:szCs w:val="30"/>
          <w14:textFill>
            <w14:solidFill>
              <w14:schemeClr w14:val="tx1"/>
            </w14:solidFill>
          </w14:textFill>
        </w:rPr>
      </w:pPr>
      <w:bookmarkStart w:id="364" w:name="_Toc136956330"/>
      <w:r>
        <w:rPr>
          <w:rFonts w:hint="eastAsia" w:ascii="宋体" w:hAnsi="宋体"/>
          <w:bCs w:val="0"/>
          <w:color w:val="000000" w:themeColor="text1"/>
          <w:sz w:val="30"/>
          <w:szCs w:val="30"/>
          <w14:textFill>
            <w14:solidFill>
              <w14:schemeClr w14:val="tx1"/>
            </w14:solidFill>
          </w14:textFill>
        </w:rPr>
        <w:t>（九）纪律和监督</w:t>
      </w:r>
      <w:bookmarkEnd w:id="311"/>
      <w:bookmarkEnd w:id="312"/>
      <w:bookmarkEnd w:id="350"/>
      <w:bookmarkEnd w:id="360"/>
      <w:bookmarkEnd w:id="361"/>
      <w:bookmarkEnd w:id="362"/>
      <w:bookmarkEnd w:id="363"/>
      <w:bookmarkEnd w:id="364"/>
    </w:p>
    <w:p>
      <w:pPr>
        <w:pStyle w:val="7"/>
        <w:ind w:firstLine="463" w:firstLineChars="192"/>
        <w:rPr>
          <w:rFonts w:ascii="宋体" w:hAnsi="宋体"/>
          <w:bCs w:val="0"/>
          <w:color w:val="000000" w:themeColor="text1"/>
          <w:sz w:val="24"/>
          <w:szCs w:val="24"/>
          <w14:textFill>
            <w14:solidFill>
              <w14:schemeClr w14:val="tx1"/>
            </w14:solidFill>
          </w14:textFill>
        </w:rPr>
      </w:pPr>
      <w:bookmarkStart w:id="365" w:name="_Toc136956331"/>
      <w:bookmarkStart w:id="366" w:name="_Toc99567418"/>
      <w:bookmarkStart w:id="367" w:name="_Toc99566949"/>
      <w:bookmarkStart w:id="368" w:name="_Toc81555900"/>
      <w:bookmarkStart w:id="369" w:name="_Toc81818001"/>
      <w:bookmarkStart w:id="370" w:name="_Toc117339978"/>
      <w:bookmarkStart w:id="371" w:name="_Toc116261060"/>
      <w:r>
        <w:rPr>
          <w:rFonts w:ascii="宋体" w:hAnsi="宋体"/>
          <w:bCs w:val="0"/>
          <w:color w:val="000000" w:themeColor="text1"/>
          <w:sz w:val="24"/>
          <w:szCs w:val="24"/>
          <w14:textFill>
            <w14:solidFill>
              <w14:schemeClr w14:val="tx1"/>
            </w14:solidFill>
          </w14:textFill>
        </w:rPr>
        <w:t xml:space="preserve">9.1 </w:t>
      </w:r>
      <w:r>
        <w:rPr>
          <w:rFonts w:hint="eastAsia" w:ascii="宋体" w:hAnsi="宋体"/>
          <w:bCs w:val="0"/>
          <w:color w:val="000000" w:themeColor="text1"/>
          <w:sz w:val="24"/>
          <w:szCs w:val="24"/>
          <w14:textFill>
            <w14:solidFill>
              <w14:schemeClr w14:val="tx1"/>
            </w14:solidFill>
          </w14:textFill>
        </w:rPr>
        <w:t>对招标人的纪律要求</w:t>
      </w:r>
      <w:bookmarkEnd w:id="365"/>
      <w:bookmarkEnd w:id="366"/>
      <w:bookmarkEnd w:id="367"/>
      <w:bookmarkEnd w:id="368"/>
      <w:bookmarkEnd w:id="369"/>
      <w:bookmarkEnd w:id="370"/>
      <w:bookmarkEnd w:id="371"/>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招标人不得泄漏招标投标活动中应当保密的情况和资料，不得与投标人串通损害国家利益、社会公共利益或者他人合法权益。</w:t>
      </w:r>
    </w:p>
    <w:p>
      <w:pPr>
        <w:pStyle w:val="7"/>
        <w:ind w:firstLine="463" w:firstLineChars="192"/>
        <w:rPr>
          <w:rFonts w:ascii="宋体" w:hAnsi="宋体"/>
          <w:bCs w:val="0"/>
          <w:color w:val="000000" w:themeColor="text1"/>
          <w:sz w:val="24"/>
          <w:szCs w:val="24"/>
          <w14:textFill>
            <w14:solidFill>
              <w14:schemeClr w14:val="tx1"/>
            </w14:solidFill>
          </w14:textFill>
        </w:rPr>
      </w:pPr>
      <w:bookmarkStart w:id="372" w:name="_Toc136956332"/>
      <w:bookmarkStart w:id="373" w:name="_Toc99566950"/>
      <w:bookmarkStart w:id="374" w:name="_Toc99567419"/>
      <w:bookmarkStart w:id="375" w:name="_Toc81818002"/>
      <w:bookmarkStart w:id="376" w:name="_Toc81555901"/>
      <w:bookmarkStart w:id="377" w:name="_Toc116261061"/>
      <w:bookmarkStart w:id="378" w:name="_Toc117339979"/>
      <w:r>
        <w:rPr>
          <w:rFonts w:ascii="宋体" w:hAnsi="宋体"/>
          <w:bCs w:val="0"/>
          <w:color w:val="000000" w:themeColor="text1"/>
          <w:sz w:val="24"/>
          <w:szCs w:val="24"/>
          <w14:textFill>
            <w14:solidFill>
              <w14:schemeClr w14:val="tx1"/>
            </w14:solidFill>
          </w14:textFill>
        </w:rPr>
        <w:t xml:space="preserve">9.2 </w:t>
      </w:r>
      <w:r>
        <w:rPr>
          <w:rFonts w:hint="eastAsia" w:ascii="宋体" w:hAnsi="宋体"/>
          <w:bCs w:val="0"/>
          <w:color w:val="000000" w:themeColor="text1"/>
          <w:sz w:val="24"/>
          <w:szCs w:val="24"/>
          <w14:textFill>
            <w14:solidFill>
              <w14:schemeClr w14:val="tx1"/>
            </w14:solidFill>
          </w14:textFill>
        </w:rPr>
        <w:t>对投标人的纪律要求</w:t>
      </w:r>
      <w:bookmarkEnd w:id="372"/>
      <w:bookmarkEnd w:id="373"/>
      <w:bookmarkEnd w:id="374"/>
      <w:bookmarkEnd w:id="375"/>
      <w:bookmarkEnd w:id="376"/>
      <w:bookmarkEnd w:id="377"/>
      <w:bookmarkEnd w:id="378"/>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ind w:firstLine="463" w:firstLineChars="192"/>
        <w:rPr>
          <w:rFonts w:ascii="宋体" w:hAnsi="宋体"/>
          <w:bCs w:val="0"/>
          <w:color w:val="000000" w:themeColor="text1"/>
          <w:sz w:val="24"/>
          <w:szCs w:val="24"/>
          <w14:textFill>
            <w14:solidFill>
              <w14:schemeClr w14:val="tx1"/>
            </w14:solidFill>
          </w14:textFill>
        </w:rPr>
      </w:pPr>
      <w:bookmarkStart w:id="379" w:name="_Toc81818003"/>
      <w:bookmarkStart w:id="380" w:name="_Toc99566951"/>
      <w:bookmarkStart w:id="381" w:name="_Toc116261062"/>
      <w:bookmarkStart w:id="382" w:name="_Toc136956333"/>
      <w:bookmarkStart w:id="383" w:name="_Toc81555902"/>
      <w:bookmarkStart w:id="384" w:name="_Toc117339980"/>
      <w:bookmarkStart w:id="385" w:name="_Toc99567420"/>
      <w:r>
        <w:rPr>
          <w:rFonts w:ascii="宋体" w:hAnsi="宋体"/>
          <w:bCs w:val="0"/>
          <w:color w:val="000000" w:themeColor="text1"/>
          <w:sz w:val="24"/>
          <w:szCs w:val="24"/>
          <w14:textFill>
            <w14:solidFill>
              <w14:schemeClr w14:val="tx1"/>
            </w14:solidFill>
          </w14:textFill>
        </w:rPr>
        <w:t xml:space="preserve">9.3 </w:t>
      </w:r>
      <w:r>
        <w:rPr>
          <w:rFonts w:hint="eastAsia" w:ascii="宋体" w:hAnsi="宋体"/>
          <w:bCs w:val="0"/>
          <w:color w:val="000000" w:themeColor="text1"/>
          <w:sz w:val="24"/>
          <w:szCs w:val="24"/>
          <w14:textFill>
            <w14:solidFill>
              <w14:schemeClr w14:val="tx1"/>
            </w14:solidFill>
          </w14:textFill>
        </w:rPr>
        <w:t>对评标委员会成员的纪律要求</w:t>
      </w:r>
      <w:bookmarkEnd w:id="379"/>
      <w:bookmarkEnd w:id="380"/>
      <w:bookmarkEnd w:id="381"/>
      <w:bookmarkEnd w:id="382"/>
      <w:bookmarkEnd w:id="383"/>
      <w:bookmarkEnd w:id="384"/>
      <w:bookmarkEnd w:id="385"/>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ind w:firstLine="463" w:firstLineChars="192"/>
        <w:rPr>
          <w:rFonts w:ascii="宋体" w:hAnsi="宋体"/>
          <w:bCs w:val="0"/>
          <w:color w:val="000000" w:themeColor="text1"/>
          <w:sz w:val="24"/>
          <w:szCs w:val="24"/>
          <w14:textFill>
            <w14:solidFill>
              <w14:schemeClr w14:val="tx1"/>
            </w14:solidFill>
          </w14:textFill>
        </w:rPr>
      </w:pPr>
      <w:bookmarkStart w:id="386" w:name="_Toc117339981"/>
      <w:bookmarkStart w:id="387" w:name="_Toc81555903"/>
      <w:bookmarkStart w:id="388" w:name="_Toc116261063"/>
      <w:bookmarkStart w:id="389" w:name="_Toc99566952"/>
      <w:bookmarkStart w:id="390" w:name="_Toc99567421"/>
      <w:bookmarkStart w:id="391" w:name="_Toc81818004"/>
      <w:bookmarkStart w:id="392" w:name="_Toc136956334"/>
      <w:r>
        <w:rPr>
          <w:rFonts w:ascii="宋体" w:hAnsi="宋体"/>
          <w:bCs w:val="0"/>
          <w:color w:val="000000" w:themeColor="text1"/>
          <w:sz w:val="24"/>
          <w:szCs w:val="24"/>
          <w14:textFill>
            <w14:solidFill>
              <w14:schemeClr w14:val="tx1"/>
            </w14:solidFill>
          </w14:textFill>
        </w:rPr>
        <w:t xml:space="preserve">9.4 </w:t>
      </w:r>
      <w:r>
        <w:rPr>
          <w:rFonts w:hint="eastAsia" w:ascii="宋体" w:hAnsi="宋体"/>
          <w:bCs w:val="0"/>
          <w:color w:val="000000" w:themeColor="text1"/>
          <w:sz w:val="24"/>
          <w:szCs w:val="24"/>
          <w14:textFill>
            <w14:solidFill>
              <w14:schemeClr w14:val="tx1"/>
            </w14:solidFill>
          </w14:textFill>
        </w:rPr>
        <w:t>对与评标活动有关的工作人员的纪律要求</w:t>
      </w:r>
      <w:bookmarkEnd w:id="386"/>
      <w:bookmarkEnd w:id="387"/>
      <w:bookmarkEnd w:id="388"/>
      <w:bookmarkEnd w:id="389"/>
      <w:bookmarkEnd w:id="390"/>
      <w:bookmarkEnd w:id="391"/>
      <w:bookmarkEnd w:id="392"/>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ind w:firstLine="463" w:firstLineChars="192"/>
        <w:rPr>
          <w:rFonts w:ascii="宋体" w:hAnsi="宋体"/>
          <w:bCs w:val="0"/>
          <w:color w:val="000000" w:themeColor="text1"/>
          <w:sz w:val="24"/>
          <w:szCs w:val="24"/>
          <w14:textFill>
            <w14:solidFill>
              <w14:schemeClr w14:val="tx1"/>
            </w14:solidFill>
          </w14:textFill>
        </w:rPr>
      </w:pPr>
      <w:bookmarkStart w:id="393" w:name="_Toc116261064"/>
      <w:bookmarkStart w:id="394" w:name="_Toc81555904"/>
      <w:bookmarkStart w:id="395" w:name="_Toc117339982"/>
      <w:bookmarkStart w:id="396" w:name="_Toc99566953"/>
      <w:bookmarkStart w:id="397" w:name="_Toc81818005"/>
      <w:bookmarkStart w:id="398" w:name="_Toc99567422"/>
      <w:bookmarkStart w:id="399" w:name="_Toc136956335"/>
      <w:r>
        <w:rPr>
          <w:rFonts w:ascii="宋体" w:hAnsi="宋体"/>
          <w:bCs w:val="0"/>
          <w:color w:val="000000" w:themeColor="text1"/>
          <w:sz w:val="24"/>
          <w:szCs w:val="24"/>
          <w14:textFill>
            <w14:solidFill>
              <w14:schemeClr w14:val="tx1"/>
            </w14:solidFill>
          </w14:textFill>
        </w:rPr>
        <w:t xml:space="preserve">9.5 </w:t>
      </w:r>
      <w:r>
        <w:rPr>
          <w:rFonts w:hint="eastAsia" w:ascii="宋体" w:hAnsi="宋体"/>
          <w:bCs w:val="0"/>
          <w:color w:val="000000" w:themeColor="text1"/>
          <w:sz w:val="24"/>
          <w:szCs w:val="24"/>
          <w14:textFill>
            <w14:solidFill>
              <w14:schemeClr w14:val="tx1"/>
            </w14:solidFill>
          </w14:textFill>
        </w:rPr>
        <w:t>投诉</w:t>
      </w:r>
      <w:bookmarkEnd w:id="393"/>
      <w:bookmarkEnd w:id="394"/>
      <w:bookmarkEnd w:id="395"/>
      <w:bookmarkEnd w:id="396"/>
      <w:bookmarkEnd w:id="397"/>
      <w:bookmarkEnd w:id="398"/>
      <w:bookmarkEnd w:id="399"/>
    </w:p>
    <w:p>
      <w:pPr>
        <w:spacing w:line="360" w:lineRule="auto"/>
        <w:ind w:firstLine="480" w:firstLineChars="200"/>
        <w:rPr>
          <w:rFonts w:ascii="宋体" w:hAnsi="宋体"/>
          <w:color w:val="000000" w:themeColor="text1"/>
          <w:sz w:val="24"/>
          <w14:textFill>
            <w14:solidFill>
              <w14:schemeClr w14:val="tx1"/>
            </w14:solidFill>
          </w14:textFill>
        </w:rPr>
      </w:pPr>
      <w:bookmarkStart w:id="400" w:name="_Toc347307773"/>
      <w:bookmarkStart w:id="401" w:name="_Toc300848198"/>
      <w:bookmarkStart w:id="402" w:name="_Toc184635080"/>
      <w:r>
        <w:rPr>
          <w:rFonts w:hint="eastAsia" w:ascii="宋体" w:hAnsi="宋体"/>
          <w:color w:val="000000" w:themeColor="text1"/>
          <w:sz w:val="24"/>
          <w14:textFill>
            <w14:solidFill>
              <w14:schemeClr w14:val="tx1"/>
            </w14:solidFill>
          </w14:textFill>
        </w:rPr>
        <w:t>投标人和其他利害关系人认为本次招标活动违反法律、法规和规章规定的，按相关法律法规执行。</w:t>
      </w:r>
    </w:p>
    <w:p>
      <w:pPr>
        <w:pStyle w:val="6"/>
        <w:spacing w:line="480" w:lineRule="auto"/>
        <w:jc w:val="center"/>
        <w:rPr>
          <w:rFonts w:ascii="宋体" w:hAnsi="宋体"/>
          <w:bCs w:val="0"/>
          <w:color w:val="000000" w:themeColor="text1"/>
          <w:sz w:val="30"/>
          <w:szCs w:val="30"/>
          <w14:textFill>
            <w14:solidFill>
              <w14:schemeClr w14:val="tx1"/>
            </w14:solidFill>
          </w14:textFill>
        </w:rPr>
      </w:pPr>
      <w:bookmarkStart w:id="403" w:name="_Toc38462882"/>
      <w:bookmarkStart w:id="404" w:name="_Toc136956336"/>
      <w:bookmarkStart w:id="405" w:name="_Toc60323165"/>
      <w:bookmarkStart w:id="406" w:name="_Toc38031569"/>
      <w:bookmarkStart w:id="407" w:name="_Toc529797932"/>
      <w:r>
        <w:rPr>
          <w:rFonts w:hint="eastAsia" w:ascii="宋体" w:hAnsi="宋体"/>
          <w:bCs w:val="0"/>
          <w:color w:val="000000" w:themeColor="text1"/>
          <w:sz w:val="30"/>
          <w:szCs w:val="30"/>
          <w14:textFill>
            <w14:solidFill>
              <w14:schemeClr w14:val="tx1"/>
            </w14:solidFill>
          </w14:textFill>
        </w:rPr>
        <w:t>（十）需要补充的其他内容</w:t>
      </w:r>
      <w:bookmarkEnd w:id="400"/>
      <w:bookmarkEnd w:id="401"/>
      <w:bookmarkEnd w:id="402"/>
      <w:bookmarkEnd w:id="403"/>
      <w:bookmarkEnd w:id="404"/>
      <w:bookmarkEnd w:id="405"/>
      <w:bookmarkEnd w:id="406"/>
      <w:bookmarkEnd w:id="407"/>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见投标人须知前附表。</w:t>
      </w:r>
    </w:p>
    <w:p>
      <w:pPr>
        <w:spacing w:line="360" w:lineRule="auto"/>
        <w:ind w:firstLine="482" w:firstLineChars="200"/>
        <w:rPr>
          <w:rFonts w:ascii="宋体" w:hAnsi="宋体"/>
          <w:b/>
          <w:color w:val="000000" w:themeColor="text1"/>
          <w:sz w:val="24"/>
          <w14:textFill>
            <w14:solidFill>
              <w14:schemeClr w14:val="tx1"/>
            </w14:solidFill>
          </w14:textFill>
        </w:rPr>
        <w:sectPr>
          <w:footerReference r:id="rId8" w:type="default"/>
          <w:type w:val="nextColumn"/>
          <w:pgSz w:w="11906" w:h="16838"/>
          <w:pgMar w:top="1304" w:right="1304" w:bottom="1304" w:left="1304" w:header="851" w:footer="992" w:gutter="0"/>
          <w:pgNumType w:fmt="numberInDash"/>
          <w:cols w:space="720" w:num="1"/>
          <w:docGrid w:linePitch="312" w:charSpace="0"/>
        </w:sectPr>
      </w:pPr>
    </w:p>
    <w:p>
      <w:pPr>
        <w:pStyle w:val="6"/>
        <w:numPr>
          <w:ilvl w:val="2"/>
          <w:numId w:val="0"/>
        </w:numPr>
        <w:ind w:left="720" w:hanging="720"/>
        <w:jc w:val="left"/>
        <w:rPr>
          <w:rFonts w:ascii="宋体" w:hAnsi="宋体"/>
          <w:bCs w:val="0"/>
          <w:color w:val="000000" w:themeColor="text1"/>
          <w:sz w:val="28"/>
          <w:szCs w:val="28"/>
          <w14:textFill>
            <w14:solidFill>
              <w14:schemeClr w14:val="tx1"/>
            </w14:solidFill>
          </w14:textFill>
        </w:rPr>
      </w:pPr>
      <w:bookmarkStart w:id="408" w:name="_Toc60323166"/>
      <w:bookmarkStart w:id="409" w:name="_Toc416969754"/>
      <w:bookmarkStart w:id="410" w:name="_Toc306524543"/>
      <w:bookmarkStart w:id="411" w:name="_Toc437204231"/>
      <w:bookmarkStart w:id="412" w:name="_Toc366144080"/>
      <w:bookmarkStart w:id="413" w:name="_Toc38462883"/>
      <w:bookmarkStart w:id="414" w:name="_Toc136956337"/>
      <w:bookmarkStart w:id="415" w:name="_Toc184635081"/>
      <w:bookmarkStart w:id="416" w:name="_Toc38031570"/>
      <w:bookmarkStart w:id="417" w:name="_Toc529797933"/>
      <w:bookmarkStart w:id="418" w:name="_Toc152045581"/>
      <w:bookmarkStart w:id="419" w:name="_Toc247514005"/>
      <w:bookmarkStart w:id="420" w:name="_Toc152042358"/>
      <w:bookmarkStart w:id="421" w:name="_Toc144974548"/>
      <w:bookmarkStart w:id="422" w:name="_Toc411369702"/>
      <w:bookmarkStart w:id="423" w:name="_Toc247527606"/>
      <w:bookmarkStart w:id="424" w:name="_Toc347307774"/>
      <w:r>
        <w:rPr>
          <w:rFonts w:hint="eastAsia" w:ascii="宋体" w:hAnsi="宋体"/>
          <w:bCs w:val="0"/>
          <w:color w:val="000000" w:themeColor="text1"/>
          <w:sz w:val="28"/>
          <w:szCs w:val="28"/>
          <w14:textFill>
            <w14:solidFill>
              <w14:schemeClr w14:val="tx1"/>
            </w14:solidFill>
          </w14:textFill>
        </w:rPr>
        <w:t>附表一：开标记录表</w:t>
      </w:r>
      <w:bookmarkEnd w:id="408"/>
      <w:bookmarkEnd w:id="409"/>
      <w:bookmarkEnd w:id="410"/>
      <w:bookmarkEnd w:id="411"/>
      <w:bookmarkEnd w:id="412"/>
      <w:bookmarkEnd w:id="413"/>
      <w:bookmarkEnd w:id="414"/>
      <w:bookmarkEnd w:id="415"/>
      <w:bookmarkEnd w:id="416"/>
      <w:bookmarkEnd w:id="417"/>
    </w:p>
    <w:p>
      <w:pPr>
        <w:rPr>
          <w:rFonts w:ascii="宋体" w:hAnsi="宋体"/>
          <w:b/>
          <w:color w:val="000000" w:themeColor="text1"/>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（项目名称）开标记录表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开标时间：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（一）唱标记录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70"/>
        <w:gridCol w:w="708"/>
        <w:gridCol w:w="1134"/>
        <w:gridCol w:w="1276"/>
        <w:gridCol w:w="1015"/>
        <w:gridCol w:w="708"/>
        <w:gridCol w:w="828"/>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7"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970"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w:t>
            </w:r>
          </w:p>
        </w:tc>
        <w:tc>
          <w:tcPr>
            <w:tcW w:w="70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密封情况</w:t>
            </w:r>
          </w:p>
        </w:tc>
        <w:tc>
          <w:tcPr>
            <w:tcW w:w="1134"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工程设计部分报价</w:t>
            </w:r>
          </w:p>
        </w:tc>
        <w:tc>
          <w:tcPr>
            <w:tcW w:w="1276"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工程施工部分报价</w:t>
            </w:r>
          </w:p>
        </w:tc>
        <w:tc>
          <w:tcPr>
            <w:tcW w:w="1015"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质量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承诺</w:t>
            </w:r>
          </w:p>
        </w:tc>
        <w:tc>
          <w:tcPr>
            <w:tcW w:w="70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工期承诺</w:t>
            </w:r>
          </w:p>
        </w:tc>
        <w:tc>
          <w:tcPr>
            <w:tcW w:w="82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c>
          <w:tcPr>
            <w:tcW w:w="765"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7" w:type="dxa"/>
          </w:tcPr>
          <w:p>
            <w:pPr>
              <w:spacing w:line="440" w:lineRule="exact"/>
              <w:rPr>
                <w:rFonts w:ascii="宋体" w:hAnsi="宋体"/>
                <w:b/>
                <w:color w:val="000000" w:themeColor="text1"/>
                <w:szCs w:val="21"/>
                <w14:textFill>
                  <w14:solidFill>
                    <w14:schemeClr w14:val="tx1"/>
                  </w14:solidFill>
                </w14:textFill>
              </w:rPr>
            </w:pPr>
          </w:p>
        </w:tc>
        <w:tc>
          <w:tcPr>
            <w:tcW w:w="970"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1134" w:type="dxa"/>
          </w:tcPr>
          <w:p>
            <w:pPr>
              <w:spacing w:line="440" w:lineRule="exact"/>
              <w:rPr>
                <w:rFonts w:ascii="宋体" w:hAnsi="宋体"/>
                <w:b/>
                <w:color w:val="000000" w:themeColor="text1"/>
                <w:szCs w:val="21"/>
                <w14:textFill>
                  <w14:solidFill>
                    <w14:schemeClr w14:val="tx1"/>
                  </w14:solidFill>
                </w14:textFill>
              </w:rPr>
            </w:pPr>
          </w:p>
        </w:tc>
        <w:tc>
          <w:tcPr>
            <w:tcW w:w="1276" w:type="dxa"/>
          </w:tcPr>
          <w:p>
            <w:pPr>
              <w:spacing w:line="440" w:lineRule="exact"/>
              <w:rPr>
                <w:rFonts w:ascii="宋体" w:hAnsi="宋体"/>
                <w:b/>
                <w:color w:val="000000" w:themeColor="text1"/>
                <w:szCs w:val="21"/>
                <w14:textFill>
                  <w14:solidFill>
                    <w14:schemeClr w14:val="tx1"/>
                  </w14:solidFill>
                </w14:textFill>
              </w:rPr>
            </w:pPr>
          </w:p>
        </w:tc>
        <w:tc>
          <w:tcPr>
            <w:tcW w:w="1015"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828" w:type="dxa"/>
          </w:tcPr>
          <w:p>
            <w:pPr>
              <w:spacing w:line="440" w:lineRule="exact"/>
              <w:rPr>
                <w:rFonts w:ascii="宋体" w:hAnsi="宋体"/>
                <w:b/>
                <w:color w:val="000000" w:themeColor="text1"/>
                <w:szCs w:val="21"/>
                <w14:textFill>
                  <w14:solidFill>
                    <w14:schemeClr w14:val="tx1"/>
                  </w14:solidFill>
                </w14:textFill>
              </w:rPr>
            </w:pPr>
          </w:p>
        </w:tc>
        <w:tc>
          <w:tcPr>
            <w:tcW w:w="765" w:type="dxa"/>
          </w:tcPr>
          <w:p>
            <w:pPr>
              <w:spacing w:line="440" w:lineRule="exact"/>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tcPr>
          <w:p>
            <w:pPr>
              <w:spacing w:line="440" w:lineRule="exact"/>
              <w:rPr>
                <w:rFonts w:ascii="宋体" w:hAnsi="宋体"/>
                <w:b/>
                <w:color w:val="000000" w:themeColor="text1"/>
                <w:szCs w:val="21"/>
                <w14:textFill>
                  <w14:solidFill>
                    <w14:schemeClr w14:val="tx1"/>
                  </w14:solidFill>
                </w14:textFill>
              </w:rPr>
            </w:pPr>
          </w:p>
        </w:tc>
        <w:tc>
          <w:tcPr>
            <w:tcW w:w="970"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1134" w:type="dxa"/>
          </w:tcPr>
          <w:p>
            <w:pPr>
              <w:spacing w:line="440" w:lineRule="exact"/>
              <w:rPr>
                <w:rFonts w:ascii="宋体" w:hAnsi="宋体"/>
                <w:b/>
                <w:color w:val="000000" w:themeColor="text1"/>
                <w:szCs w:val="21"/>
                <w14:textFill>
                  <w14:solidFill>
                    <w14:schemeClr w14:val="tx1"/>
                  </w14:solidFill>
                </w14:textFill>
              </w:rPr>
            </w:pPr>
          </w:p>
        </w:tc>
        <w:tc>
          <w:tcPr>
            <w:tcW w:w="1276" w:type="dxa"/>
          </w:tcPr>
          <w:p>
            <w:pPr>
              <w:spacing w:line="440" w:lineRule="exact"/>
              <w:rPr>
                <w:rFonts w:ascii="宋体" w:hAnsi="宋体"/>
                <w:b/>
                <w:color w:val="000000" w:themeColor="text1"/>
                <w:szCs w:val="21"/>
                <w14:textFill>
                  <w14:solidFill>
                    <w14:schemeClr w14:val="tx1"/>
                  </w14:solidFill>
                </w14:textFill>
              </w:rPr>
            </w:pPr>
          </w:p>
        </w:tc>
        <w:tc>
          <w:tcPr>
            <w:tcW w:w="1015"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828" w:type="dxa"/>
          </w:tcPr>
          <w:p>
            <w:pPr>
              <w:spacing w:line="440" w:lineRule="exact"/>
              <w:rPr>
                <w:rFonts w:ascii="宋体" w:hAnsi="宋体"/>
                <w:b/>
                <w:color w:val="000000" w:themeColor="text1"/>
                <w:szCs w:val="21"/>
                <w14:textFill>
                  <w14:solidFill>
                    <w14:schemeClr w14:val="tx1"/>
                  </w14:solidFill>
                </w14:textFill>
              </w:rPr>
            </w:pPr>
          </w:p>
        </w:tc>
        <w:tc>
          <w:tcPr>
            <w:tcW w:w="765" w:type="dxa"/>
          </w:tcPr>
          <w:p>
            <w:pPr>
              <w:spacing w:line="440" w:lineRule="exact"/>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7" w:type="dxa"/>
          </w:tcPr>
          <w:p>
            <w:pPr>
              <w:spacing w:line="440" w:lineRule="exact"/>
              <w:rPr>
                <w:rFonts w:ascii="宋体" w:hAnsi="宋体"/>
                <w:b/>
                <w:color w:val="000000" w:themeColor="text1"/>
                <w:szCs w:val="21"/>
                <w14:textFill>
                  <w14:solidFill>
                    <w14:schemeClr w14:val="tx1"/>
                  </w14:solidFill>
                </w14:textFill>
              </w:rPr>
            </w:pPr>
          </w:p>
        </w:tc>
        <w:tc>
          <w:tcPr>
            <w:tcW w:w="970"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1134" w:type="dxa"/>
          </w:tcPr>
          <w:p>
            <w:pPr>
              <w:spacing w:line="440" w:lineRule="exact"/>
              <w:rPr>
                <w:rFonts w:ascii="宋体" w:hAnsi="宋体"/>
                <w:b/>
                <w:color w:val="000000" w:themeColor="text1"/>
                <w:szCs w:val="21"/>
                <w14:textFill>
                  <w14:solidFill>
                    <w14:schemeClr w14:val="tx1"/>
                  </w14:solidFill>
                </w14:textFill>
              </w:rPr>
            </w:pPr>
          </w:p>
        </w:tc>
        <w:tc>
          <w:tcPr>
            <w:tcW w:w="1276" w:type="dxa"/>
          </w:tcPr>
          <w:p>
            <w:pPr>
              <w:spacing w:line="440" w:lineRule="exact"/>
              <w:rPr>
                <w:rFonts w:ascii="宋体" w:hAnsi="宋体"/>
                <w:b/>
                <w:color w:val="000000" w:themeColor="text1"/>
                <w:szCs w:val="21"/>
                <w14:textFill>
                  <w14:solidFill>
                    <w14:schemeClr w14:val="tx1"/>
                  </w14:solidFill>
                </w14:textFill>
              </w:rPr>
            </w:pPr>
          </w:p>
        </w:tc>
        <w:tc>
          <w:tcPr>
            <w:tcW w:w="1015"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828" w:type="dxa"/>
          </w:tcPr>
          <w:p>
            <w:pPr>
              <w:spacing w:line="440" w:lineRule="exact"/>
              <w:rPr>
                <w:rFonts w:ascii="宋体" w:hAnsi="宋体"/>
                <w:b/>
                <w:color w:val="000000" w:themeColor="text1"/>
                <w:szCs w:val="21"/>
                <w14:textFill>
                  <w14:solidFill>
                    <w14:schemeClr w14:val="tx1"/>
                  </w14:solidFill>
                </w14:textFill>
              </w:rPr>
            </w:pPr>
          </w:p>
        </w:tc>
        <w:tc>
          <w:tcPr>
            <w:tcW w:w="765" w:type="dxa"/>
          </w:tcPr>
          <w:p>
            <w:pPr>
              <w:spacing w:line="440" w:lineRule="exact"/>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tcPr>
          <w:p>
            <w:pPr>
              <w:spacing w:line="440" w:lineRule="exact"/>
              <w:rPr>
                <w:rFonts w:ascii="宋体" w:hAnsi="宋体"/>
                <w:b/>
                <w:color w:val="000000" w:themeColor="text1"/>
                <w:szCs w:val="21"/>
                <w14:textFill>
                  <w14:solidFill>
                    <w14:schemeClr w14:val="tx1"/>
                  </w14:solidFill>
                </w14:textFill>
              </w:rPr>
            </w:pPr>
          </w:p>
        </w:tc>
        <w:tc>
          <w:tcPr>
            <w:tcW w:w="970"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1134" w:type="dxa"/>
          </w:tcPr>
          <w:p>
            <w:pPr>
              <w:spacing w:line="440" w:lineRule="exact"/>
              <w:rPr>
                <w:rFonts w:ascii="宋体" w:hAnsi="宋体"/>
                <w:b/>
                <w:color w:val="000000" w:themeColor="text1"/>
                <w:szCs w:val="21"/>
                <w14:textFill>
                  <w14:solidFill>
                    <w14:schemeClr w14:val="tx1"/>
                  </w14:solidFill>
                </w14:textFill>
              </w:rPr>
            </w:pPr>
          </w:p>
        </w:tc>
        <w:tc>
          <w:tcPr>
            <w:tcW w:w="1276" w:type="dxa"/>
          </w:tcPr>
          <w:p>
            <w:pPr>
              <w:spacing w:line="440" w:lineRule="exact"/>
              <w:rPr>
                <w:rFonts w:ascii="宋体" w:hAnsi="宋体"/>
                <w:b/>
                <w:color w:val="000000" w:themeColor="text1"/>
                <w:szCs w:val="21"/>
                <w14:textFill>
                  <w14:solidFill>
                    <w14:schemeClr w14:val="tx1"/>
                  </w14:solidFill>
                </w14:textFill>
              </w:rPr>
            </w:pPr>
          </w:p>
        </w:tc>
        <w:tc>
          <w:tcPr>
            <w:tcW w:w="1015"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828" w:type="dxa"/>
          </w:tcPr>
          <w:p>
            <w:pPr>
              <w:spacing w:line="440" w:lineRule="exact"/>
              <w:rPr>
                <w:rFonts w:ascii="宋体" w:hAnsi="宋体"/>
                <w:b/>
                <w:color w:val="000000" w:themeColor="text1"/>
                <w:szCs w:val="21"/>
                <w14:textFill>
                  <w14:solidFill>
                    <w14:schemeClr w14:val="tx1"/>
                  </w14:solidFill>
                </w14:textFill>
              </w:rPr>
            </w:pPr>
          </w:p>
        </w:tc>
        <w:tc>
          <w:tcPr>
            <w:tcW w:w="765" w:type="dxa"/>
          </w:tcPr>
          <w:p>
            <w:pPr>
              <w:spacing w:line="440" w:lineRule="exact"/>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tcPr>
          <w:p>
            <w:pPr>
              <w:spacing w:line="440" w:lineRule="exact"/>
              <w:rPr>
                <w:rFonts w:ascii="宋体" w:hAnsi="宋体"/>
                <w:b/>
                <w:color w:val="000000" w:themeColor="text1"/>
                <w:szCs w:val="21"/>
                <w14:textFill>
                  <w14:solidFill>
                    <w14:schemeClr w14:val="tx1"/>
                  </w14:solidFill>
                </w14:textFill>
              </w:rPr>
            </w:pPr>
          </w:p>
        </w:tc>
        <w:tc>
          <w:tcPr>
            <w:tcW w:w="970"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1134" w:type="dxa"/>
          </w:tcPr>
          <w:p>
            <w:pPr>
              <w:spacing w:line="440" w:lineRule="exact"/>
              <w:rPr>
                <w:rFonts w:ascii="宋体" w:hAnsi="宋体"/>
                <w:b/>
                <w:color w:val="000000" w:themeColor="text1"/>
                <w:szCs w:val="21"/>
                <w14:textFill>
                  <w14:solidFill>
                    <w14:schemeClr w14:val="tx1"/>
                  </w14:solidFill>
                </w14:textFill>
              </w:rPr>
            </w:pPr>
          </w:p>
        </w:tc>
        <w:tc>
          <w:tcPr>
            <w:tcW w:w="1276" w:type="dxa"/>
          </w:tcPr>
          <w:p>
            <w:pPr>
              <w:spacing w:line="440" w:lineRule="exact"/>
              <w:rPr>
                <w:rFonts w:ascii="宋体" w:hAnsi="宋体"/>
                <w:b/>
                <w:color w:val="000000" w:themeColor="text1"/>
                <w:szCs w:val="21"/>
                <w14:textFill>
                  <w14:solidFill>
                    <w14:schemeClr w14:val="tx1"/>
                  </w14:solidFill>
                </w14:textFill>
              </w:rPr>
            </w:pPr>
          </w:p>
        </w:tc>
        <w:tc>
          <w:tcPr>
            <w:tcW w:w="1015"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828" w:type="dxa"/>
          </w:tcPr>
          <w:p>
            <w:pPr>
              <w:spacing w:line="440" w:lineRule="exact"/>
              <w:rPr>
                <w:rFonts w:ascii="宋体" w:hAnsi="宋体"/>
                <w:b/>
                <w:color w:val="000000" w:themeColor="text1"/>
                <w:szCs w:val="21"/>
                <w14:textFill>
                  <w14:solidFill>
                    <w14:schemeClr w14:val="tx1"/>
                  </w14:solidFill>
                </w14:textFill>
              </w:rPr>
            </w:pPr>
          </w:p>
        </w:tc>
        <w:tc>
          <w:tcPr>
            <w:tcW w:w="765" w:type="dxa"/>
          </w:tcPr>
          <w:p>
            <w:pPr>
              <w:spacing w:line="440" w:lineRule="exact"/>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tcPr>
          <w:p>
            <w:pPr>
              <w:spacing w:line="440" w:lineRule="exact"/>
              <w:rPr>
                <w:rFonts w:ascii="宋体" w:hAnsi="宋体"/>
                <w:b/>
                <w:color w:val="000000" w:themeColor="text1"/>
                <w:szCs w:val="21"/>
                <w14:textFill>
                  <w14:solidFill>
                    <w14:schemeClr w14:val="tx1"/>
                  </w14:solidFill>
                </w14:textFill>
              </w:rPr>
            </w:pPr>
          </w:p>
        </w:tc>
        <w:tc>
          <w:tcPr>
            <w:tcW w:w="970"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1134" w:type="dxa"/>
          </w:tcPr>
          <w:p>
            <w:pPr>
              <w:spacing w:line="440" w:lineRule="exact"/>
              <w:rPr>
                <w:rFonts w:ascii="宋体" w:hAnsi="宋体"/>
                <w:b/>
                <w:color w:val="000000" w:themeColor="text1"/>
                <w:szCs w:val="21"/>
                <w14:textFill>
                  <w14:solidFill>
                    <w14:schemeClr w14:val="tx1"/>
                  </w14:solidFill>
                </w14:textFill>
              </w:rPr>
            </w:pPr>
          </w:p>
        </w:tc>
        <w:tc>
          <w:tcPr>
            <w:tcW w:w="1276" w:type="dxa"/>
          </w:tcPr>
          <w:p>
            <w:pPr>
              <w:spacing w:line="440" w:lineRule="exact"/>
              <w:rPr>
                <w:rFonts w:ascii="宋体" w:hAnsi="宋体"/>
                <w:b/>
                <w:color w:val="000000" w:themeColor="text1"/>
                <w:szCs w:val="21"/>
                <w14:textFill>
                  <w14:solidFill>
                    <w14:schemeClr w14:val="tx1"/>
                  </w14:solidFill>
                </w14:textFill>
              </w:rPr>
            </w:pPr>
          </w:p>
        </w:tc>
        <w:tc>
          <w:tcPr>
            <w:tcW w:w="1015"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828" w:type="dxa"/>
          </w:tcPr>
          <w:p>
            <w:pPr>
              <w:spacing w:line="440" w:lineRule="exact"/>
              <w:rPr>
                <w:rFonts w:ascii="宋体" w:hAnsi="宋体"/>
                <w:b/>
                <w:color w:val="000000" w:themeColor="text1"/>
                <w:szCs w:val="21"/>
                <w14:textFill>
                  <w14:solidFill>
                    <w14:schemeClr w14:val="tx1"/>
                  </w14:solidFill>
                </w14:textFill>
              </w:rPr>
            </w:pPr>
          </w:p>
        </w:tc>
        <w:tc>
          <w:tcPr>
            <w:tcW w:w="765" w:type="dxa"/>
          </w:tcPr>
          <w:p>
            <w:pPr>
              <w:spacing w:line="440" w:lineRule="exact"/>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tcPr>
          <w:p>
            <w:pPr>
              <w:spacing w:line="440" w:lineRule="exact"/>
              <w:rPr>
                <w:rFonts w:ascii="宋体" w:hAnsi="宋体"/>
                <w:b/>
                <w:color w:val="000000" w:themeColor="text1"/>
                <w:szCs w:val="21"/>
                <w14:textFill>
                  <w14:solidFill>
                    <w14:schemeClr w14:val="tx1"/>
                  </w14:solidFill>
                </w14:textFill>
              </w:rPr>
            </w:pPr>
          </w:p>
        </w:tc>
        <w:tc>
          <w:tcPr>
            <w:tcW w:w="970"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1134" w:type="dxa"/>
          </w:tcPr>
          <w:p>
            <w:pPr>
              <w:spacing w:line="440" w:lineRule="exact"/>
              <w:rPr>
                <w:rFonts w:ascii="宋体" w:hAnsi="宋体"/>
                <w:b/>
                <w:color w:val="000000" w:themeColor="text1"/>
                <w:szCs w:val="21"/>
                <w14:textFill>
                  <w14:solidFill>
                    <w14:schemeClr w14:val="tx1"/>
                  </w14:solidFill>
                </w14:textFill>
              </w:rPr>
            </w:pPr>
          </w:p>
        </w:tc>
        <w:tc>
          <w:tcPr>
            <w:tcW w:w="1276" w:type="dxa"/>
          </w:tcPr>
          <w:p>
            <w:pPr>
              <w:spacing w:line="440" w:lineRule="exact"/>
              <w:rPr>
                <w:rFonts w:ascii="宋体" w:hAnsi="宋体"/>
                <w:b/>
                <w:color w:val="000000" w:themeColor="text1"/>
                <w:szCs w:val="21"/>
                <w14:textFill>
                  <w14:solidFill>
                    <w14:schemeClr w14:val="tx1"/>
                  </w14:solidFill>
                </w14:textFill>
              </w:rPr>
            </w:pPr>
          </w:p>
        </w:tc>
        <w:tc>
          <w:tcPr>
            <w:tcW w:w="1015"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828" w:type="dxa"/>
          </w:tcPr>
          <w:p>
            <w:pPr>
              <w:spacing w:line="440" w:lineRule="exact"/>
              <w:rPr>
                <w:rFonts w:ascii="宋体" w:hAnsi="宋体"/>
                <w:b/>
                <w:color w:val="000000" w:themeColor="text1"/>
                <w:szCs w:val="21"/>
                <w14:textFill>
                  <w14:solidFill>
                    <w14:schemeClr w14:val="tx1"/>
                  </w14:solidFill>
                </w14:textFill>
              </w:rPr>
            </w:pPr>
          </w:p>
        </w:tc>
        <w:tc>
          <w:tcPr>
            <w:tcW w:w="765" w:type="dxa"/>
          </w:tcPr>
          <w:p>
            <w:pPr>
              <w:spacing w:line="440" w:lineRule="exact"/>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tcPr>
          <w:p>
            <w:pPr>
              <w:spacing w:line="440" w:lineRule="exact"/>
              <w:rPr>
                <w:rFonts w:ascii="宋体" w:hAnsi="宋体"/>
                <w:b/>
                <w:color w:val="000000" w:themeColor="text1"/>
                <w:szCs w:val="21"/>
                <w14:textFill>
                  <w14:solidFill>
                    <w14:schemeClr w14:val="tx1"/>
                  </w14:solidFill>
                </w14:textFill>
              </w:rPr>
            </w:pPr>
          </w:p>
        </w:tc>
        <w:tc>
          <w:tcPr>
            <w:tcW w:w="970"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1134" w:type="dxa"/>
          </w:tcPr>
          <w:p>
            <w:pPr>
              <w:spacing w:line="440" w:lineRule="exact"/>
              <w:rPr>
                <w:rFonts w:ascii="宋体" w:hAnsi="宋体"/>
                <w:b/>
                <w:color w:val="000000" w:themeColor="text1"/>
                <w:szCs w:val="21"/>
                <w14:textFill>
                  <w14:solidFill>
                    <w14:schemeClr w14:val="tx1"/>
                  </w14:solidFill>
                </w14:textFill>
              </w:rPr>
            </w:pPr>
          </w:p>
        </w:tc>
        <w:tc>
          <w:tcPr>
            <w:tcW w:w="1276" w:type="dxa"/>
          </w:tcPr>
          <w:p>
            <w:pPr>
              <w:spacing w:line="440" w:lineRule="exact"/>
              <w:rPr>
                <w:rFonts w:ascii="宋体" w:hAnsi="宋体"/>
                <w:b/>
                <w:color w:val="000000" w:themeColor="text1"/>
                <w:szCs w:val="21"/>
                <w14:textFill>
                  <w14:solidFill>
                    <w14:schemeClr w14:val="tx1"/>
                  </w14:solidFill>
                </w14:textFill>
              </w:rPr>
            </w:pPr>
          </w:p>
        </w:tc>
        <w:tc>
          <w:tcPr>
            <w:tcW w:w="1015" w:type="dxa"/>
          </w:tcPr>
          <w:p>
            <w:pPr>
              <w:spacing w:line="440" w:lineRule="exact"/>
              <w:rPr>
                <w:rFonts w:ascii="宋体" w:hAnsi="宋体"/>
                <w:b/>
                <w:color w:val="000000" w:themeColor="text1"/>
                <w:szCs w:val="21"/>
                <w14:textFill>
                  <w14:solidFill>
                    <w14:schemeClr w14:val="tx1"/>
                  </w14:solidFill>
                </w14:textFill>
              </w:rPr>
            </w:pPr>
          </w:p>
        </w:tc>
        <w:tc>
          <w:tcPr>
            <w:tcW w:w="708" w:type="dxa"/>
          </w:tcPr>
          <w:p>
            <w:pPr>
              <w:spacing w:line="440" w:lineRule="exact"/>
              <w:rPr>
                <w:rFonts w:ascii="宋体" w:hAnsi="宋体"/>
                <w:b/>
                <w:color w:val="000000" w:themeColor="text1"/>
                <w:szCs w:val="21"/>
                <w14:textFill>
                  <w14:solidFill>
                    <w14:schemeClr w14:val="tx1"/>
                  </w14:solidFill>
                </w14:textFill>
              </w:rPr>
            </w:pPr>
          </w:p>
        </w:tc>
        <w:tc>
          <w:tcPr>
            <w:tcW w:w="828" w:type="dxa"/>
          </w:tcPr>
          <w:p>
            <w:pPr>
              <w:spacing w:line="440" w:lineRule="exact"/>
              <w:rPr>
                <w:rFonts w:ascii="宋体" w:hAnsi="宋体"/>
                <w:b/>
                <w:color w:val="000000" w:themeColor="text1"/>
                <w:szCs w:val="21"/>
                <w14:textFill>
                  <w14:solidFill>
                    <w14:schemeClr w14:val="tx1"/>
                  </w14:solidFill>
                </w14:textFill>
              </w:rPr>
            </w:pPr>
          </w:p>
        </w:tc>
        <w:tc>
          <w:tcPr>
            <w:tcW w:w="765" w:type="dxa"/>
          </w:tcPr>
          <w:p>
            <w:pPr>
              <w:spacing w:line="440" w:lineRule="exact"/>
              <w:rPr>
                <w:rFonts w:ascii="宋体" w:hAnsi="宋体"/>
                <w:b/>
                <w:color w:val="000000" w:themeColor="text1"/>
                <w:szCs w:val="21"/>
                <w14:textFill>
                  <w14:solidFill>
                    <w14:schemeClr w14:val="tx1"/>
                  </w14:solidFill>
                </w14:textFill>
              </w:rPr>
            </w:pPr>
          </w:p>
        </w:tc>
      </w:tr>
    </w:tbl>
    <w:p>
      <w:pPr>
        <w:spacing w:line="4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（二）开标过程中的其他事项记录</w:t>
      </w:r>
    </w:p>
    <w:p>
      <w:pPr>
        <w:spacing w:line="400" w:lineRule="exact"/>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p>
    <w:p>
      <w:pPr>
        <w:spacing w:line="400" w:lineRule="exact"/>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p>
    <w:p>
      <w:pPr>
        <w:spacing w:line="400" w:lineRule="exact"/>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p>
    <w:p>
      <w:pPr>
        <w:spacing w:line="400" w:lineRule="exac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（三）出席开标会的单位和人员（附签到表）</w:t>
      </w:r>
    </w:p>
    <w:p>
      <w:pPr>
        <w:spacing w:line="400" w:lineRule="exact"/>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p>
    <w:p>
      <w:pPr>
        <w:spacing w:line="400" w:lineRule="exact"/>
        <w:rPr>
          <w:rFonts w:ascii="宋体" w:hAnsi="宋体"/>
          <w:b/>
          <w:color w:val="000000" w:themeColor="text1"/>
          <w:sz w:val="24"/>
          <w:u w:val="single"/>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招标人代表：</w:t>
      </w:r>
      <w:r>
        <w:rPr>
          <w:rFonts w:hint="eastAsia" w:ascii="宋体" w:hAnsi="宋体"/>
          <w:color w:val="000000" w:themeColor="text1"/>
          <w:sz w:val="24"/>
          <w:u w:val="single"/>
          <w14:textFill>
            <w14:solidFill>
              <w14:schemeClr w14:val="tx1"/>
            </w14:solidFill>
          </w14:textFill>
        </w:rPr>
        <w:t>　　　　</w:t>
      </w:r>
      <w:r>
        <w:rPr>
          <w:rFonts w:ascii="宋体" w:hAnsi="宋体"/>
          <w:color w:val="000000" w:themeColor="text1"/>
          <w:sz w:val="24"/>
          <w14:textFill>
            <w14:solidFill>
              <w14:schemeClr w14:val="tx1"/>
            </w14:solidFill>
          </w14:textFill>
        </w:rPr>
        <w:t xml:space="preserve">  招标代理：</w:t>
      </w:r>
      <w:r>
        <w:rPr>
          <w:rFonts w:hint="eastAsia" w:ascii="宋体" w:hAnsi="宋体"/>
          <w:color w:val="000000" w:themeColor="text1"/>
          <w:sz w:val="24"/>
          <w:u w:val="single"/>
          <w14:textFill>
            <w14:solidFill>
              <w14:schemeClr w14:val="tx1"/>
            </w14:solidFill>
          </w14:textFill>
        </w:rPr>
        <w:t>　　　　</w:t>
      </w:r>
      <w:r>
        <w:rPr>
          <w:rFonts w:ascii="宋体" w:hAnsi="宋体"/>
          <w:color w:val="000000" w:themeColor="text1"/>
          <w:sz w:val="24"/>
          <w14:textFill>
            <w14:solidFill>
              <w14:schemeClr w14:val="tx1"/>
            </w14:solidFill>
          </w14:textFill>
        </w:rPr>
        <w:t xml:space="preserve">  监督人：</w:t>
      </w:r>
      <w:r>
        <w:rPr>
          <w:rFonts w:hint="eastAsia" w:ascii="宋体" w:hAnsi="宋体"/>
          <w:color w:val="000000" w:themeColor="text1"/>
          <w:sz w:val="24"/>
          <w:u w:val="single"/>
          <w14:textFill>
            <w14:solidFill>
              <w14:schemeClr w14:val="tx1"/>
            </w14:solidFill>
          </w14:textFill>
        </w:rPr>
        <w:t>　　　　</w:t>
      </w:r>
    </w:p>
    <w:p>
      <w:pPr>
        <w:spacing w:line="400" w:lineRule="exact"/>
        <w:rPr>
          <w:rFonts w:ascii="宋体" w:hAnsi="宋体"/>
          <w:color w:val="000000" w:themeColor="text1"/>
          <w:sz w:val="24"/>
          <w14:textFill>
            <w14:solidFill>
              <w14:schemeClr w14:val="tx1"/>
            </w14:solidFill>
          </w14:textFill>
        </w:rPr>
      </w:pPr>
    </w:p>
    <w:p>
      <w:pPr>
        <w:spacing w:line="400" w:lineRule="exact"/>
        <w:ind w:right="480" w:firstLine="720" w:firstLineChars="3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日</w:t>
      </w:r>
    </w:p>
    <w:p>
      <w:pPr>
        <w:spacing w:line="360" w:lineRule="auto"/>
        <w:rPr>
          <w:rFonts w:ascii="宋体" w:hAnsi="宋体"/>
          <w:b/>
          <w:color w:val="000000" w:themeColor="text1"/>
          <w14:textFill>
            <w14:solidFill>
              <w14:schemeClr w14:val="tx1"/>
            </w14:solidFill>
          </w14:textFill>
        </w:rPr>
      </w:pPr>
    </w:p>
    <w:p>
      <w:pPr>
        <w:spacing w:after="120" w:afterLines="50"/>
        <w:jc w:val="center"/>
        <w:rPr>
          <w:rFonts w:ascii="宋体" w:hAnsi="宋体"/>
          <w:b/>
          <w:color w:val="000000" w:themeColor="text1"/>
          <w14:textFill>
            <w14:solidFill>
              <w14:schemeClr w14:val="tx1"/>
            </w14:solidFill>
          </w14:textFill>
        </w:rPr>
      </w:pPr>
    </w:p>
    <w:p>
      <w:pPr>
        <w:spacing w:after="120" w:afterLines="50"/>
        <w:jc w:val="center"/>
        <w:rPr>
          <w:rFonts w:ascii="宋体" w:hAnsi="宋体"/>
          <w:b/>
          <w:color w:val="000000" w:themeColor="text1"/>
          <w14:textFill>
            <w14:solidFill>
              <w14:schemeClr w14:val="tx1"/>
            </w14:solidFill>
          </w14:textFill>
        </w:rPr>
      </w:pPr>
    </w:p>
    <w:p>
      <w:pPr>
        <w:spacing w:after="120" w:afterLines="50"/>
        <w:jc w:val="center"/>
        <w:rPr>
          <w:rFonts w:ascii="宋体" w:hAnsi="宋体"/>
          <w:b/>
          <w:color w:val="000000" w:themeColor="text1"/>
          <w14:textFill>
            <w14:solidFill>
              <w14:schemeClr w14:val="tx1"/>
            </w14:solidFill>
          </w14:textFill>
        </w:rPr>
      </w:pPr>
    </w:p>
    <w:p>
      <w:pPr>
        <w:widowControl/>
        <w:jc w:val="left"/>
        <w:rPr>
          <w:rFonts w:ascii="宋体" w:hAnsi="宋体"/>
          <w:b/>
          <w:color w:val="000000" w:themeColor="text1"/>
          <w:sz w:val="28"/>
          <w:szCs w:val="28"/>
          <w14:textFill>
            <w14:solidFill>
              <w14:schemeClr w14:val="tx1"/>
            </w14:solidFill>
          </w14:textFill>
        </w:rPr>
      </w:pPr>
      <w:bookmarkStart w:id="425" w:name="_Toc60323167"/>
      <w:bookmarkStart w:id="426" w:name="_Toc437204232"/>
      <w:bookmarkStart w:id="427" w:name="_Toc416969755"/>
      <w:bookmarkStart w:id="428" w:name="_Toc38031571"/>
      <w:bookmarkStart w:id="429" w:name="_Toc38462884"/>
      <w:bookmarkStart w:id="430" w:name="_Toc529797934"/>
      <w:r>
        <w:rPr>
          <w:rFonts w:ascii="宋体" w:hAnsi="宋体"/>
          <w:bCs/>
          <w:color w:val="000000" w:themeColor="text1"/>
          <w:sz w:val="28"/>
          <w:szCs w:val="28"/>
          <w14:textFill>
            <w14:solidFill>
              <w14:schemeClr w14:val="tx1"/>
            </w14:solidFill>
          </w14:textFill>
        </w:rPr>
        <w:br w:type="page"/>
      </w:r>
    </w:p>
    <w:p>
      <w:pPr>
        <w:pStyle w:val="6"/>
        <w:numPr>
          <w:ilvl w:val="2"/>
          <w:numId w:val="0"/>
        </w:numPr>
        <w:ind w:left="720" w:hanging="720"/>
        <w:jc w:val="left"/>
        <w:rPr>
          <w:rFonts w:ascii="宋体" w:hAnsi="宋体"/>
          <w:bCs w:val="0"/>
          <w:color w:val="000000" w:themeColor="text1"/>
          <w:sz w:val="28"/>
          <w:szCs w:val="28"/>
          <w14:textFill>
            <w14:solidFill>
              <w14:schemeClr w14:val="tx1"/>
            </w14:solidFill>
          </w14:textFill>
        </w:rPr>
      </w:pPr>
      <w:bookmarkStart w:id="431" w:name="_Toc136956338"/>
      <w:r>
        <w:rPr>
          <w:rFonts w:hint="eastAsia" w:ascii="宋体" w:hAnsi="宋体"/>
          <w:bCs w:val="0"/>
          <w:color w:val="000000" w:themeColor="text1"/>
          <w:sz w:val="28"/>
          <w:szCs w:val="28"/>
          <w14:textFill>
            <w14:solidFill>
              <w14:schemeClr w14:val="tx1"/>
            </w14:solidFill>
          </w14:textFill>
        </w:rPr>
        <w:t>附表二：问题澄清通知</w:t>
      </w:r>
      <w:bookmarkEnd w:id="425"/>
      <w:bookmarkEnd w:id="426"/>
      <w:bookmarkEnd w:id="427"/>
      <w:bookmarkEnd w:id="428"/>
      <w:bookmarkEnd w:id="429"/>
      <w:bookmarkEnd w:id="430"/>
      <w:bookmarkEnd w:id="431"/>
    </w:p>
    <w:p>
      <w:pP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问题澄清通知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编号：</w:t>
      </w:r>
    </w:p>
    <w:p>
      <w:pPr>
        <w:spacing w:line="360" w:lineRule="auto"/>
        <w:rPr>
          <w:rFonts w:ascii="宋体" w:hAnsi="宋体"/>
          <w:color w:val="000000" w:themeColor="text1"/>
          <w:sz w:val="24"/>
          <w:u w:val="single"/>
          <w14:textFill>
            <w14:solidFill>
              <w14:schemeClr w14:val="tx1"/>
            </w14:solidFill>
          </w14:textFill>
        </w:rPr>
      </w:pP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p>
    <w:p>
      <w:pPr>
        <w:spacing w:line="360" w:lineRule="auto"/>
        <w:ind w:firstLine="482" w:firstLineChars="200"/>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（项目名称）招标的评标委员会，对你方的投标文件进行了仔细的审查，现需你方对下列问题以书面形式予以澄清：</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请将上述问题的澄清于</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时前递交至</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（详细地址）或传真至</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（传真号码）。采用传真方式的，应在年月日时前将原件递交至</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（详细地址）。</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评标委员会负责人：（签字）</w:t>
      </w:r>
    </w:p>
    <w:p>
      <w:pPr>
        <w:spacing w:line="360" w:lineRule="auto"/>
        <w:rPr>
          <w:rFonts w:ascii="宋体" w:hAnsi="宋体"/>
          <w:color w:val="000000" w:themeColor="text1"/>
          <w:sz w:val="24"/>
          <w:u w:val="single"/>
          <w14:textFill>
            <w14:solidFill>
              <w14:schemeClr w14:val="tx1"/>
            </w14:solidFill>
          </w14:textFill>
        </w:rPr>
      </w:pPr>
    </w:p>
    <w:p>
      <w:pPr>
        <w:wordWrap w:val="0"/>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rPr>
          <w:rFonts w:ascii="宋体" w:hAnsi="宋体"/>
          <w:b/>
          <w:color w:val="000000" w:themeColor="text1"/>
          <w14:textFill>
            <w14:solidFill>
              <w14:schemeClr w14:val="tx1"/>
            </w14:solidFill>
          </w14:textFill>
        </w:rPr>
        <w:sectPr>
          <w:type w:val="nextColumn"/>
          <w:pgSz w:w="11907" w:h="16840"/>
          <w:pgMar w:top="1304" w:right="1304" w:bottom="1304" w:left="1304" w:header="851" w:footer="992" w:gutter="0"/>
          <w:pgNumType w:fmt="numberInDash"/>
          <w:cols w:space="720" w:num="1"/>
          <w:docGrid w:linePitch="312" w:charSpace="0"/>
        </w:sectPr>
      </w:pPr>
    </w:p>
    <w:p>
      <w:pPr>
        <w:pStyle w:val="6"/>
        <w:numPr>
          <w:ilvl w:val="2"/>
          <w:numId w:val="0"/>
        </w:numPr>
        <w:ind w:left="720" w:hanging="720"/>
        <w:jc w:val="left"/>
        <w:rPr>
          <w:rFonts w:ascii="宋体" w:hAnsi="宋体"/>
          <w:bCs w:val="0"/>
          <w:color w:val="000000" w:themeColor="text1"/>
          <w:sz w:val="28"/>
          <w:szCs w:val="28"/>
          <w14:textFill>
            <w14:solidFill>
              <w14:schemeClr w14:val="tx1"/>
            </w14:solidFill>
          </w14:textFill>
        </w:rPr>
      </w:pPr>
      <w:bookmarkStart w:id="432" w:name="_Toc60323168"/>
      <w:bookmarkStart w:id="433" w:name="_Toc529797935"/>
      <w:bookmarkStart w:id="434" w:name="_Toc38462885"/>
      <w:bookmarkStart w:id="435" w:name="_Toc38031572"/>
      <w:bookmarkStart w:id="436" w:name="_Toc437204233"/>
      <w:bookmarkStart w:id="437" w:name="_Toc416969756"/>
      <w:bookmarkStart w:id="438" w:name="_Toc136956339"/>
      <w:r>
        <w:rPr>
          <w:rFonts w:hint="eastAsia" w:ascii="宋体" w:hAnsi="宋体"/>
          <w:bCs w:val="0"/>
          <w:color w:val="000000" w:themeColor="text1"/>
          <w:sz w:val="28"/>
          <w:szCs w:val="28"/>
          <w14:textFill>
            <w14:solidFill>
              <w14:schemeClr w14:val="tx1"/>
            </w14:solidFill>
          </w14:textFill>
        </w:rPr>
        <w:t>附表三：问题的澄清</w:t>
      </w:r>
      <w:bookmarkEnd w:id="432"/>
      <w:bookmarkEnd w:id="433"/>
      <w:bookmarkEnd w:id="434"/>
      <w:bookmarkEnd w:id="435"/>
      <w:bookmarkEnd w:id="436"/>
      <w:bookmarkEnd w:id="437"/>
      <w:bookmarkEnd w:id="438"/>
    </w:p>
    <w:p>
      <w:pP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问题的澄清、说明或补正</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编号：</w:t>
      </w:r>
    </w:p>
    <w:p>
      <w:pPr>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(项目名称）招标评标委员会：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问题澄清通知（编号：</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已收悉，现澄清如下：</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投标人：（盖单位章）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法定代表人或其委托代理人：（签字）</w:t>
      </w:r>
    </w:p>
    <w:p>
      <w:pPr>
        <w:spacing w:line="360" w:lineRule="auto"/>
        <w:rPr>
          <w:rFonts w:ascii="宋体" w:hAnsi="宋体"/>
          <w:color w:val="000000" w:themeColor="text1"/>
          <w:sz w:val="24"/>
          <w:u w:val="single"/>
          <w14:textFill>
            <w14:solidFill>
              <w14:schemeClr w14:val="tx1"/>
            </w14:solidFill>
          </w14:textFill>
        </w:rPr>
      </w:pPr>
    </w:p>
    <w:p>
      <w:pPr>
        <w:wordWrap w:val="0"/>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rPr>
          <w:rFonts w:ascii="宋体" w:hAnsi="宋体"/>
          <w:b/>
          <w:color w:val="000000" w:themeColor="text1"/>
          <w14:textFill>
            <w14:solidFill>
              <w14:schemeClr w14:val="tx1"/>
            </w14:solidFill>
          </w14:textFill>
        </w:rPr>
        <w:sectPr>
          <w:type w:val="nextColumn"/>
          <w:pgSz w:w="11907" w:h="16840"/>
          <w:pgMar w:top="1304" w:right="1304" w:bottom="1304" w:left="1304" w:header="851" w:footer="992" w:gutter="0"/>
          <w:pgNumType w:fmt="numberInDash"/>
          <w:cols w:space="720" w:num="1"/>
          <w:docGrid w:linePitch="312" w:charSpace="0"/>
        </w:sectPr>
      </w:pPr>
    </w:p>
    <w:p>
      <w:pPr>
        <w:pStyle w:val="6"/>
        <w:numPr>
          <w:ilvl w:val="2"/>
          <w:numId w:val="0"/>
        </w:numPr>
        <w:ind w:left="720" w:hanging="720"/>
        <w:jc w:val="left"/>
        <w:rPr>
          <w:rFonts w:ascii="宋体" w:hAnsi="宋体"/>
          <w:bCs w:val="0"/>
          <w:color w:val="000000" w:themeColor="text1"/>
          <w:sz w:val="28"/>
          <w:szCs w:val="28"/>
          <w14:textFill>
            <w14:solidFill>
              <w14:schemeClr w14:val="tx1"/>
            </w14:solidFill>
          </w14:textFill>
        </w:rPr>
      </w:pPr>
      <w:bookmarkStart w:id="439" w:name="_Toc437204234"/>
      <w:bookmarkStart w:id="440" w:name="_Toc136956340"/>
      <w:bookmarkStart w:id="441" w:name="_Toc60323169"/>
      <w:bookmarkStart w:id="442" w:name="_Toc38462886"/>
      <w:bookmarkStart w:id="443" w:name="_Toc529797936"/>
      <w:bookmarkStart w:id="444" w:name="_Toc38031573"/>
      <w:bookmarkStart w:id="445" w:name="_Toc416969757"/>
      <w:r>
        <w:rPr>
          <w:rFonts w:hint="eastAsia" w:ascii="宋体" w:hAnsi="宋体"/>
          <w:bCs w:val="0"/>
          <w:color w:val="000000" w:themeColor="text1"/>
          <w:sz w:val="28"/>
          <w:szCs w:val="28"/>
          <w14:textFill>
            <w14:solidFill>
              <w14:schemeClr w14:val="tx1"/>
            </w14:solidFill>
          </w14:textFill>
        </w:rPr>
        <w:t>附表四：中标通知书</w:t>
      </w:r>
      <w:bookmarkEnd w:id="439"/>
      <w:bookmarkEnd w:id="440"/>
      <w:bookmarkEnd w:id="441"/>
      <w:bookmarkEnd w:id="442"/>
      <w:bookmarkEnd w:id="443"/>
      <w:bookmarkEnd w:id="444"/>
      <w:bookmarkEnd w:id="445"/>
    </w:p>
    <w:p>
      <w:pP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中标通知书</w:t>
      </w:r>
    </w:p>
    <w:p>
      <w:pPr>
        <w:rPr>
          <w:rFonts w:ascii="宋体" w:hAnsi="宋体"/>
          <w:b/>
          <w:color w:val="000000" w:themeColor="text1"/>
          <w:szCs w:val="28"/>
          <w:u w:val="single"/>
          <w14:textFill>
            <w14:solidFill>
              <w14:schemeClr w14:val="tx1"/>
            </w14:solidFill>
          </w14:textFill>
        </w:rPr>
      </w:pPr>
    </w:p>
    <w:p>
      <w:pPr>
        <w:spacing w:line="360" w:lineRule="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（中标人名称）：</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p>
    <w:p>
      <w:pPr>
        <w:spacing w:line="360" w:lineRule="auto"/>
        <w:rPr>
          <w:rFonts w:ascii="宋体" w:hAnsi="宋体"/>
          <w:b/>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你方于</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（投标日期）所递交的</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（项目名称）投标文件已被我方接受，被确定为中标人。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工程设计部分报价：</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工程施工部分报价：</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工期承诺：</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质量承诺：</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设计负责人（道路工程）：</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施工负责人（项目经理）（市政公用工程）</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施工技术负责人</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请你方在接到本通知书后的</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日内到</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（指定地点）与我方签订合同，在此之前应按招标文件第二章“投标人须知”第</w:t>
      </w:r>
      <w:r>
        <w:rPr>
          <w:rFonts w:ascii="宋体" w:hAnsi="宋体"/>
          <w:color w:val="000000" w:themeColor="text1"/>
          <w:sz w:val="24"/>
          <w14:textFill>
            <w14:solidFill>
              <w14:schemeClr w14:val="tx1"/>
            </w14:solidFill>
          </w14:textFill>
        </w:rPr>
        <w:t>7.3款规定向我方提交履约担保。</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特此通知。</w:t>
      </w:r>
    </w:p>
    <w:p>
      <w:pPr>
        <w:pStyle w:val="2"/>
        <w:ind w:left="420" w:firstLine="480"/>
        <w:rPr>
          <w:rFonts w:ascii="宋体" w:hAnsi="宋体"/>
          <w:color w:val="000000" w:themeColor="text1"/>
          <w:sz w:val="24"/>
          <w14:textFill>
            <w14:solidFill>
              <w14:schemeClr w14:val="tx1"/>
            </w14:solidFill>
          </w14:textFill>
        </w:rPr>
      </w:pPr>
    </w:p>
    <w:p>
      <w:pPr>
        <w:pStyle w:val="2"/>
        <w:ind w:left="420" w:firstLine="480"/>
        <w:rPr>
          <w:rFonts w:ascii="宋体" w:hAnsi="宋体"/>
          <w:color w:val="000000" w:themeColor="text1"/>
          <w:sz w:val="24"/>
          <w14:textFill>
            <w14:solidFill>
              <w14:schemeClr w14:val="tx1"/>
            </w14:solidFill>
          </w14:textFill>
        </w:rPr>
      </w:pPr>
    </w:p>
    <w:p>
      <w:pPr>
        <w:pStyle w:val="2"/>
        <w:ind w:left="420" w:firstLine="48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right="12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招标人：</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（盖单位章）</w:t>
      </w:r>
    </w:p>
    <w:p>
      <w:pPr>
        <w:spacing w:line="360" w:lineRule="auto"/>
        <w:ind w:right="33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p>
    <w:p>
      <w:pPr>
        <w:spacing w:line="360" w:lineRule="auto"/>
        <w:ind w:right="90"/>
        <w:jc w:val="righ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招标代理机构：</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（盖单位章）</w:t>
      </w:r>
    </w:p>
    <w:p>
      <w:pPr>
        <w:wordWrap w:val="0"/>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right="315"/>
        <w:jc w:val="right"/>
        <w:rPr>
          <w:rFonts w:ascii="宋体" w:hAnsi="宋体"/>
          <w:b/>
          <w:color w:val="000000" w:themeColor="text1"/>
          <w:sz w:val="24"/>
          <w14:textFill>
            <w14:solidFill>
              <w14:schemeClr w14:val="tx1"/>
            </w14:solidFill>
          </w14:textFill>
        </w:rPr>
      </w:pPr>
    </w:p>
    <w:p>
      <w:pPr>
        <w:pStyle w:val="2"/>
        <w:ind w:left="420" w:firstLine="482"/>
        <w:rPr>
          <w:rFonts w:ascii="宋体" w:hAnsi="宋体"/>
          <w:b/>
          <w:color w:val="000000" w:themeColor="text1"/>
          <w:sz w:val="24"/>
          <w14:textFill>
            <w14:solidFill>
              <w14:schemeClr w14:val="tx1"/>
            </w14:solidFill>
          </w14:textFill>
        </w:rPr>
      </w:pPr>
    </w:p>
    <w:p>
      <w:pPr>
        <w:pStyle w:val="2"/>
        <w:ind w:left="420" w:firstLine="482"/>
        <w:rPr>
          <w:rFonts w:ascii="宋体" w:hAnsi="宋体"/>
          <w:b/>
          <w:color w:val="000000" w:themeColor="text1"/>
          <w:sz w:val="24"/>
          <w14:textFill>
            <w14:solidFill>
              <w14:schemeClr w14:val="tx1"/>
            </w14:solidFill>
          </w14:textFill>
        </w:rPr>
      </w:pPr>
    </w:p>
    <w:p>
      <w:pPr>
        <w:pStyle w:val="2"/>
        <w:ind w:left="420" w:firstLine="482"/>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bookmarkStart w:id="446" w:name="_Toc38462887"/>
      <w:bookmarkStart w:id="447" w:name="_Toc60323170"/>
      <w:bookmarkStart w:id="448" w:name="_Toc38031574"/>
      <w:bookmarkStart w:id="449" w:name="_Toc529797937"/>
      <w:r>
        <w:rPr>
          <w:rFonts w:hint="eastAsia" w:ascii="宋体" w:hAnsi="宋体"/>
          <w:b/>
          <w:color w:val="000000" w:themeColor="text1"/>
          <w:sz w:val="28"/>
          <w:szCs w:val="28"/>
          <w14:textFill>
            <w14:solidFill>
              <w14:schemeClr w14:val="tx1"/>
            </w14:solidFill>
          </w14:textFill>
        </w:rPr>
        <w:t>附表五：</w:t>
      </w:r>
      <w:bookmarkEnd w:id="418"/>
      <w:bookmarkEnd w:id="419"/>
      <w:bookmarkEnd w:id="420"/>
      <w:bookmarkEnd w:id="421"/>
      <w:bookmarkEnd w:id="422"/>
      <w:bookmarkEnd w:id="423"/>
      <w:bookmarkStart w:id="450" w:name="_Toc411369704"/>
      <w:bookmarkStart w:id="451" w:name="_Toc366144086"/>
      <w:bookmarkStart w:id="452" w:name="_Toc152042360"/>
      <w:bookmarkStart w:id="453" w:name="_Toc247514007"/>
      <w:bookmarkStart w:id="454" w:name="_Toc247527608"/>
      <w:bookmarkStart w:id="455" w:name="_Toc144974550"/>
      <w:bookmarkStart w:id="456" w:name="_Toc152045583"/>
      <w:r>
        <w:rPr>
          <w:rFonts w:hint="eastAsia" w:ascii="宋体" w:hAnsi="宋体"/>
          <w:b/>
          <w:color w:val="000000" w:themeColor="text1"/>
          <w:sz w:val="28"/>
          <w:szCs w:val="28"/>
          <w14:textFill>
            <w14:solidFill>
              <w14:schemeClr w14:val="tx1"/>
            </w14:solidFill>
          </w14:textFill>
        </w:rPr>
        <w:t>电子投标文件编制及报送要求</w:t>
      </w:r>
      <w:bookmarkEnd w:id="446"/>
      <w:bookmarkEnd w:id="447"/>
      <w:bookmarkEnd w:id="448"/>
      <w:bookmarkEnd w:id="449"/>
      <w:bookmarkEnd w:id="450"/>
      <w:bookmarkEnd w:id="451"/>
    </w:p>
    <w:p>
      <w:pPr>
        <w:rPr>
          <w:rFonts w:ascii="宋体" w:hAnsi="宋体"/>
          <w:b/>
          <w:color w:val="000000" w:themeColor="text1"/>
          <w14:textFill>
            <w14:solidFill>
              <w14:schemeClr w14:val="tx1"/>
            </w14:solidFill>
          </w14:textFill>
        </w:rPr>
      </w:pPr>
    </w:p>
    <w:p>
      <w:pPr>
        <w:spacing w:line="360" w:lineRule="auto"/>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电子投标文件编制及报送要求</w:t>
      </w:r>
    </w:p>
    <w:p>
      <w:pPr>
        <w:spacing w:line="360" w:lineRule="auto"/>
        <w:ind w:firstLine="480" w:firstLineChars="200"/>
        <w:rPr>
          <w:rFonts w:ascii="宋体" w:cs="黑体"/>
          <w:color w:val="000000" w:themeColor="text1"/>
          <w:sz w:val="24"/>
          <w14:textFill>
            <w14:solidFill>
              <w14:schemeClr w14:val="tx1"/>
            </w14:solidFill>
          </w14:textFill>
        </w:rPr>
      </w:pPr>
      <w:r>
        <w:rPr>
          <w:rFonts w:hint="eastAsia" w:ascii="宋体" w:cs="黑体"/>
          <w:color w:val="000000" w:themeColor="text1"/>
          <w:sz w:val="24"/>
          <w14:textFill>
            <w14:solidFill>
              <w14:schemeClr w14:val="tx1"/>
            </w14:solidFill>
          </w14:textFill>
        </w:rPr>
        <w:t>1、电子投标文件的制作必须使用《云南省工程建设模块化投标文件编制系统》，生成电子签名的技术标投标文件，格式为*.BTBJ（此文件必须网上递交）。</w:t>
      </w:r>
    </w:p>
    <w:p>
      <w:pPr>
        <w:spacing w:line="360" w:lineRule="auto"/>
        <w:ind w:firstLine="480" w:firstLineChars="200"/>
        <w:rPr>
          <w:rFonts w:ascii="宋体" w:cs="黑体"/>
          <w:color w:val="000000" w:themeColor="text1"/>
          <w:sz w:val="24"/>
          <w14:textFill>
            <w14:solidFill>
              <w14:schemeClr w14:val="tx1"/>
            </w14:solidFill>
          </w14:textFill>
        </w:rPr>
      </w:pPr>
      <w:r>
        <w:rPr>
          <w:rFonts w:hint="eastAsia" w:ascii="宋体" w:cs="黑体"/>
          <w:color w:val="000000" w:themeColor="text1"/>
          <w:sz w:val="24"/>
          <w14:textFill>
            <w14:solidFill>
              <w14:schemeClr w14:val="tx1"/>
            </w14:solidFill>
          </w14:textFill>
        </w:rPr>
        <w:t>2、《云南省工程建设模块化投标文件编制系统》提供数字证书（CA）对投标文件进行加密功能。投标人对网上递交的投标文件应加密。如果投标人使用某个数字证书（CA）对投标文件进行了数字证书（CA）加密，需要在开标会上使用该数字证书（CA）进行解密，才能读取和导入投标文件，因投标人原因造成投标文件未解密的，视为撤回其投标文件。</w:t>
      </w:r>
    </w:p>
    <w:p>
      <w:pPr>
        <w:spacing w:line="360" w:lineRule="auto"/>
        <w:ind w:firstLine="480" w:firstLineChars="200"/>
        <w:rPr>
          <w:rFonts w:ascii="宋体" w:cs="黑体"/>
          <w:color w:val="000000" w:themeColor="text1"/>
          <w:sz w:val="24"/>
          <w14:textFill>
            <w14:solidFill>
              <w14:schemeClr w14:val="tx1"/>
            </w14:solidFill>
          </w14:textFill>
        </w:rPr>
      </w:pPr>
      <w:r>
        <w:rPr>
          <w:rFonts w:hint="eastAsia" w:ascii="宋体" w:cs="黑体"/>
          <w:color w:val="000000" w:themeColor="text1"/>
          <w:sz w:val="24"/>
          <w14:textFill>
            <w14:solidFill>
              <w14:schemeClr w14:val="tx1"/>
            </w14:solidFill>
          </w14:textFill>
        </w:rPr>
        <w:t>3、网上递交投标文件应根据招标文件要求，在投标截止时间前将电子投标文件通过网上上传指定的开标项目，并打印“上传投标文件回执”，以表明上传成功。</w:t>
      </w:r>
    </w:p>
    <w:p>
      <w:pPr>
        <w:spacing w:line="360" w:lineRule="auto"/>
        <w:ind w:firstLine="480" w:firstLineChars="200"/>
        <w:rPr>
          <w:rFonts w:ascii="宋体" w:cs="黑体"/>
          <w:color w:val="000000" w:themeColor="text1"/>
          <w:sz w:val="24"/>
          <w14:textFill>
            <w14:solidFill>
              <w14:schemeClr w14:val="tx1"/>
            </w14:solidFill>
          </w14:textFill>
        </w:rPr>
      </w:pPr>
      <w:r>
        <w:rPr>
          <w:rFonts w:hint="eastAsia" w:ascii="宋体" w:cs="黑体"/>
          <w:color w:val="000000" w:themeColor="text1"/>
          <w:sz w:val="24"/>
          <w14:textFill>
            <w14:solidFill>
              <w14:schemeClr w14:val="tx1"/>
            </w14:solidFill>
          </w14:textFill>
        </w:rPr>
        <w:t>4、投标人投标时，须按本附件“电子投标文件编制及报送要求”规定编制及网上递交电子投标文件。</w:t>
      </w:r>
    </w:p>
    <w:p>
      <w:pPr>
        <w:spacing w:line="360" w:lineRule="auto"/>
        <w:ind w:firstLine="480" w:firstLineChars="200"/>
        <w:rPr>
          <w:rFonts w:ascii="宋体" w:cs="黑体"/>
          <w:color w:val="000000" w:themeColor="text1"/>
          <w:sz w:val="24"/>
          <w14:textFill>
            <w14:solidFill>
              <w14:schemeClr w14:val="tx1"/>
            </w14:solidFill>
          </w14:textFill>
        </w:rPr>
      </w:pPr>
      <w:r>
        <w:rPr>
          <w:rFonts w:hint="eastAsia" w:ascii="宋体" w:cs="黑体"/>
          <w:color w:val="000000" w:themeColor="text1"/>
          <w:sz w:val="24"/>
          <w14:textFill>
            <w14:solidFill>
              <w14:schemeClr w14:val="tx1"/>
            </w14:solidFill>
          </w14:textFill>
        </w:rPr>
        <w:t>5、该投标文件制作及报送要求如果与招标文件规定不一致，以此投标文件制作及报送要求为准。</w:t>
      </w:r>
    </w:p>
    <w:p>
      <w:pPr>
        <w:spacing w:line="360" w:lineRule="auto"/>
        <w:ind w:firstLine="480" w:firstLineChars="200"/>
        <w:rPr>
          <w:rFonts w:ascii="宋体" w:cs="黑体"/>
          <w:color w:val="000000" w:themeColor="text1"/>
          <w:sz w:val="24"/>
          <w14:textFill>
            <w14:solidFill>
              <w14:schemeClr w14:val="tx1"/>
            </w14:solidFill>
          </w14:textFill>
        </w:rPr>
      </w:pPr>
      <w:r>
        <w:rPr>
          <w:rFonts w:hint="eastAsia" w:ascii="宋体" w:cs="黑体"/>
          <w:color w:val="000000" w:themeColor="text1"/>
          <w:sz w:val="24"/>
          <w14:textFill>
            <w14:solidFill>
              <w14:schemeClr w14:val="tx1"/>
            </w14:solidFill>
          </w14:textFill>
        </w:rPr>
        <w:t>6、在编制技术标投标文件时，粘贴图片使用JPG格式的文件，并且每张图片的分辩率应小于100dpi，最终的每份标书文件所占用的磁盘空间必须小于100M。</w:t>
      </w:r>
    </w:p>
    <w:p>
      <w:pPr>
        <w:pStyle w:val="872"/>
        <w:spacing w:line="360" w:lineRule="auto"/>
        <w:ind w:firstLine="480" w:firstLineChars="200"/>
        <w:jc w:val="both"/>
        <w:rPr>
          <w:color w:val="000000" w:themeColor="text1"/>
          <w:sz w:val="24"/>
          <w:szCs w:val="24"/>
          <w14:textFill>
            <w14:solidFill>
              <w14:schemeClr w14:val="tx1"/>
            </w14:solidFill>
          </w14:textFill>
        </w:rPr>
      </w:pPr>
      <w:r>
        <w:rPr>
          <w:rFonts w:hint="eastAsia" w:cs="黑体"/>
          <w:color w:val="000000" w:themeColor="text1"/>
          <w:sz w:val="24"/>
          <w:szCs w:val="24"/>
          <w14:textFill>
            <w14:solidFill>
              <w14:schemeClr w14:val="tx1"/>
            </w14:solidFill>
          </w14:textFill>
        </w:rPr>
        <w:t>注：不同单位的投标文件若芯片序列号、硬盘序列号、网卡序列号一致，视为由同一台电脑编制！</w:t>
      </w:r>
    </w:p>
    <w:p>
      <w:pPr>
        <w:pStyle w:val="872"/>
        <w:spacing w:line="360" w:lineRule="auto"/>
        <w:ind w:firstLine="482" w:firstLineChars="200"/>
        <w:jc w:val="both"/>
        <w:rPr>
          <w:b/>
          <w:color w:val="000000" w:themeColor="text1"/>
          <w:sz w:val="24"/>
          <w:szCs w:val="24"/>
          <w14:textFill>
            <w14:solidFill>
              <w14:schemeClr w14:val="tx1"/>
            </w14:solidFill>
          </w14:textFill>
        </w:rPr>
      </w:pPr>
    </w:p>
    <w:bookmarkEnd w:id="452"/>
    <w:bookmarkEnd w:id="453"/>
    <w:bookmarkEnd w:id="454"/>
    <w:bookmarkEnd w:id="455"/>
    <w:bookmarkEnd w:id="456"/>
    <w:p>
      <w:pPr>
        <w:spacing w:line="440" w:lineRule="exact"/>
        <w:rPr>
          <w:rFonts w:ascii="宋体" w:hAnsi="宋体"/>
          <w:b/>
          <w:color w:val="000000" w:themeColor="text1"/>
          <w:sz w:val="24"/>
          <w14:textFill>
            <w14:solidFill>
              <w14:schemeClr w14:val="tx1"/>
            </w14:solidFill>
          </w14:textFill>
        </w:rPr>
      </w:pPr>
    </w:p>
    <w:p>
      <w:pPr>
        <w:spacing w:line="440" w:lineRule="exact"/>
        <w:rPr>
          <w:rFonts w:ascii="宋体" w:hAnsi="宋体"/>
          <w:b/>
          <w:color w:val="000000" w:themeColor="text1"/>
          <w:sz w:val="24"/>
          <w14:textFill>
            <w14:solidFill>
              <w14:schemeClr w14:val="tx1"/>
            </w14:solidFill>
          </w14:textFill>
        </w:rPr>
      </w:pPr>
    </w:p>
    <w:p>
      <w:pPr>
        <w:spacing w:line="440" w:lineRule="exact"/>
        <w:rPr>
          <w:rFonts w:ascii="宋体" w:hAnsi="宋体"/>
          <w:b/>
          <w:color w:val="000000" w:themeColor="text1"/>
          <w:sz w:val="24"/>
          <w14:textFill>
            <w14:solidFill>
              <w14:schemeClr w14:val="tx1"/>
            </w14:solidFill>
          </w14:textFill>
        </w:rPr>
      </w:pPr>
    </w:p>
    <w:p>
      <w:pPr>
        <w:spacing w:line="440" w:lineRule="exact"/>
        <w:rPr>
          <w:rFonts w:ascii="宋体" w:hAnsi="宋体"/>
          <w:b/>
          <w:color w:val="000000" w:themeColor="text1"/>
          <w:sz w:val="24"/>
          <w14:textFill>
            <w14:solidFill>
              <w14:schemeClr w14:val="tx1"/>
            </w14:solidFill>
          </w14:textFill>
        </w:rPr>
      </w:pPr>
    </w:p>
    <w:p>
      <w:pPr>
        <w:spacing w:line="440" w:lineRule="exact"/>
        <w:rPr>
          <w:rFonts w:ascii="宋体" w:hAnsi="宋体"/>
          <w:b/>
          <w:color w:val="000000" w:themeColor="text1"/>
          <w:sz w:val="24"/>
          <w14:textFill>
            <w14:solidFill>
              <w14:schemeClr w14:val="tx1"/>
            </w14:solidFill>
          </w14:textFill>
        </w:rPr>
      </w:pPr>
    </w:p>
    <w:p>
      <w:pPr>
        <w:spacing w:line="440" w:lineRule="exact"/>
        <w:rPr>
          <w:rFonts w:ascii="宋体" w:hAnsi="宋体"/>
          <w:b/>
          <w:color w:val="000000" w:themeColor="text1"/>
          <w:sz w:val="24"/>
          <w14:textFill>
            <w14:solidFill>
              <w14:schemeClr w14:val="tx1"/>
            </w14:solidFill>
          </w14:textFill>
        </w:rPr>
      </w:pPr>
    </w:p>
    <w:p>
      <w:pPr>
        <w:spacing w:line="440" w:lineRule="exact"/>
        <w:rPr>
          <w:rFonts w:ascii="宋体" w:hAnsi="宋体"/>
          <w:b/>
          <w:color w:val="000000" w:themeColor="text1"/>
          <w:sz w:val="24"/>
          <w14:textFill>
            <w14:solidFill>
              <w14:schemeClr w14:val="tx1"/>
            </w14:solidFill>
          </w14:textFill>
        </w:rPr>
      </w:pPr>
    </w:p>
    <w:p>
      <w:pPr>
        <w:spacing w:line="440" w:lineRule="exact"/>
        <w:rPr>
          <w:rFonts w:ascii="宋体" w:hAnsi="宋体"/>
          <w:b/>
          <w:color w:val="000000" w:themeColor="text1"/>
          <w:szCs w:val="32"/>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bookmarkStart w:id="457" w:name="_Toc529797939"/>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pStyle w:val="2"/>
        <w:ind w:left="420" w:firstLine="422"/>
        <w:rPr>
          <w:b/>
          <w:color w:val="000000" w:themeColor="text1"/>
          <w14:textFill>
            <w14:solidFill>
              <w14:schemeClr w14:val="tx1"/>
            </w14:solidFill>
          </w14:textFill>
        </w:rPr>
      </w:pPr>
    </w:p>
    <w:p>
      <w:pPr>
        <w:pStyle w:val="2"/>
        <w:ind w:left="420" w:firstLine="422"/>
        <w:rPr>
          <w:b/>
          <w:color w:val="000000" w:themeColor="text1"/>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r>
        <w:rPr>
          <w:rFonts w:ascii="宋体" w:hAnsi="宋体"/>
          <w:b/>
          <w:color w:val="000000" w:themeColor="text1"/>
          <w:sz w:val="30"/>
          <w:szCs w:val="30"/>
          <w:u w:val="singl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ragraph">
                  <wp:posOffset>0</wp:posOffset>
                </wp:positionV>
                <wp:extent cx="4810760" cy="2278380"/>
                <wp:effectExtent l="19050" t="19050" r="27940" b="26670"/>
                <wp:wrapNone/>
                <wp:docPr id="17" name="Text Box 4"/>
                <wp:cNvGraphicFramePr/>
                <a:graphic xmlns:a="http://schemas.openxmlformats.org/drawingml/2006/main">
                  <a:graphicData uri="http://schemas.microsoft.com/office/word/2010/wordprocessingShape">
                    <wps:wsp>
                      <wps:cNvSpPr txBox="1">
                        <a:spLocks noChangeArrowheads="1"/>
                      </wps:cNvSpPr>
                      <wps:spPr bwMode="auto">
                        <a:xfrm>
                          <a:off x="0" y="0"/>
                          <a:ext cx="4810760" cy="2278380"/>
                        </a:xfrm>
                        <a:prstGeom prst="rect">
                          <a:avLst/>
                        </a:prstGeom>
                        <a:solidFill>
                          <a:srgbClr val="FFFFFF"/>
                        </a:solidFill>
                        <a:ln w="57150" cmpd="thickThin">
                          <a:solidFill>
                            <a:srgbClr val="000000"/>
                          </a:solidFill>
                          <a:miter lim="800000"/>
                        </a:ln>
                      </wps:spPr>
                      <wps:txbx>
                        <w:txbxContent>
                          <w:p/>
                        </w:txbxContent>
                      </wps:txbx>
                      <wps:bodyPr rot="0" vert="horz" wrap="square" anchor="t" anchorCtr="0" upright="1"/>
                    </wps:wsp>
                  </a:graphicData>
                </a:graphic>
              </wp:anchor>
            </w:drawing>
          </mc:Choice>
          <mc:Fallback>
            <w:pict>
              <v:shape id="Text Box 4" o:spid="_x0000_s1026" o:spt="202" type="#_x0000_t202" style="position:absolute;left:0pt;margin-top:0pt;height:179.4pt;width:378.8pt;mso-position-horizontal:center;z-index:-251656192;mso-width-relative:page;mso-height-relative:page;" fillcolor="#FFFFFF" filled="t" stroked="t" coordsize="21600,21600" o:gfxdata="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vJAcvYAAAABQEAAA8A&#10;AAAAAAAAAQAgAAAAIgAAAGRycy9kb3ducmV2LnhtbFBLAQIUABQAAAAIAIdO4kCl9LwRFwIAAEwE&#10;AAAOAAAAAAAAAAEAIAAAACcBAABkcnMvZTJvRG9jLnhtbFBLBQYAAAAABgAGAFkBAACwBQAAAAA=&#10;">
                <v:fill on="t" focussize="0,0"/>
                <v:stroke weight="4.5pt" color="#000000" linestyle="thickThin" miterlimit="8" joinstyle="miter"/>
                <v:imagedata o:title=""/>
                <o:lock v:ext="edit" aspectratio="f"/>
                <v:textbox>
                  <w:txbxContent>
                    <w:p/>
                  </w:txbxContent>
                </v:textbox>
              </v:shape>
            </w:pict>
          </mc:Fallback>
        </mc:AlternateContent>
      </w:r>
    </w:p>
    <w:p>
      <w:pPr>
        <w:spacing w:line="360" w:lineRule="auto"/>
        <w:rPr>
          <w:rFonts w:ascii="宋体" w:hAnsi="宋体"/>
          <w:b/>
          <w:color w:val="000000" w:themeColor="text1"/>
          <w:sz w:val="24"/>
          <w:u w:val="single"/>
          <w14:textFill>
            <w14:solidFill>
              <w14:schemeClr w14:val="tx1"/>
            </w14:solidFill>
          </w14:textFill>
        </w:rPr>
      </w:pPr>
    </w:p>
    <w:p>
      <w:pPr>
        <w:spacing w:line="360" w:lineRule="auto"/>
        <w:rPr>
          <w:rFonts w:ascii="宋体" w:hAnsi="宋体"/>
          <w:b/>
          <w:color w:val="000000" w:themeColor="text1"/>
          <w:sz w:val="24"/>
          <w:u w:val="single"/>
          <w14:textFill>
            <w14:solidFill>
              <w14:schemeClr w14:val="tx1"/>
            </w14:solidFill>
          </w14:textFill>
        </w:rPr>
      </w:pPr>
    </w:p>
    <w:p>
      <w:pPr>
        <w:rPr>
          <w:rFonts w:ascii="宋体" w:hAnsi="宋体"/>
          <w:b/>
          <w:color w:val="000000" w:themeColor="text1"/>
          <w:sz w:val="24"/>
          <w:u w:val="single"/>
          <w14:textFill>
            <w14:solidFill>
              <w14:schemeClr w14:val="tx1"/>
            </w14:solidFill>
          </w14:textFill>
        </w:rPr>
      </w:pPr>
    </w:p>
    <w:p>
      <w:pPr>
        <w:pStyle w:val="4"/>
        <w:jc w:val="center"/>
        <w:rPr>
          <w:rFonts w:ascii="宋体" w:hAnsi="宋体"/>
          <w:bCs w:val="0"/>
          <w:color w:val="000000" w:themeColor="text1"/>
          <w:sz w:val="44"/>
          <w:u w:val="single"/>
          <w14:textFill>
            <w14:solidFill>
              <w14:schemeClr w14:val="tx1"/>
            </w14:solidFill>
          </w14:textFill>
        </w:rPr>
      </w:pPr>
      <w:bookmarkStart w:id="458" w:name="_Toc136956341"/>
      <w:r>
        <w:rPr>
          <w:rFonts w:hint="eastAsia" w:ascii="宋体" w:hAnsi="宋体"/>
          <w:bCs w:val="0"/>
          <w:color w:val="000000" w:themeColor="text1"/>
          <w:sz w:val="44"/>
          <w14:textFill>
            <w14:solidFill>
              <w14:schemeClr w14:val="tx1"/>
            </w14:solidFill>
          </w14:textFill>
        </w:rPr>
        <w:t>第二卷</w:t>
      </w:r>
      <w:bookmarkEnd w:id="458"/>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pStyle w:val="5"/>
        <w:spacing w:line="440" w:lineRule="exact"/>
        <w:jc w:val="center"/>
        <w:rPr>
          <w:rFonts w:ascii="宋体" w:hAnsi="宋体" w:eastAsia="宋体"/>
          <w:bCs w:val="0"/>
          <w:color w:val="000000" w:themeColor="text1"/>
          <w:sz w:val="44"/>
          <w:szCs w:val="44"/>
          <w14:textFill>
            <w14:solidFill>
              <w14:schemeClr w14:val="tx1"/>
            </w14:solidFill>
          </w14:textFill>
        </w:rPr>
      </w:pPr>
      <w:bookmarkStart w:id="459" w:name="_Toc136956342"/>
      <w:r>
        <w:rPr>
          <w:rFonts w:hint="eastAsia" w:ascii="宋体" w:hAnsi="宋体" w:eastAsia="宋体"/>
          <w:bCs w:val="0"/>
          <w:color w:val="000000" w:themeColor="text1"/>
          <w:sz w:val="44"/>
          <w:szCs w:val="44"/>
          <w14:textFill>
            <w14:solidFill>
              <w14:schemeClr w14:val="tx1"/>
            </w14:solidFill>
          </w14:textFill>
        </w:rPr>
        <w:t>第三章 评标办法</w:t>
      </w:r>
      <w:bookmarkEnd w:id="424"/>
      <w:bookmarkEnd w:id="457"/>
      <w:bookmarkEnd w:id="459"/>
    </w:p>
    <w:p>
      <w:pPr>
        <w:pStyle w:val="6"/>
        <w:widowControl/>
        <w:spacing w:before="260" w:after="260" w:line="480" w:lineRule="exact"/>
        <w:jc w:val="center"/>
        <w:rPr>
          <w:rFonts w:ascii="宋体" w:hAnsi="宋体"/>
          <w:bCs w:val="0"/>
          <w:color w:val="000000" w:themeColor="text1"/>
          <w:kern w:val="0"/>
          <w:sz w:val="36"/>
          <w:szCs w:val="36"/>
          <w14:textFill>
            <w14:solidFill>
              <w14:schemeClr w14:val="tx1"/>
            </w14:solidFill>
          </w14:textFill>
        </w:rPr>
      </w:pPr>
      <w:bookmarkStart w:id="460" w:name="_Toc529797940"/>
      <w:bookmarkStart w:id="461" w:name="_Toc60323173"/>
      <w:bookmarkStart w:id="462" w:name="_Toc38462890"/>
      <w:bookmarkStart w:id="463" w:name="_Toc38031577"/>
      <w:bookmarkStart w:id="464" w:name="_Toc136956343"/>
      <w:bookmarkStart w:id="465" w:name="_Toc347307775"/>
      <w:r>
        <w:rPr>
          <w:rFonts w:hint="eastAsia" w:ascii="宋体" w:hAnsi="宋体"/>
          <w:bCs w:val="0"/>
          <w:color w:val="000000" w:themeColor="text1"/>
          <w:kern w:val="0"/>
          <w:sz w:val="36"/>
          <w:szCs w:val="36"/>
          <w14:textFill>
            <w14:solidFill>
              <w14:schemeClr w14:val="tx1"/>
            </w14:solidFill>
          </w14:textFill>
        </w:rPr>
        <w:t>一、评标办法前附表</w:t>
      </w:r>
      <w:bookmarkEnd w:id="460"/>
      <w:bookmarkEnd w:id="461"/>
      <w:bookmarkEnd w:id="462"/>
      <w:bookmarkEnd w:id="463"/>
      <w:bookmarkEnd w:id="464"/>
      <w:bookmarkEnd w:id="465"/>
      <w:bookmarkStart w:id="466" w:name="_Toc300848203"/>
    </w:p>
    <w:tbl>
      <w:tblPr>
        <w:tblStyle w:val="62"/>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3"/>
        <w:gridCol w:w="992"/>
        <w:gridCol w:w="1559"/>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44" w:type="dxa"/>
            <w:gridSpan w:val="2"/>
            <w:vAlign w:val="center"/>
          </w:tcPr>
          <w:p>
            <w:pPr>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条款号</w:t>
            </w:r>
          </w:p>
        </w:tc>
        <w:tc>
          <w:tcPr>
            <w:tcW w:w="2551" w:type="dxa"/>
            <w:gridSpan w:val="2"/>
            <w:vAlign w:val="center"/>
          </w:tcPr>
          <w:p>
            <w:pPr>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评审因素</w:t>
            </w:r>
          </w:p>
        </w:tc>
        <w:tc>
          <w:tcPr>
            <w:tcW w:w="5387" w:type="dxa"/>
            <w:vAlign w:val="center"/>
          </w:tcPr>
          <w:p>
            <w:pPr>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1"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A3.1</w:t>
            </w:r>
          </w:p>
        </w:tc>
        <w:tc>
          <w:tcPr>
            <w:tcW w:w="993"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形式评审标准</w:t>
            </w: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p>
        </w:tc>
        <w:tc>
          <w:tcPr>
            <w:tcW w:w="5387" w:type="dxa"/>
            <w:vAlign w:val="center"/>
          </w:tcPr>
          <w:p>
            <w:pPr>
              <w:spacing w:line="44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投标文件格式</w:t>
            </w:r>
          </w:p>
        </w:tc>
        <w:tc>
          <w:tcPr>
            <w:tcW w:w="5387" w:type="dxa"/>
            <w:vAlign w:val="center"/>
          </w:tcPr>
          <w:p>
            <w:pPr>
              <w:spacing w:line="44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报价唯一</w:t>
            </w:r>
          </w:p>
        </w:tc>
        <w:tc>
          <w:tcPr>
            <w:tcW w:w="5387" w:type="dxa"/>
            <w:vAlign w:val="center"/>
          </w:tcPr>
          <w:p>
            <w:pPr>
              <w:spacing w:line="44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1"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A3.2</w:t>
            </w:r>
          </w:p>
        </w:tc>
        <w:tc>
          <w:tcPr>
            <w:tcW w:w="993"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资格评审标准</w:t>
            </w: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联合体投标人</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符合第二章“投标人须知前附表”</w:t>
            </w:r>
            <w:r>
              <w:rPr>
                <w:rFonts w:hint="eastAsia" w:ascii="宋体" w:hAnsi="宋体"/>
                <w:snapToGrid w:val="0"/>
                <w:color w:val="000000" w:themeColor="text1"/>
                <w:kern w:val="0"/>
                <w:sz w:val="24"/>
                <w:u w:val="single"/>
                <w14:textFill>
                  <w14:solidFill>
                    <w14:schemeClr w14:val="tx1"/>
                  </w14:solidFill>
                </w14:textFill>
              </w:rPr>
              <w:t>（</w:t>
            </w:r>
            <w:r>
              <w:rPr>
                <w:rFonts w:ascii="宋体" w:hAnsi="宋体"/>
                <w:snapToGrid w:val="0"/>
                <w:color w:val="000000" w:themeColor="text1"/>
                <w:kern w:val="0"/>
                <w:sz w:val="24"/>
                <w:u w:val="single"/>
                <w14:textFill>
                  <w14:solidFill>
                    <w14:schemeClr w14:val="tx1"/>
                  </w14:solidFill>
                </w14:textFill>
              </w:rPr>
              <w:t>1.4.3）</w:t>
            </w:r>
            <w:r>
              <w:rPr>
                <w:rFonts w:hint="eastAsia" w:ascii="宋体" w:hAnsi="宋体"/>
                <w:color w:val="000000" w:themeColor="text1"/>
                <w:sz w:val="24"/>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营业执照等证明文件</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符合第二章“投标人须知前附表”</w:t>
            </w:r>
            <w:r>
              <w:rPr>
                <w:rFonts w:hint="eastAsia" w:ascii="宋体" w:hAnsi="宋体"/>
                <w:snapToGrid w:val="0"/>
                <w:color w:val="000000" w:themeColor="text1"/>
                <w:kern w:val="0"/>
                <w:sz w:val="24"/>
                <w:u w:val="single"/>
                <w14:textFill>
                  <w14:solidFill>
                    <w14:schemeClr w14:val="tx1"/>
                  </w14:solidFill>
                </w14:textFill>
              </w:rPr>
              <w:t>（</w:t>
            </w:r>
            <w:r>
              <w:rPr>
                <w:rFonts w:ascii="宋体" w:hAnsi="宋体"/>
                <w:snapToGrid w:val="0"/>
                <w:color w:val="000000" w:themeColor="text1"/>
                <w:kern w:val="0"/>
                <w:sz w:val="24"/>
                <w:u w:val="single"/>
                <w14:textFill>
                  <w14:solidFill>
                    <w14:schemeClr w14:val="tx1"/>
                  </w14:solidFill>
                </w14:textFill>
              </w:rPr>
              <w:t>1.4.1）</w:t>
            </w:r>
            <w:r>
              <w:rPr>
                <w:rFonts w:hint="eastAsia" w:ascii="宋体" w:hAnsi="宋体"/>
                <w:color w:val="000000" w:themeColor="text1"/>
                <w:sz w:val="24"/>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资质证书</w:t>
            </w:r>
          </w:p>
        </w:tc>
        <w:tc>
          <w:tcPr>
            <w:tcW w:w="5387" w:type="dxa"/>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符合第二章“投标人须知前附表”</w:t>
            </w:r>
            <w:r>
              <w:rPr>
                <w:rFonts w:hint="eastAsia" w:ascii="宋体" w:hAnsi="宋体"/>
                <w:snapToGrid w:val="0"/>
                <w:color w:val="000000" w:themeColor="text1"/>
                <w:kern w:val="0"/>
                <w:sz w:val="24"/>
                <w:u w:val="single"/>
                <w14:textFill>
                  <w14:solidFill>
                    <w14:schemeClr w14:val="tx1"/>
                  </w14:solidFill>
                </w14:textFill>
              </w:rPr>
              <w:t>（</w:t>
            </w:r>
            <w:r>
              <w:rPr>
                <w:rFonts w:ascii="宋体" w:hAnsi="宋体"/>
                <w:snapToGrid w:val="0"/>
                <w:color w:val="000000" w:themeColor="text1"/>
                <w:kern w:val="0"/>
                <w:sz w:val="24"/>
                <w:u w:val="single"/>
                <w14:textFill>
                  <w14:solidFill>
                    <w14:schemeClr w14:val="tx1"/>
                  </w14:solidFill>
                </w14:textFill>
              </w:rPr>
              <w:t>1.4.1）</w:t>
            </w:r>
            <w:r>
              <w:rPr>
                <w:rFonts w:hint="eastAsia" w:ascii="宋体" w:hAnsi="宋体"/>
                <w:color w:val="000000" w:themeColor="text1"/>
                <w:sz w:val="24"/>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安全生产许可证</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符合第二章“投标人须知前附表”</w:t>
            </w:r>
            <w:r>
              <w:rPr>
                <w:rFonts w:hint="eastAsia" w:ascii="宋体" w:hAnsi="宋体"/>
                <w:snapToGrid w:val="0"/>
                <w:color w:val="000000" w:themeColor="text1"/>
                <w:kern w:val="0"/>
                <w:sz w:val="24"/>
                <w:u w:val="single"/>
                <w14:textFill>
                  <w14:solidFill>
                    <w14:schemeClr w14:val="tx1"/>
                  </w14:solidFill>
                </w14:textFill>
              </w:rPr>
              <w:t>（</w:t>
            </w:r>
            <w:r>
              <w:rPr>
                <w:rFonts w:ascii="宋体" w:hAnsi="宋体"/>
                <w:snapToGrid w:val="0"/>
                <w:color w:val="000000" w:themeColor="text1"/>
                <w:kern w:val="0"/>
                <w:sz w:val="24"/>
                <w:u w:val="single"/>
                <w14:textFill>
                  <w14:solidFill>
                    <w14:schemeClr w14:val="tx1"/>
                  </w14:solidFill>
                </w14:textFill>
              </w:rPr>
              <w:t>1.4.1）</w:t>
            </w:r>
            <w:r>
              <w:rPr>
                <w:rFonts w:hint="eastAsia" w:ascii="宋体" w:hAnsi="宋体"/>
                <w:color w:val="000000" w:themeColor="text1"/>
                <w:sz w:val="24"/>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财务状况</w:t>
            </w:r>
          </w:p>
        </w:tc>
        <w:tc>
          <w:tcPr>
            <w:tcW w:w="5387" w:type="dxa"/>
            <w:vAlign w:val="center"/>
          </w:tcPr>
          <w:p>
            <w:pPr>
              <w:adjustRightInd w:val="0"/>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符合第二章“投标人须知前附表”</w:t>
            </w:r>
            <w:r>
              <w:rPr>
                <w:rFonts w:hint="eastAsia" w:ascii="宋体" w:hAnsi="宋体"/>
                <w:snapToGrid w:val="0"/>
                <w:color w:val="000000" w:themeColor="text1"/>
                <w:kern w:val="0"/>
                <w:sz w:val="24"/>
                <w:u w:val="single"/>
                <w14:textFill>
                  <w14:solidFill>
                    <w14:schemeClr w14:val="tx1"/>
                  </w14:solidFill>
                </w14:textFill>
              </w:rPr>
              <w:t>（</w:t>
            </w:r>
            <w:r>
              <w:rPr>
                <w:rFonts w:ascii="宋体" w:hAnsi="宋体"/>
                <w:snapToGrid w:val="0"/>
                <w:color w:val="000000" w:themeColor="text1"/>
                <w:kern w:val="0"/>
                <w:sz w:val="24"/>
                <w:u w:val="single"/>
                <w14:textFill>
                  <w14:solidFill>
                    <w14:schemeClr w14:val="tx1"/>
                  </w14:solidFill>
                </w14:textFill>
              </w:rPr>
              <w:t>1.4.1）</w:t>
            </w:r>
            <w:r>
              <w:rPr>
                <w:rFonts w:hint="eastAsia" w:ascii="宋体" w:hAnsi="宋体"/>
                <w:color w:val="000000" w:themeColor="text1"/>
                <w:sz w:val="24"/>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企业类似业绩</w:t>
            </w:r>
          </w:p>
        </w:tc>
        <w:tc>
          <w:tcPr>
            <w:tcW w:w="5387" w:type="dxa"/>
            <w:vAlign w:val="center"/>
          </w:tcPr>
          <w:p>
            <w:pPr>
              <w:adjustRightInd w:val="0"/>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符合第二章“投标人须知前附表”</w:t>
            </w:r>
            <w:r>
              <w:rPr>
                <w:rFonts w:hint="eastAsia" w:ascii="宋体" w:hAnsi="宋体"/>
                <w:snapToGrid w:val="0"/>
                <w:color w:val="000000" w:themeColor="text1"/>
                <w:kern w:val="0"/>
                <w:sz w:val="24"/>
                <w:u w:val="single"/>
                <w14:textFill>
                  <w14:solidFill>
                    <w14:schemeClr w14:val="tx1"/>
                  </w14:solidFill>
                </w14:textFill>
              </w:rPr>
              <w:t>（</w:t>
            </w:r>
            <w:r>
              <w:rPr>
                <w:rFonts w:ascii="宋体" w:hAnsi="宋体"/>
                <w:snapToGrid w:val="0"/>
                <w:color w:val="000000" w:themeColor="text1"/>
                <w:kern w:val="0"/>
                <w:sz w:val="24"/>
                <w:u w:val="single"/>
                <w14:textFill>
                  <w14:solidFill>
                    <w14:schemeClr w14:val="tx1"/>
                  </w14:solidFill>
                </w14:textFill>
              </w:rPr>
              <w:t>1.4.1）</w:t>
            </w:r>
            <w:r>
              <w:rPr>
                <w:rFonts w:hint="eastAsia" w:ascii="宋体" w:hAnsi="宋体"/>
                <w:color w:val="000000" w:themeColor="text1"/>
                <w:sz w:val="24"/>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主要管理人员</w:t>
            </w:r>
          </w:p>
        </w:tc>
        <w:tc>
          <w:tcPr>
            <w:tcW w:w="5387" w:type="dxa"/>
            <w:vAlign w:val="center"/>
          </w:tcPr>
          <w:p>
            <w:pPr>
              <w:adjustRightInd w:val="0"/>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符合第二章“投标人须知前附表”</w:t>
            </w:r>
            <w:r>
              <w:rPr>
                <w:rFonts w:hint="eastAsia" w:ascii="宋体" w:hAnsi="宋体"/>
                <w:snapToGrid w:val="0"/>
                <w:color w:val="000000" w:themeColor="text1"/>
                <w:kern w:val="0"/>
                <w:sz w:val="24"/>
                <w:u w:val="single"/>
                <w14:textFill>
                  <w14:solidFill>
                    <w14:schemeClr w14:val="tx1"/>
                  </w14:solidFill>
                </w14:textFill>
              </w:rPr>
              <w:t>（</w:t>
            </w:r>
            <w:r>
              <w:rPr>
                <w:rFonts w:ascii="宋体" w:hAnsi="宋体"/>
                <w:snapToGrid w:val="0"/>
                <w:color w:val="000000" w:themeColor="text1"/>
                <w:kern w:val="0"/>
                <w:sz w:val="24"/>
                <w:u w:val="single"/>
                <w14:textFill>
                  <w14:solidFill>
                    <w14:schemeClr w14:val="tx1"/>
                  </w14:solidFill>
                </w14:textFill>
              </w:rPr>
              <w:t>1.4.1）</w:t>
            </w:r>
            <w:r>
              <w:rPr>
                <w:rFonts w:hint="eastAsia" w:ascii="宋体" w:hAnsi="宋体"/>
                <w:color w:val="000000" w:themeColor="text1"/>
                <w:sz w:val="24"/>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项目组成员</w:t>
            </w:r>
          </w:p>
        </w:tc>
        <w:tc>
          <w:tcPr>
            <w:tcW w:w="5387" w:type="dxa"/>
            <w:vAlign w:val="center"/>
          </w:tcPr>
          <w:p>
            <w:pPr>
              <w:adjustRightInd w:val="0"/>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符合第二章“投标人须知前附表”</w:t>
            </w:r>
            <w:r>
              <w:rPr>
                <w:rFonts w:hint="eastAsia" w:ascii="宋体" w:hAnsi="宋体"/>
                <w:snapToGrid w:val="0"/>
                <w:color w:val="000000" w:themeColor="text1"/>
                <w:kern w:val="0"/>
                <w:sz w:val="24"/>
                <w:u w:val="single"/>
                <w14:textFill>
                  <w14:solidFill>
                    <w14:schemeClr w14:val="tx1"/>
                  </w14:solidFill>
                </w14:textFill>
              </w:rPr>
              <w:t>（</w:t>
            </w:r>
            <w:r>
              <w:rPr>
                <w:rFonts w:ascii="宋体" w:hAnsi="宋体"/>
                <w:snapToGrid w:val="0"/>
                <w:color w:val="000000" w:themeColor="text1"/>
                <w:kern w:val="0"/>
                <w:sz w:val="24"/>
                <w:u w:val="single"/>
                <w14:textFill>
                  <w14:solidFill>
                    <w14:schemeClr w14:val="tx1"/>
                  </w14:solidFill>
                </w14:textFill>
              </w:rPr>
              <w:t>1.4.1）</w:t>
            </w:r>
            <w:r>
              <w:rPr>
                <w:rFonts w:hint="eastAsia" w:ascii="宋体" w:hAnsi="宋体"/>
                <w:color w:val="000000" w:themeColor="text1"/>
                <w:sz w:val="24"/>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企业信誉</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符合第二章“投标人须知前附表”</w:t>
            </w:r>
            <w:r>
              <w:rPr>
                <w:rFonts w:hint="eastAsia" w:ascii="宋体" w:hAnsi="宋体"/>
                <w:snapToGrid w:val="0"/>
                <w:color w:val="000000" w:themeColor="text1"/>
                <w:kern w:val="0"/>
                <w:sz w:val="24"/>
                <w:u w:val="single"/>
                <w14:textFill>
                  <w14:solidFill>
                    <w14:schemeClr w14:val="tx1"/>
                  </w14:solidFill>
                </w14:textFill>
              </w:rPr>
              <w:t>（</w:t>
            </w:r>
            <w:r>
              <w:rPr>
                <w:rFonts w:ascii="宋体" w:hAnsi="宋体"/>
                <w:snapToGrid w:val="0"/>
                <w:color w:val="000000" w:themeColor="text1"/>
                <w:kern w:val="0"/>
                <w:sz w:val="24"/>
                <w:u w:val="single"/>
                <w14:textFill>
                  <w14:solidFill>
                    <w14:schemeClr w14:val="tx1"/>
                  </w14:solidFill>
                </w14:textFill>
              </w:rPr>
              <w:t>1.4.1）</w:t>
            </w:r>
            <w:r>
              <w:rPr>
                <w:rFonts w:hint="eastAsia" w:ascii="宋体" w:hAnsi="宋体"/>
                <w:color w:val="000000" w:themeColor="text1"/>
                <w:sz w:val="24"/>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51"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A3.3</w:t>
            </w:r>
          </w:p>
        </w:tc>
        <w:tc>
          <w:tcPr>
            <w:tcW w:w="993"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响应性评审标准</w:t>
            </w:r>
          </w:p>
        </w:tc>
        <w:tc>
          <w:tcPr>
            <w:tcW w:w="2551" w:type="dxa"/>
            <w:gridSpan w:val="2"/>
            <w:vMerge w:val="restart"/>
            <w:vAlign w:val="center"/>
          </w:tcPr>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投标报价是否未按招标文件规定格式填写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Merge w:val="continue"/>
            <w:vAlign w:val="center"/>
          </w:tcPr>
          <w:p>
            <w:pPr>
              <w:spacing w:line="440" w:lineRule="exact"/>
              <w:ind w:left="105" w:leftChars="50" w:firstLine="240" w:firstLineChars="100"/>
              <w:rPr>
                <w:rFonts w:ascii="宋体" w:hAnsi="宋体"/>
                <w:color w:val="000000" w:themeColor="text1"/>
                <w:sz w:val="24"/>
                <w14:textFill>
                  <w14:solidFill>
                    <w14:schemeClr w14:val="tx1"/>
                  </w14:solidFill>
                </w14:textFill>
              </w:rPr>
            </w:pP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投标报价是否超过招标控制（拦标价）或低于成本价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ind w:left="105" w:leftChars="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投标文件的签署</w:t>
            </w:r>
          </w:p>
        </w:tc>
        <w:tc>
          <w:tcPr>
            <w:tcW w:w="5387" w:type="dxa"/>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投标文件是否未按照投标文件格式，采用企业、法定代表人电子签章及数字证书电子签名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投标文件格式</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是否按规定格式填写，内容是否不全或者关键内容字迹模糊，无法辨认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投标文件是否按要求全部采用电子文档，且使用招标文件规定格式编制，开标现场是否能读取导入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51"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ind w:left="105" w:leftChars="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报价的唯一</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投标人是否递交两份或多份内容不同的投标文件</w:t>
            </w:r>
            <w:r>
              <w:rPr>
                <w:rFonts w:ascii="宋体" w:hAnsi="宋体"/>
                <w:color w:val="000000" w:themeColor="text1"/>
                <w:sz w:val="24"/>
                <w14:textFill>
                  <w14:solidFill>
                    <w14:schemeClr w14:val="tx1"/>
                  </w14:solidFill>
                </w14:textFill>
              </w:rPr>
              <w:t>,或在一份投标文件中对同一招标项目报有两个或多个报价,且未声名哪一个有效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51"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ind w:left="14" w:leftChars="-48" w:hanging="115" w:hangingChars="48"/>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计划工期</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投标文件载明的招标项目计划工期不得超过招标文件规定的期限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51"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技术要求</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是否明显不符合技术规格、技术标准的要求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1"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不同投标人的投标文件是否有两处以上错漏一致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51"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Merge w:val="continue"/>
            <w:vAlign w:val="center"/>
          </w:tcPr>
          <w:p>
            <w:pPr>
              <w:spacing w:line="440" w:lineRule="exact"/>
              <w:ind w:firstLine="480" w:firstLineChars="200"/>
              <w:jc w:val="center"/>
              <w:rPr>
                <w:rFonts w:ascii="宋体" w:hAnsi="宋体"/>
                <w:color w:val="000000" w:themeColor="text1"/>
                <w:sz w:val="24"/>
                <w14:textFill>
                  <w14:solidFill>
                    <w14:schemeClr w14:val="tx1"/>
                  </w14:solidFill>
                </w14:textFill>
              </w:rPr>
            </w:pP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投标人之间的投标文件是否由同一单位（或者个人）编制或者提供投标咨询服务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51"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Merge w:val="continue"/>
            <w:vAlign w:val="center"/>
          </w:tcPr>
          <w:p>
            <w:pPr>
              <w:spacing w:line="440" w:lineRule="exact"/>
              <w:ind w:firstLine="480" w:firstLineChars="200"/>
              <w:jc w:val="center"/>
              <w:rPr>
                <w:rFonts w:ascii="宋体" w:hAnsi="宋体"/>
                <w:color w:val="000000" w:themeColor="text1"/>
                <w:sz w:val="24"/>
                <w14:textFill>
                  <w14:solidFill>
                    <w14:schemeClr w14:val="tx1"/>
                  </w14:solidFill>
                </w14:textFill>
              </w:rPr>
            </w:pP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投标人之间的投标文件或者招标人要求提供的相关资料是否相互混装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1"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Merge w:val="continue"/>
            <w:vAlign w:val="center"/>
          </w:tcPr>
          <w:p>
            <w:pPr>
              <w:spacing w:line="440" w:lineRule="exact"/>
              <w:ind w:firstLine="480" w:firstLineChars="200"/>
              <w:jc w:val="center"/>
              <w:rPr>
                <w:rFonts w:ascii="宋体" w:hAnsi="宋体"/>
                <w:color w:val="000000" w:themeColor="text1"/>
                <w:sz w:val="24"/>
                <w14:textFill>
                  <w14:solidFill>
                    <w14:schemeClr w14:val="tx1"/>
                  </w14:solidFill>
                </w14:textFill>
              </w:rPr>
            </w:pP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投标人的投标文件载明的项目管理班子成员是否出现同一人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51"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投标人的投标文件是否由同一台电脑编制或者同一台附属设备打印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51"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Merge w:val="continue"/>
            <w:vAlign w:val="center"/>
          </w:tcPr>
          <w:p>
            <w:pPr>
              <w:spacing w:line="440" w:lineRule="exact"/>
              <w:ind w:firstLine="480" w:firstLineChars="200"/>
              <w:jc w:val="center"/>
              <w:rPr>
                <w:rFonts w:ascii="宋体" w:hAnsi="宋体"/>
                <w:color w:val="000000" w:themeColor="text1"/>
                <w:sz w:val="24"/>
                <w14:textFill>
                  <w14:solidFill>
                    <w14:schemeClr w14:val="tx1"/>
                  </w14:solidFill>
                </w14:textFill>
              </w:rPr>
            </w:pP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不同投标人是否委托同一人投标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51"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投标人是否委托同一人或者注册在同一家企业的人员为其提供投标咨询、商务报价、技术咨询（招标工程本身要求采用专有技术的除外）等服务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1"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3" w:type="dxa"/>
            <w:vMerge w:val="continue"/>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判断投标是否被否决</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是否出现本章附件</w:t>
            </w:r>
            <w:r>
              <w:rPr>
                <w:rFonts w:ascii="宋体" w:hAnsi="宋体"/>
                <w:color w:val="000000" w:themeColor="text1"/>
                <w:sz w:val="24"/>
                <w14:textFill>
                  <w14:solidFill>
                    <w14:schemeClr w14:val="tx1"/>
                  </w14:solidFill>
                </w14:textFill>
              </w:rPr>
              <w:t>B中《否决投标条件》情形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44" w:type="dxa"/>
            <w:gridSpan w:val="2"/>
            <w:vAlign w:val="center"/>
          </w:tcPr>
          <w:p>
            <w:pPr>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条款号</w:t>
            </w:r>
          </w:p>
        </w:tc>
        <w:tc>
          <w:tcPr>
            <w:tcW w:w="2551" w:type="dxa"/>
            <w:gridSpan w:val="2"/>
            <w:vAlign w:val="center"/>
          </w:tcPr>
          <w:p>
            <w:pPr>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评分因素</w:t>
            </w:r>
          </w:p>
        </w:tc>
        <w:tc>
          <w:tcPr>
            <w:tcW w:w="5387" w:type="dxa"/>
            <w:vAlign w:val="center"/>
          </w:tcPr>
          <w:p>
            <w:pPr>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51"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A4.1</w:t>
            </w:r>
          </w:p>
        </w:tc>
        <w:tc>
          <w:tcPr>
            <w:tcW w:w="993"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综合评估打分法</w:t>
            </w:r>
          </w:p>
        </w:tc>
        <w:tc>
          <w:tcPr>
            <w:tcW w:w="2551"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分值构成（满分</w:t>
            </w:r>
            <w:r>
              <w:rPr>
                <w:rFonts w:ascii="宋体" w:hAnsi="宋体"/>
                <w:color w:val="000000" w:themeColor="text1"/>
                <w:sz w:val="24"/>
                <w14:textFill>
                  <w14:solidFill>
                    <w14:schemeClr w14:val="tx1"/>
                  </w14:solidFill>
                </w14:textFill>
              </w:rPr>
              <w:t>100分）</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技术部分满分85</w:t>
            </w:r>
            <w:r>
              <w:rPr>
                <w:rFonts w:ascii="宋体" w:hAnsi="宋体"/>
                <w:color w:val="000000" w:themeColor="text1"/>
                <w:sz w:val="24"/>
                <w14:textFill>
                  <w14:solidFill>
                    <w14:schemeClr w14:val="tx1"/>
                  </w14:solidFill>
                </w14:textFill>
              </w:rPr>
              <w:t>分，商务部分满分</w:t>
            </w:r>
            <w:r>
              <w:rPr>
                <w:rFonts w:hint="eastAsia" w:ascii="宋体" w:hAnsi="宋体"/>
                <w:color w:val="000000" w:themeColor="text1"/>
                <w:sz w:val="24"/>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投标人最终得分</w:t>
            </w:r>
          </w:p>
        </w:tc>
        <w:tc>
          <w:tcPr>
            <w:tcW w:w="5387"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本项目评标办法采用综合评估打分法，评标委员会对通过资格审查及初步评审的投标文件，按评分标准对技术及商务部分进行百分制打分，最终按最后得分由高至低顺序推荐第一、二、三名中标候选人。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44" w:type="dxa"/>
            <w:gridSpan w:val="2"/>
            <w:vAlign w:val="center"/>
          </w:tcPr>
          <w:p>
            <w:pPr>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条款号</w:t>
            </w:r>
          </w:p>
        </w:tc>
        <w:tc>
          <w:tcPr>
            <w:tcW w:w="2551" w:type="dxa"/>
            <w:gridSpan w:val="2"/>
            <w:vAlign w:val="center"/>
          </w:tcPr>
          <w:p>
            <w:pPr>
              <w:spacing w:line="440" w:lineRule="exact"/>
              <w:ind w:firstLine="241" w:firstLineChars="1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评分因素</w:t>
            </w:r>
          </w:p>
        </w:tc>
        <w:tc>
          <w:tcPr>
            <w:tcW w:w="5387" w:type="dxa"/>
            <w:vAlign w:val="center"/>
          </w:tcPr>
          <w:p>
            <w:pPr>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851"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4.2</w:t>
            </w:r>
          </w:p>
        </w:tc>
        <w:tc>
          <w:tcPr>
            <w:tcW w:w="993"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技术部分评审</w:t>
            </w:r>
          </w:p>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标准</w:t>
            </w:r>
          </w:p>
        </w:tc>
        <w:tc>
          <w:tcPr>
            <w:tcW w:w="992"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设计部分评审</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50</w:t>
            </w:r>
            <w:r>
              <w:rPr>
                <w:rFonts w:ascii="宋体" w:hAnsi="宋体"/>
                <w:color w:val="000000" w:themeColor="text1"/>
                <w:sz w:val="24"/>
                <w14:textFill>
                  <w14:solidFill>
                    <w14:schemeClr w14:val="tx1"/>
                  </w14:solidFill>
                </w14:textFill>
              </w:rPr>
              <w:t>分)</w:t>
            </w:r>
          </w:p>
        </w:tc>
        <w:tc>
          <w:tcPr>
            <w:tcW w:w="1559" w:type="dxa"/>
            <w:vAlign w:val="center"/>
          </w:tcPr>
          <w:p>
            <w:pPr>
              <w:spacing w:line="440" w:lineRule="exact"/>
              <w:jc w:val="center"/>
              <w:rPr>
                <w:rFonts w:ascii="宋体" w:hAnsi="宋体"/>
                <w:sz w:val="24"/>
              </w:rPr>
            </w:pPr>
            <w:r>
              <w:rPr>
                <w:rFonts w:hint="eastAsia" w:ascii="宋体" w:hAnsi="宋体"/>
                <w:sz w:val="24"/>
              </w:rPr>
              <w:t>总体设计方案（30</w:t>
            </w:r>
            <w:r>
              <w:rPr>
                <w:rFonts w:ascii="宋体" w:hAnsi="宋体"/>
                <w:sz w:val="24"/>
              </w:rPr>
              <w:t>分）</w:t>
            </w:r>
          </w:p>
        </w:tc>
        <w:tc>
          <w:tcPr>
            <w:tcW w:w="5387" w:type="dxa"/>
            <w:vAlign w:val="center"/>
          </w:tcPr>
          <w:p>
            <w:pPr>
              <w:pStyle w:val="518"/>
              <w:numPr>
                <w:ilvl w:val="0"/>
                <w:numId w:val="1"/>
              </w:numPr>
              <w:snapToGrid w:val="0"/>
              <w:spacing w:line="440" w:lineRule="exact"/>
              <w:ind w:firstLineChars="0"/>
              <w:rPr>
                <w:rFonts w:ascii="宋体" w:hAnsi="宋体"/>
                <w:sz w:val="24"/>
              </w:rPr>
            </w:pPr>
            <w:r>
              <w:rPr>
                <w:rFonts w:hint="eastAsia" w:ascii="宋体" w:hAnsi="宋体"/>
                <w:sz w:val="24"/>
              </w:rPr>
              <w:t>对招标项目理解思路清晰、透彻、全面、深刻且切合实际；总体设计方案能体现项目实际情况、解决实际问题，具有较强的针对性和指导性；总体设计方案图纸内容完整、全面、具有一定深度的得28</w:t>
            </w:r>
            <w:r>
              <w:rPr>
                <w:rFonts w:ascii="宋体" w:hAnsi="宋体"/>
                <w:sz w:val="24"/>
              </w:rPr>
              <w:t>-</w:t>
            </w:r>
            <w:r>
              <w:rPr>
                <w:rFonts w:hint="eastAsia" w:ascii="宋体" w:hAnsi="宋体"/>
                <w:sz w:val="24"/>
              </w:rPr>
              <w:t>30分；</w:t>
            </w:r>
          </w:p>
          <w:p>
            <w:pPr>
              <w:pStyle w:val="518"/>
              <w:numPr>
                <w:ilvl w:val="0"/>
                <w:numId w:val="1"/>
              </w:numPr>
              <w:snapToGrid w:val="0"/>
              <w:spacing w:line="440" w:lineRule="exact"/>
              <w:ind w:firstLineChars="0"/>
              <w:rPr>
                <w:rFonts w:ascii="宋体" w:hAnsi="宋体"/>
                <w:sz w:val="24"/>
              </w:rPr>
            </w:pPr>
            <w:r>
              <w:rPr>
                <w:rFonts w:hint="eastAsia" w:ascii="宋体" w:hAnsi="宋体"/>
                <w:sz w:val="24"/>
              </w:rPr>
              <w:t>对招标项目理解思路清晰、透彻、全面、深刻且切合实际；总体设计方案在解决实际问题的针对性和指导性一般；总体设计方案图纸内容基本完整、设计深度一般的得19-27分；</w:t>
            </w:r>
          </w:p>
          <w:p>
            <w:pPr>
              <w:pStyle w:val="518"/>
              <w:numPr>
                <w:ilvl w:val="0"/>
                <w:numId w:val="1"/>
              </w:numPr>
              <w:snapToGrid w:val="0"/>
              <w:spacing w:line="440" w:lineRule="exact"/>
              <w:ind w:firstLineChars="0"/>
              <w:rPr>
                <w:rFonts w:ascii="宋体" w:hAnsi="宋体"/>
                <w:sz w:val="24"/>
              </w:rPr>
            </w:pPr>
            <w:r>
              <w:rPr>
                <w:rFonts w:hint="eastAsia" w:ascii="宋体" w:hAnsi="宋体"/>
                <w:sz w:val="24"/>
              </w:rPr>
              <w:t>对招标项目理解思路一般、与项目实际不完全符合；总体设计方案基本能解决实际问题；总体设计方案图纸内容有欠缺的得11</w:t>
            </w:r>
            <w:r>
              <w:rPr>
                <w:rFonts w:ascii="宋体" w:hAnsi="宋体"/>
                <w:sz w:val="24"/>
              </w:rPr>
              <w:t>-</w:t>
            </w:r>
            <w:r>
              <w:rPr>
                <w:rFonts w:hint="eastAsia" w:ascii="宋体" w:hAnsi="宋体"/>
                <w:sz w:val="24"/>
              </w:rPr>
              <w:t>18分；</w:t>
            </w:r>
          </w:p>
          <w:p>
            <w:pPr>
              <w:pStyle w:val="518"/>
              <w:numPr>
                <w:ilvl w:val="0"/>
                <w:numId w:val="1"/>
              </w:numPr>
              <w:spacing w:line="440" w:lineRule="exact"/>
              <w:ind w:firstLineChars="0"/>
              <w:rPr>
                <w:rFonts w:ascii="宋体" w:hAnsi="宋体" w:cs="宋体"/>
                <w:kern w:val="1"/>
                <w:sz w:val="24"/>
              </w:rPr>
            </w:pPr>
            <w:r>
              <w:rPr>
                <w:rFonts w:hint="eastAsia" w:ascii="宋体" w:hAnsi="宋体"/>
                <w:sz w:val="24"/>
              </w:rPr>
              <w:t>其他情形的得</w:t>
            </w:r>
            <w:r>
              <w:rPr>
                <w:rFonts w:ascii="宋体" w:hAnsi="宋体"/>
                <w:sz w:val="24"/>
              </w:rPr>
              <w:t>0-</w:t>
            </w:r>
            <w:r>
              <w:rPr>
                <w:rFonts w:hint="eastAsia" w:ascii="宋体" w:hAnsi="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2"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1559" w:type="dxa"/>
            <w:vAlign w:val="center"/>
          </w:tcPr>
          <w:p>
            <w:pPr>
              <w:spacing w:line="440" w:lineRule="exact"/>
              <w:jc w:val="center"/>
              <w:rPr>
                <w:rFonts w:ascii="宋体" w:hAnsi="宋体"/>
                <w:sz w:val="24"/>
              </w:rPr>
            </w:pPr>
            <w:r>
              <w:rPr>
                <w:rFonts w:hint="eastAsia" w:ascii="宋体" w:hAnsi="宋体"/>
                <w:sz w:val="24"/>
              </w:rPr>
              <w:t>设计组织方案（5</w:t>
            </w:r>
            <w:r>
              <w:rPr>
                <w:rFonts w:ascii="宋体" w:hAnsi="宋体"/>
                <w:sz w:val="24"/>
              </w:rPr>
              <w:t>分）</w:t>
            </w:r>
          </w:p>
        </w:tc>
        <w:tc>
          <w:tcPr>
            <w:tcW w:w="5387" w:type="dxa"/>
            <w:vAlign w:val="center"/>
          </w:tcPr>
          <w:p>
            <w:pPr>
              <w:pStyle w:val="518"/>
              <w:numPr>
                <w:ilvl w:val="0"/>
                <w:numId w:val="2"/>
              </w:numPr>
              <w:snapToGrid w:val="0"/>
              <w:spacing w:line="440" w:lineRule="exact"/>
              <w:ind w:firstLineChars="0"/>
              <w:rPr>
                <w:rFonts w:ascii="宋体" w:hAnsi="宋体"/>
                <w:sz w:val="24"/>
              </w:rPr>
            </w:pPr>
            <w:r>
              <w:rPr>
                <w:rFonts w:hint="eastAsia" w:ascii="宋体" w:hAnsi="宋体"/>
                <w:sz w:val="24"/>
              </w:rPr>
              <w:t>设计组织体系完善，进度保证、质量管理、造价控制及技术服务的设计组织方案全面、完整、具体，符合本工程实际，针对性与可行性强的得4</w:t>
            </w:r>
            <w:r>
              <w:rPr>
                <w:rFonts w:ascii="宋体" w:hAnsi="宋体"/>
                <w:sz w:val="24"/>
              </w:rPr>
              <w:t>-</w:t>
            </w:r>
            <w:r>
              <w:rPr>
                <w:rFonts w:hint="eastAsia" w:ascii="宋体" w:hAnsi="宋体"/>
                <w:sz w:val="24"/>
              </w:rPr>
              <w:t>5分；</w:t>
            </w:r>
          </w:p>
          <w:p>
            <w:pPr>
              <w:pStyle w:val="518"/>
              <w:numPr>
                <w:ilvl w:val="0"/>
                <w:numId w:val="2"/>
              </w:numPr>
              <w:snapToGrid w:val="0"/>
              <w:spacing w:line="440" w:lineRule="exact"/>
              <w:ind w:firstLineChars="0"/>
              <w:rPr>
                <w:rFonts w:ascii="宋体" w:hAnsi="宋体"/>
                <w:sz w:val="24"/>
              </w:rPr>
            </w:pPr>
            <w:r>
              <w:rPr>
                <w:rFonts w:hint="eastAsia" w:ascii="宋体" w:hAnsi="宋体"/>
                <w:sz w:val="24"/>
              </w:rPr>
              <w:t>设计组织体系基本完善，进度保证、质量管理、造价控制及技术服务的设计组织方案基本全面、完整、具体，基本符合本工程实际，但针对性与可行性一般的，得</w:t>
            </w:r>
            <w:r>
              <w:rPr>
                <w:rFonts w:ascii="宋体" w:hAnsi="宋体"/>
                <w:sz w:val="24"/>
              </w:rPr>
              <w:t xml:space="preserve"> 2-3</w:t>
            </w:r>
            <w:r>
              <w:rPr>
                <w:rFonts w:hint="eastAsia" w:ascii="宋体" w:hAnsi="宋体"/>
                <w:sz w:val="24"/>
              </w:rPr>
              <w:t>分；</w:t>
            </w:r>
          </w:p>
          <w:p>
            <w:pPr>
              <w:pStyle w:val="518"/>
              <w:numPr>
                <w:ilvl w:val="0"/>
                <w:numId w:val="2"/>
              </w:numPr>
              <w:snapToGrid w:val="0"/>
              <w:spacing w:line="440" w:lineRule="exact"/>
              <w:ind w:firstLineChars="0"/>
              <w:rPr>
                <w:rFonts w:ascii="宋体" w:hAnsi="宋体"/>
                <w:sz w:val="24"/>
              </w:rPr>
            </w:pPr>
            <w:r>
              <w:rPr>
                <w:rFonts w:hint="eastAsia" w:ascii="宋体" w:hAnsi="宋体"/>
                <w:sz w:val="24"/>
              </w:rPr>
              <w:t>其他情形的得</w:t>
            </w:r>
            <w:r>
              <w:rPr>
                <w:rFonts w:ascii="宋体" w:hAnsi="宋体"/>
                <w:sz w:val="24"/>
              </w:rPr>
              <w:t xml:space="preserve"> </w:t>
            </w:r>
            <w:r>
              <w:rPr>
                <w:rFonts w:hint="eastAsia" w:ascii="宋体" w:hAnsi="宋体"/>
                <w:sz w:val="24"/>
              </w:rPr>
              <w:t>0-1</w:t>
            </w:r>
            <w:r>
              <w:rPr>
                <w:rFonts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2"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1559" w:type="dxa"/>
            <w:vAlign w:val="center"/>
          </w:tcPr>
          <w:p>
            <w:pPr>
              <w:spacing w:line="440" w:lineRule="exact"/>
              <w:jc w:val="center"/>
              <w:rPr>
                <w:rFonts w:ascii="宋体" w:hAnsi="宋体"/>
                <w:sz w:val="24"/>
              </w:rPr>
            </w:pPr>
            <w:r>
              <w:rPr>
                <w:rFonts w:hint="eastAsia" w:ascii="宋体" w:hAnsi="宋体"/>
                <w:sz w:val="24"/>
              </w:rPr>
              <w:t>设计服务承诺（3</w:t>
            </w:r>
            <w:r>
              <w:rPr>
                <w:rFonts w:ascii="宋体" w:hAnsi="宋体"/>
                <w:sz w:val="24"/>
              </w:rPr>
              <w:t>分）</w:t>
            </w:r>
          </w:p>
        </w:tc>
        <w:tc>
          <w:tcPr>
            <w:tcW w:w="5387" w:type="dxa"/>
            <w:vAlign w:val="center"/>
          </w:tcPr>
          <w:p>
            <w:pPr>
              <w:pStyle w:val="518"/>
              <w:numPr>
                <w:ilvl w:val="0"/>
                <w:numId w:val="3"/>
              </w:numPr>
              <w:spacing w:line="440" w:lineRule="exact"/>
              <w:ind w:firstLineChars="0"/>
              <w:rPr>
                <w:rFonts w:ascii="宋体" w:hAnsi="宋体"/>
                <w:sz w:val="24"/>
              </w:rPr>
            </w:pPr>
            <w:r>
              <w:rPr>
                <w:rFonts w:hint="eastAsia" w:ascii="宋体" w:hAnsi="宋体"/>
                <w:sz w:val="24"/>
              </w:rPr>
              <w:t>具体的设计服务承诺及后续服务承诺，保证措施具体、针对性强的得3分；</w:t>
            </w:r>
          </w:p>
          <w:p>
            <w:pPr>
              <w:pStyle w:val="518"/>
              <w:numPr>
                <w:ilvl w:val="0"/>
                <w:numId w:val="3"/>
              </w:numPr>
              <w:spacing w:line="440" w:lineRule="exact"/>
              <w:ind w:firstLineChars="0"/>
              <w:rPr>
                <w:rFonts w:ascii="宋体" w:hAnsi="宋体"/>
                <w:sz w:val="24"/>
              </w:rPr>
            </w:pPr>
            <w:r>
              <w:rPr>
                <w:rFonts w:hint="eastAsia" w:ascii="宋体" w:hAnsi="宋体"/>
                <w:sz w:val="24"/>
              </w:rPr>
              <w:t>设计服务承诺及后续服务承诺，保证措施一般、针对性一般的得2分；</w:t>
            </w:r>
          </w:p>
          <w:p>
            <w:pPr>
              <w:pStyle w:val="518"/>
              <w:numPr>
                <w:ilvl w:val="0"/>
                <w:numId w:val="3"/>
              </w:numPr>
              <w:snapToGrid w:val="0"/>
              <w:spacing w:line="440" w:lineRule="exact"/>
              <w:ind w:firstLineChars="0"/>
              <w:rPr>
                <w:rFonts w:ascii="宋体" w:hAnsi="宋体"/>
                <w:sz w:val="24"/>
              </w:rPr>
            </w:pPr>
            <w:r>
              <w:rPr>
                <w:rFonts w:hint="eastAsia" w:ascii="宋体" w:hAnsi="宋体"/>
                <w:sz w:val="24"/>
              </w:rPr>
              <w:t>其他情形的得</w:t>
            </w:r>
            <w:r>
              <w:rPr>
                <w:rFonts w:ascii="宋体" w:hAnsi="宋体"/>
                <w:sz w:val="24"/>
              </w:rPr>
              <w:t>0</w:t>
            </w:r>
            <w:r>
              <w:rPr>
                <w:rFonts w:hint="eastAsia" w:ascii="宋体" w:hAnsi="宋体"/>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2"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1559" w:type="dxa"/>
            <w:vAlign w:val="center"/>
          </w:tcPr>
          <w:p>
            <w:pPr>
              <w:spacing w:line="440" w:lineRule="exact"/>
              <w:jc w:val="center"/>
              <w:rPr>
                <w:rFonts w:ascii="宋体" w:hAnsi="宋体"/>
                <w:sz w:val="24"/>
              </w:rPr>
            </w:pPr>
            <w:r>
              <w:rPr>
                <w:rFonts w:hint="eastAsia" w:ascii="宋体" w:hAnsi="宋体"/>
                <w:sz w:val="24"/>
              </w:rPr>
              <w:t>项目负责人（兼任设计负责人）（2分）</w:t>
            </w:r>
          </w:p>
        </w:tc>
        <w:tc>
          <w:tcPr>
            <w:tcW w:w="5387" w:type="dxa"/>
            <w:vAlign w:val="center"/>
          </w:tcPr>
          <w:p>
            <w:pPr>
              <w:pStyle w:val="518"/>
              <w:spacing w:line="440" w:lineRule="exact"/>
              <w:ind w:left="1" w:leftChars="-171" w:hanging="360" w:hangingChars="150"/>
              <w:rPr>
                <w:rFonts w:ascii="宋体" w:hAnsi="宋体"/>
                <w:sz w:val="24"/>
              </w:rPr>
            </w:pPr>
            <w:r>
              <w:rPr>
                <w:rFonts w:hint="eastAsia" w:ascii="宋体" w:hAnsi="宋体"/>
                <w:sz w:val="24"/>
              </w:rPr>
              <w:t>提提供的项目负责人（兼任设计负责人）在满足资格审查要求的得1分，具备注册咨询工程师（投资）证书，加1分。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2"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1559" w:type="dxa"/>
            <w:vAlign w:val="center"/>
          </w:tcPr>
          <w:p>
            <w:pPr>
              <w:spacing w:line="440" w:lineRule="exact"/>
              <w:jc w:val="center"/>
              <w:rPr>
                <w:rFonts w:ascii="宋体" w:hAnsi="宋体"/>
                <w:sz w:val="24"/>
              </w:rPr>
            </w:pPr>
            <w:r>
              <w:rPr>
                <w:rFonts w:hint="eastAsia" w:ascii="宋体" w:hAnsi="宋体"/>
                <w:sz w:val="24"/>
              </w:rPr>
              <w:t>设计组织机构及主要人员配置</w:t>
            </w:r>
          </w:p>
          <w:p>
            <w:pPr>
              <w:spacing w:line="440" w:lineRule="exact"/>
              <w:jc w:val="center"/>
              <w:rPr>
                <w:rFonts w:ascii="宋体" w:hAnsi="宋体"/>
                <w:sz w:val="24"/>
              </w:rPr>
            </w:pPr>
            <w:r>
              <w:rPr>
                <w:rFonts w:hint="eastAsia" w:ascii="宋体" w:hAnsi="宋体"/>
                <w:sz w:val="24"/>
              </w:rPr>
              <w:t>（5</w:t>
            </w:r>
            <w:r>
              <w:rPr>
                <w:rFonts w:ascii="宋体" w:hAnsi="宋体"/>
                <w:sz w:val="24"/>
              </w:rPr>
              <w:t>分）</w:t>
            </w:r>
          </w:p>
        </w:tc>
        <w:tc>
          <w:tcPr>
            <w:tcW w:w="5387" w:type="dxa"/>
            <w:vAlign w:val="center"/>
          </w:tcPr>
          <w:p>
            <w:pPr>
              <w:pStyle w:val="518"/>
              <w:numPr>
                <w:ilvl w:val="0"/>
                <w:numId w:val="4"/>
              </w:numPr>
              <w:spacing w:line="440" w:lineRule="exact"/>
              <w:ind w:firstLineChars="0"/>
              <w:rPr>
                <w:rFonts w:ascii="宋体" w:hAnsi="宋体"/>
                <w:sz w:val="24"/>
              </w:rPr>
            </w:pPr>
            <w:r>
              <w:rPr>
                <w:rFonts w:hint="eastAsia" w:ascii="宋体" w:hAnsi="宋体"/>
                <w:sz w:val="24"/>
              </w:rPr>
              <w:t>设计组织机构管理体系完善，针对性强，有科学严谨的管理程序，人员安排的专业，配置合理齐全、设计人员现场跟踪服务承诺具体完善的得</w:t>
            </w:r>
            <w:r>
              <w:rPr>
                <w:rFonts w:ascii="宋体" w:hAnsi="宋体"/>
                <w:sz w:val="24"/>
              </w:rPr>
              <w:t>4</w:t>
            </w:r>
            <w:r>
              <w:rPr>
                <w:rFonts w:hint="eastAsia" w:ascii="宋体" w:hAnsi="宋体"/>
                <w:sz w:val="24"/>
              </w:rPr>
              <w:t>-5分；</w:t>
            </w:r>
          </w:p>
          <w:p>
            <w:pPr>
              <w:pStyle w:val="518"/>
              <w:numPr>
                <w:ilvl w:val="0"/>
                <w:numId w:val="4"/>
              </w:numPr>
              <w:spacing w:line="440" w:lineRule="exact"/>
              <w:ind w:firstLineChars="0"/>
              <w:rPr>
                <w:rFonts w:ascii="宋体" w:hAnsi="宋体"/>
                <w:sz w:val="24"/>
              </w:rPr>
            </w:pPr>
            <w:r>
              <w:rPr>
                <w:rFonts w:hint="eastAsia" w:ascii="宋体" w:hAnsi="宋体"/>
                <w:sz w:val="24"/>
              </w:rPr>
              <w:t>设计组织机构管理体系完善，有针对性，有管理程序，主要人员安排的专业配置基本合理、设计人员现场跟踪服务承诺基本满足要求的得</w:t>
            </w:r>
            <w:r>
              <w:rPr>
                <w:rFonts w:ascii="宋体" w:hAnsi="宋体"/>
                <w:sz w:val="24"/>
              </w:rPr>
              <w:t>2-3</w:t>
            </w:r>
            <w:r>
              <w:rPr>
                <w:rFonts w:hint="eastAsia" w:ascii="宋体" w:hAnsi="宋体"/>
                <w:sz w:val="24"/>
              </w:rPr>
              <w:t>分；</w:t>
            </w:r>
          </w:p>
          <w:p>
            <w:pPr>
              <w:pStyle w:val="518"/>
              <w:numPr>
                <w:ilvl w:val="0"/>
                <w:numId w:val="4"/>
              </w:numPr>
              <w:snapToGrid w:val="0"/>
              <w:spacing w:line="440" w:lineRule="exact"/>
              <w:ind w:firstLineChars="0"/>
              <w:rPr>
                <w:rFonts w:ascii="宋体" w:hAnsi="宋体"/>
                <w:sz w:val="24"/>
              </w:rPr>
            </w:pPr>
            <w:r>
              <w:rPr>
                <w:rFonts w:hint="eastAsia" w:ascii="宋体" w:hAnsi="宋体"/>
                <w:sz w:val="24"/>
              </w:rPr>
              <w:t>其他情形的得</w:t>
            </w:r>
            <w:r>
              <w:rPr>
                <w:rFonts w:ascii="宋体" w:hAnsi="宋体"/>
                <w:sz w:val="24"/>
              </w:rPr>
              <w:t>0-</w:t>
            </w:r>
            <w:r>
              <w:rPr>
                <w:rFonts w:hint="eastAsia" w:ascii="宋体" w:hAnsi="宋体"/>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2" w:type="dxa"/>
            <w:vMerge w:val="restart"/>
            <w:vAlign w:val="center"/>
          </w:tcPr>
          <w:p>
            <w:pPr>
              <w:spacing w:line="440" w:lineRule="exact"/>
              <w:rPr>
                <w:rFonts w:ascii="宋体" w:hAnsi="宋体"/>
                <w:color w:val="000000" w:themeColor="text1"/>
                <w:spacing w:val="-12"/>
                <w:sz w:val="24"/>
                <w14:textFill>
                  <w14:solidFill>
                    <w14:schemeClr w14:val="tx1"/>
                  </w14:solidFill>
                </w14:textFill>
              </w:rPr>
            </w:pPr>
            <w:r>
              <w:rPr>
                <w:rFonts w:hint="eastAsia" w:ascii="宋体" w:hAnsi="宋体"/>
                <w:color w:val="000000" w:themeColor="text1"/>
                <w:spacing w:val="-12"/>
                <w:sz w:val="24"/>
                <w14:textFill>
                  <w14:solidFill>
                    <w14:schemeClr w14:val="tx1"/>
                  </w14:solidFill>
                </w14:textFill>
              </w:rPr>
              <w:t>施工部分评审</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pacing w:val="-12"/>
                <w:sz w:val="24"/>
                <w14:textFill>
                  <w14:solidFill>
                    <w14:schemeClr w14:val="tx1"/>
                  </w14:solidFill>
                </w14:textFill>
              </w:rPr>
              <w:t>(</w:t>
            </w:r>
            <w:r>
              <w:rPr>
                <w:rFonts w:hint="eastAsia" w:ascii="宋体" w:hAnsi="宋体"/>
                <w:color w:val="000000" w:themeColor="text1"/>
                <w:spacing w:val="-12"/>
                <w:sz w:val="24"/>
                <w14:textFill>
                  <w14:solidFill>
                    <w14:schemeClr w14:val="tx1"/>
                  </w14:solidFill>
                </w14:textFill>
              </w:rPr>
              <w:t>35</w:t>
            </w:r>
            <w:r>
              <w:rPr>
                <w:rFonts w:ascii="宋体" w:hAnsi="宋体"/>
                <w:color w:val="000000" w:themeColor="text1"/>
                <w:spacing w:val="-12"/>
                <w:sz w:val="24"/>
                <w14:textFill>
                  <w14:solidFill>
                    <w14:schemeClr w14:val="tx1"/>
                  </w14:solidFill>
                </w14:textFill>
              </w:rPr>
              <w:t>分)</w:t>
            </w:r>
          </w:p>
        </w:tc>
        <w:tc>
          <w:tcPr>
            <w:tcW w:w="1559" w:type="dxa"/>
            <w:vAlign w:val="center"/>
          </w:tcPr>
          <w:p>
            <w:pPr>
              <w:spacing w:line="440" w:lineRule="exact"/>
              <w:jc w:val="center"/>
              <w:rPr>
                <w:rFonts w:ascii="宋体" w:hAnsi="宋体"/>
                <w:sz w:val="24"/>
              </w:rPr>
            </w:pPr>
            <w:r>
              <w:rPr>
                <w:rFonts w:hint="eastAsia" w:ascii="宋体" w:hAnsi="宋体"/>
                <w:sz w:val="24"/>
              </w:rPr>
              <w:t>对项目的理解、重难点分析及合理化建议（10</w:t>
            </w:r>
            <w:r>
              <w:rPr>
                <w:rFonts w:ascii="宋体" w:hAnsi="宋体"/>
                <w:sz w:val="24"/>
              </w:rPr>
              <w:t>分）</w:t>
            </w:r>
          </w:p>
        </w:tc>
        <w:tc>
          <w:tcPr>
            <w:tcW w:w="5387" w:type="dxa"/>
            <w:vAlign w:val="center"/>
          </w:tcPr>
          <w:p>
            <w:pPr>
              <w:pStyle w:val="518"/>
              <w:numPr>
                <w:ilvl w:val="0"/>
                <w:numId w:val="5"/>
              </w:numPr>
              <w:spacing w:line="440" w:lineRule="exact"/>
              <w:ind w:firstLineChars="0"/>
              <w:rPr>
                <w:rFonts w:ascii="宋体" w:hAnsi="宋体"/>
                <w:sz w:val="24"/>
              </w:rPr>
            </w:pPr>
            <w:r>
              <w:rPr>
                <w:rFonts w:hint="eastAsia" w:ascii="宋体" w:hAnsi="宋体"/>
                <w:sz w:val="24"/>
              </w:rPr>
              <w:t>对招标项目施工的关键技术、工艺有明确、深入的表述；对施工重点、难点、经济、安全的解决方案和保证措施方案针对性强；对本项目给出合理化建议符合项目实际、切实可行的得8-10分；</w:t>
            </w:r>
          </w:p>
          <w:p>
            <w:pPr>
              <w:pStyle w:val="518"/>
              <w:numPr>
                <w:ilvl w:val="0"/>
                <w:numId w:val="5"/>
              </w:numPr>
              <w:spacing w:line="440" w:lineRule="exact"/>
              <w:ind w:firstLineChars="0"/>
              <w:rPr>
                <w:rFonts w:ascii="宋体" w:hAnsi="宋体"/>
                <w:sz w:val="24"/>
              </w:rPr>
            </w:pPr>
            <w:r>
              <w:rPr>
                <w:rFonts w:hint="eastAsia" w:ascii="宋体" w:hAnsi="宋体"/>
                <w:sz w:val="24"/>
              </w:rPr>
              <w:t>对招标项目施工的关键技术、工艺有明确、深入的表述；对施工重点、难点、经济、安全的解决方案和保证措施方案针对性一般；对本项目给出合理化建议与本项目契合度一般的得5-7分；</w:t>
            </w:r>
          </w:p>
          <w:p>
            <w:pPr>
              <w:pStyle w:val="518"/>
              <w:numPr>
                <w:ilvl w:val="0"/>
                <w:numId w:val="5"/>
              </w:numPr>
              <w:spacing w:line="440" w:lineRule="exact"/>
              <w:ind w:firstLineChars="0"/>
              <w:rPr>
                <w:rFonts w:ascii="宋体" w:hAnsi="宋体"/>
                <w:sz w:val="24"/>
              </w:rPr>
            </w:pPr>
            <w:r>
              <w:rPr>
                <w:rFonts w:hint="eastAsia" w:ascii="宋体" w:hAnsi="宋体"/>
                <w:sz w:val="24"/>
              </w:rPr>
              <w:t>对招标项目施工的关键技术、工艺表述简单；对施工重点、难点、经济、安全的解决方案和保证措施方案针对性一般；对本项目给出合理化建议与本项目契合度差的得2-4分；</w:t>
            </w:r>
          </w:p>
          <w:p>
            <w:pPr>
              <w:pStyle w:val="518"/>
              <w:numPr>
                <w:ilvl w:val="0"/>
                <w:numId w:val="5"/>
              </w:numPr>
              <w:spacing w:line="440" w:lineRule="exact"/>
              <w:ind w:firstLineChars="0"/>
              <w:rPr>
                <w:rFonts w:ascii="宋体" w:hAnsi="宋体"/>
                <w:sz w:val="24"/>
              </w:rPr>
            </w:pPr>
            <w:r>
              <w:rPr>
                <w:rFonts w:hint="eastAsia" w:ascii="宋体" w:hAnsi="宋体"/>
                <w:sz w:val="24"/>
              </w:rPr>
              <w:t>其他情形的得0-1分。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2"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1559" w:type="dxa"/>
            <w:vAlign w:val="center"/>
          </w:tcPr>
          <w:p>
            <w:pPr>
              <w:spacing w:line="440" w:lineRule="exact"/>
              <w:jc w:val="center"/>
              <w:rPr>
                <w:rFonts w:ascii="宋体" w:hAnsi="宋体"/>
                <w:sz w:val="24"/>
              </w:rPr>
            </w:pPr>
            <w:r>
              <w:rPr>
                <w:rFonts w:hint="eastAsia" w:ascii="宋体" w:hAnsi="宋体"/>
                <w:sz w:val="24"/>
              </w:rPr>
              <w:t>施工方案与技术措施</w:t>
            </w:r>
          </w:p>
          <w:p>
            <w:pPr>
              <w:spacing w:line="440" w:lineRule="exact"/>
              <w:jc w:val="center"/>
              <w:rPr>
                <w:rFonts w:ascii="宋体" w:hAnsi="宋体"/>
                <w:sz w:val="24"/>
              </w:rPr>
            </w:pPr>
            <w:r>
              <w:rPr>
                <w:rFonts w:hint="eastAsia" w:ascii="宋体" w:hAnsi="宋体"/>
                <w:sz w:val="24"/>
              </w:rPr>
              <w:t>（3分）</w:t>
            </w:r>
          </w:p>
        </w:tc>
        <w:tc>
          <w:tcPr>
            <w:tcW w:w="5387" w:type="dxa"/>
            <w:vAlign w:val="center"/>
          </w:tcPr>
          <w:p>
            <w:pPr>
              <w:pStyle w:val="518"/>
              <w:numPr>
                <w:ilvl w:val="0"/>
                <w:numId w:val="6"/>
              </w:numPr>
              <w:spacing w:line="440" w:lineRule="exact"/>
              <w:ind w:firstLineChars="0"/>
              <w:rPr>
                <w:rFonts w:ascii="宋体" w:hAnsi="宋体"/>
                <w:sz w:val="24"/>
              </w:rPr>
            </w:pPr>
            <w:r>
              <w:rPr>
                <w:rFonts w:hint="eastAsia" w:ascii="宋体" w:hAnsi="宋体"/>
                <w:sz w:val="24"/>
              </w:rPr>
              <w:t>项目总体概况表述清晰、完整，部署及措施先进、可靠，完全符合环保、安全、文明生产要求的得3分；</w:t>
            </w:r>
          </w:p>
          <w:p>
            <w:pPr>
              <w:pStyle w:val="518"/>
              <w:numPr>
                <w:ilvl w:val="0"/>
                <w:numId w:val="6"/>
              </w:numPr>
              <w:spacing w:line="440" w:lineRule="exact"/>
              <w:ind w:firstLineChars="0"/>
              <w:rPr>
                <w:rFonts w:ascii="宋体" w:hAnsi="宋体"/>
                <w:sz w:val="24"/>
              </w:rPr>
            </w:pPr>
            <w:r>
              <w:rPr>
                <w:rFonts w:hint="eastAsia" w:ascii="宋体" w:hAnsi="宋体"/>
                <w:sz w:val="24"/>
              </w:rPr>
              <w:t>项目总体概况表述较清晰、完整，部署及措施具体较可靠，基本符合环保、安全、文明生产要求的得2分；</w:t>
            </w:r>
          </w:p>
          <w:p>
            <w:pPr>
              <w:pStyle w:val="518"/>
              <w:numPr>
                <w:ilvl w:val="0"/>
                <w:numId w:val="6"/>
              </w:numPr>
              <w:spacing w:line="440" w:lineRule="exact"/>
              <w:ind w:firstLineChars="0"/>
              <w:rPr>
                <w:rFonts w:ascii="宋体" w:hAnsi="宋体"/>
                <w:sz w:val="24"/>
              </w:rPr>
            </w:pPr>
            <w:r>
              <w:rPr>
                <w:rFonts w:hint="eastAsia" w:ascii="宋体" w:hAnsi="宋体"/>
                <w:sz w:val="24"/>
              </w:rPr>
              <w:t>其他情形的得0-1分。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2"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1559"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质量管理体系与措施</w:t>
            </w:r>
          </w:p>
          <w:p>
            <w:pPr>
              <w:spacing w:line="440" w:lineRule="exact"/>
              <w:jc w:val="center"/>
              <w:rPr>
                <w:rFonts w:ascii="宋体" w:hAnsi="宋体"/>
                <w:sz w:val="24"/>
              </w:rPr>
            </w:pPr>
            <w:r>
              <w:rPr>
                <w:rFonts w:hint="eastAsia" w:ascii="宋体" w:hAnsi="宋体"/>
                <w:sz w:val="24"/>
              </w:rPr>
              <w:t>（3分）</w:t>
            </w:r>
          </w:p>
        </w:tc>
        <w:tc>
          <w:tcPr>
            <w:tcW w:w="5387" w:type="dxa"/>
            <w:tcBorders>
              <w:bottom w:val="single" w:color="auto" w:sz="4" w:space="0"/>
            </w:tcBorders>
            <w:vAlign w:val="center"/>
          </w:tcPr>
          <w:p>
            <w:pPr>
              <w:pStyle w:val="518"/>
              <w:numPr>
                <w:ilvl w:val="0"/>
                <w:numId w:val="7"/>
              </w:numPr>
              <w:spacing w:line="440" w:lineRule="exact"/>
              <w:ind w:firstLineChars="0"/>
              <w:rPr>
                <w:rFonts w:ascii="宋体" w:hAnsi="宋体"/>
                <w:sz w:val="24"/>
              </w:rPr>
            </w:pPr>
            <w:r>
              <w:rPr>
                <w:rFonts w:hint="eastAsia" w:ascii="宋体" w:hAnsi="宋体"/>
                <w:sz w:val="24"/>
              </w:rPr>
              <w:t>质量符合或优于招标文件要求且目标明确；质量管理机构健全，职责分工明确，管理制度齐全；实施与监控措施全面、有效</w:t>
            </w:r>
            <w:r>
              <w:rPr>
                <w:rFonts w:ascii="宋体" w:hAnsi="宋体"/>
                <w:sz w:val="24"/>
              </w:rPr>
              <w:t>的得</w:t>
            </w:r>
            <w:r>
              <w:rPr>
                <w:rFonts w:hint="eastAsia" w:ascii="宋体" w:hAnsi="宋体"/>
                <w:sz w:val="24"/>
              </w:rPr>
              <w:t>3</w:t>
            </w:r>
            <w:r>
              <w:rPr>
                <w:rFonts w:ascii="宋体" w:hAnsi="宋体"/>
                <w:sz w:val="24"/>
              </w:rPr>
              <w:t>分；</w:t>
            </w:r>
          </w:p>
          <w:p>
            <w:pPr>
              <w:pStyle w:val="518"/>
              <w:numPr>
                <w:ilvl w:val="0"/>
                <w:numId w:val="7"/>
              </w:numPr>
              <w:spacing w:line="440" w:lineRule="exact"/>
              <w:ind w:firstLineChars="0"/>
              <w:rPr>
                <w:rFonts w:ascii="宋体" w:hAnsi="宋体"/>
                <w:sz w:val="24"/>
              </w:rPr>
            </w:pPr>
            <w:r>
              <w:rPr>
                <w:rFonts w:hint="eastAsia" w:ascii="宋体" w:hAnsi="宋体"/>
                <w:sz w:val="24"/>
              </w:rPr>
              <w:t>质量目标符合招标文件要求且目标明确；管理机构基本健全，职责分工基本明确，管理制度基本齐全，实施与监控措施基本完整</w:t>
            </w:r>
            <w:r>
              <w:rPr>
                <w:rFonts w:ascii="宋体" w:hAnsi="宋体"/>
                <w:sz w:val="24"/>
              </w:rPr>
              <w:t>的得</w:t>
            </w:r>
            <w:r>
              <w:rPr>
                <w:rFonts w:hint="eastAsia" w:ascii="宋体" w:hAnsi="宋体"/>
                <w:sz w:val="24"/>
              </w:rPr>
              <w:t>2</w:t>
            </w:r>
            <w:r>
              <w:rPr>
                <w:rFonts w:ascii="宋体" w:hAnsi="宋体"/>
                <w:sz w:val="24"/>
              </w:rPr>
              <w:t>分；</w:t>
            </w:r>
          </w:p>
          <w:p>
            <w:pPr>
              <w:pStyle w:val="518"/>
              <w:numPr>
                <w:ilvl w:val="0"/>
                <w:numId w:val="7"/>
              </w:numPr>
              <w:spacing w:line="440" w:lineRule="exact"/>
              <w:ind w:firstLineChars="0"/>
              <w:rPr>
                <w:rFonts w:ascii="宋体" w:hAnsi="宋体"/>
                <w:sz w:val="24"/>
              </w:rPr>
            </w:pPr>
            <w:r>
              <w:rPr>
                <w:rFonts w:hint="eastAsia" w:ascii="宋体" w:hAnsi="宋体"/>
                <w:sz w:val="24"/>
              </w:rPr>
              <w:t>其他情形的得0-1分。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2"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1559" w:type="dxa"/>
            <w:tcBorders>
              <w:top w:val="single" w:color="auto" w:sz="4" w:space="0"/>
            </w:tcBorders>
            <w:vAlign w:val="center"/>
          </w:tcPr>
          <w:p>
            <w:pPr>
              <w:spacing w:line="440" w:lineRule="exact"/>
              <w:jc w:val="center"/>
              <w:rPr>
                <w:rFonts w:ascii="宋体" w:hAnsi="宋体"/>
                <w:sz w:val="24"/>
              </w:rPr>
            </w:pPr>
            <w:r>
              <w:rPr>
                <w:rFonts w:hint="eastAsia" w:ascii="宋体" w:hAnsi="宋体"/>
                <w:sz w:val="24"/>
              </w:rPr>
              <w:t>环境保护安全管理体系与措施</w:t>
            </w:r>
          </w:p>
          <w:p>
            <w:pPr>
              <w:spacing w:line="440" w:lineRule="exact"/>
              <w:jc w:val="center"/>
              <w:rPr>
                <w:rFonts w:ascii="宋体" w:hAnsi="宋体"/>
                <w:sz w:val="24"/>
              </w:rPr>
            </w:pPr>
            <w:r>
              <w:rPr>
                <w:rFonts w:hint="eastAsia" w:ascii="宋体" w:hAnsi="宋体"/>
                <w:sz w:val="24"/>
              </w:rPr>
              <w:t>（3分）</w:t>
            </w:r>
          </w:p>
        </w:tc>
        <w:tc>
          <w:tcPr>
            <w:tcW w:w="5387" w:type="dxa"/>
            <w:tcBorders>
              <w:top w:val="single" w:color="auto" w:sz="4" w:space="0"/>
            </w:tcBorders>
            <w:vAlign w:val="center"/>
          </w:tcPr>
          <w:p>
            <w:pPr>
              <w:pStyle w:val="518"/>
              <w:numPr>
                <w:ilvl w:val="0"/>
                <w:numId w:val="8"/>
              </w:numPr>
              <w:spacing w:line="440" w:lineRule="exact"/>
              <w:ind w:firstLineChars="0"/>
              <w:rPr>
                <w:rFonts w:ascii="宋体" w:hAnsi="宋体"/>
                <w:sz w:val="24"/>
              </w:rPr>
            </w:pPr>
            <w:r>
              <w:rPr>
                <w:rFonts w:hint="eastAsia" w:ascii="宋体" w:hAnsi="宋体"/>
                <w:sz w:val="24"/>
              </w:rPr>
              <w:t>环境保护安全目标符合或优于招标文件的要求，安全管理机构健全，职责分工明确，管理制度齐全，实施与监控措施全面、有效的得3分；</w:t>
            </w:r>
          </w:p>
          <w:p>
            <w:pPr>
              <w:pStyle w:val="518"/>
              <w:numPr>
                <w:ilvl w:val="0"/>
                <w:numId w:val="8"/>
              </w:numPr>
              <w:spacing w:line="440" w:lineRule="exact"/>
              <w:ind w:firstLineChars="0"/>
              <w:rPr>
                <w:rFonts w:ascii="宋体" w:hAnsi="宋体"/>
                <w:sz w:val="24"/>
              </w:rPr>
            </w:pPr>
            <w:r>
              <w:rPr>
                <w:rFonts w:hint="eastAsia" w:ascii="宋体" w:hAnsi="宋体"/>
                <w:sz w:val="24"/>
              </w:rPr>
              <w:t>全目标符合招标文件要求，管理机构基本健全，职责分工基本明确，管理制度基本齐全，实施与监控措施基本完整的得2分；</w:t>
            </w:r>
          </w:p>
          <w:p>
            <w:pPr>
              <w:pStyle w:val="518"/>
              <w:numPr>
                <w:ilvl w:val="0"/>
                <w:numId w:val="8"/>
              </w:numPr>
              <w:snapToGrid w:val="0"/>
              <w:spacing w:line="440" w:lineRule="exact"/>
              <w:ind w:firstLineChars="0"/>
              <w:rPr>
                <w:rFonts w:ascii="宋体" w:hAnsi="宋体"/>
                <w:sz w:val="24"/>
              </w:rPr>
            </w:pPr>
            <w:r>
              <w:rPr>
                <w:rFonts w:hint="eastAsia" w:ascii="宋体" w:hAnsi="宋体"/>
                <w:sz w:val="24"/>
              </w:rPr>
              <w:t>其他情形的得0-1分。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2"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1559" w:type="dxa"/>
            <w:vAlign w:val="center"/>
          </w:tcPr>
          <w:p>
            <w:pPr>
              <w:spacing w:line="440" w:lineRule="exact"/>
              <w:jc w:val="center"/>
              <w:rPr>
                <w:rFonts w:ascii="宋体" w:hAnsi="宋体"/>
                <w:sz w:val="24"/>
              </w:rPr>
            </w:pPr>
            <w:r>
              <w:rPr>
                <w:rFonts w:hint="eastAsia" w:ascii="宋体" w:hAnsi="宋体"/>
                <w:sz w:val="24"/>
              </w:rPr>
              <w:t>工期承诺与保证措施（3分）</w:t>
            </w:r>
          </w:p>
        </w:tc>
        <w:tc>
          <w:tcPr>
            <w:tcW w:w="5387" w:type="dxa"/>
            <w:vAlign w:val="center"/>
          </w:tcPr>
          <w:p>
            <w:pPr>
              <w:pStyle w:val="518"/>
              <w:numPr>
                <w:ilvl w:val="0"/>
                <w:numId w:val="9"/>
              </w:numPr>
              <w:spacing w:line="440" w:lineRule="exact"/>
              <w:ind w:firstLineChars="0"/>
              <w:rPr>
                <w:rFonts w:ascii="宋体" w:hAnsi="宋体"/>
                <w:sz w:val="24"/>
              </w:rPr>
            </w:pPr>
            <w:r>
              <w:rPr>
                <w:rFonts w:hint="eastAsia" w:ascii="宋体" w:hAnsi="宋体"/>
                <w:sz w:val="24"/>
              </w:rPr>
              <w:t>工期满足招标文件要求，计划合理、可行，有具体的违约处罚，且措施有力、合理、可行</w:t>
            </w:r>
            <w:r>
              <w:rPr>
                <w:rFonts w:ascii="宋体" w:hAnsi="宋体"/>
                <w:sz w:val="24"/>
              </w:rPr>
              <w:t>的得</w:t>
            </w:r>
            <w:r>
              <w:rPr>
                <w:rFonts w:hint="eastAsia" w:ascii="宋体" w:hAnsi="宋体"/>
                <w:sz w:val="24"/>
              </w:rPr>
              <w:t>3</w:t>
            </w:r>
            <w:r>
              <w:rPr>
                <w:rFonts w:ascii="宋体" w:hAnsi="宋体"/>
                <w:sz w:val="24"/>
              </w:rPr>
              <w:t>分；</w:t>
            </w:r>
          </w:p>
          <w:p>
            <w:pPr>
              <w:pStyle w:val="518"/>
              <w:numPr>
                <w:ilvl w:val="0"/>
                <w:numId w:val="9"/>
              </w:numPr>
              <w:spacing w:line="440" w:lineRule="exact"/>
              <w:ind w:firstLineChars="0"/>
              <w:rPr>
                <w:rFonts w:ascii="宋体" w:hAnsi="宋体"/>
                <w:sz w:val="24"/>
              </w:rPr>
            </w:pPr>
            <w:r>
              <w:rPr>
                <w:rFonts w:hint="eastAsia" w:ascii="宋体" w:hAnsi="宋体"/>
                <w:sz w:val="24"/>
              </w:rPr>
              <w:t>工期满足招标文件要求，计划不够合理，违约处罚不够具体，措施基本可行</w:t>
            </w:r>
            <w:r>
              <w:rPr>
                <w:rFonts w:ascii="宋体" w:hAnsi="宋体"/>
                <w:sz w:val="24"/>
              </w:rPr>
              <w:t>的得</w:t>
            </w:r>
            <w:r>
              <w:rPr>
                <w:rFonts w:hint="eastAsia" w:ascii="宋体" w:hAnsi="宋体"/>
                <w:sz w:val="24"/>
              </w:rPr>
              <w:t>2</w:t>
            </w:r>
            <w:r>
              <w:rPr>
                <w:rFonts w:ascii="宋体" w:hAnsi="宋体"/>
                <w:sz w:val="24"/>
              </w:rPr>
              <w:t>分；</w:t>
            </w:r>
          </w:p>
          <w:p>
            <w:pPr>
              <w:pStyle w:val="518"/>
              <w:numPr>
                <w:ilvl w:val="0"/>
                <w:numId w:val="9"/>
              </w:numPr>
              <w:spacing w:line="440" w:lineRule="exact"/>
              <w:ind w:firstLineChars="0"/>
              <w:rPr>
                <w:rFonts w:ascii="宋体" w:hAnsi="宋体"/>
                <w:sz w:val="24"/>
              </w:rPr>
            </w:pPr>
            <w:r>
              <w:rPr>
                <w:rFonts w:hint="eastAsia" w:ascii="宋体" w:hAnsi="宋体"/>
                <w:sz w:val="24"/>
              </w:rPr>
              <w:t>其他情形的得0-1分。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2"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1559" w:type="dxa"/>
            <w:vAlign w:val="center"/>
          </w:tcPr>
          <w:p>
            <w:pPr>
              <w:spacing w:line="440" w:lineRule="exact"/>
              <w:jc w:val="center"/>
              <w:rPr>
                <w:rFonts w:ascii="宋体" w:hAnsi="宋体"/>
                <w:sz w:val="24"/>
              </w:rPr>
            </w:pPr>
            <w:r>
              <w:rPr>
                <w:rFonts w:hint="eastAsia" w:ascii="宋体" w:hAnsi="宋体"/>
                <w:sz w:val="24"/>
              </w:rPr>
              <w:t>资源配备计划（2</w:t>
            </w:r>
            <w:r>
              <w:rPr>
                <w:rFonts w:ascii="宋体" w:hAnsi="宋体"/>
                <w:sz w:val="24"/>
              </w:rPr>
              <w:t>分）</w:t>
            </w:r>
          </w:p>
        </w:tc>
        <w:tc>
          <w:tcPr>
            <w:tcW w:w="5387" w:type="dxa"/>
            <w:vAlign w:val="center"/>
          </w:tcPr>
          <w:p>
            <w:pPr>
              <w:spacing w:line="440" w:lineRule="exact"/>
              <w:rPr>
                <w:rFonts w:ascii="宋体" w:hAnsi="宋体"/>
                <w:sz w:val="24"/>
              </w:rPr>
            </w:pPr>
            <w:r>
              <w:rPr>
                <w:rFonts w:hint="eastAsia" w:ascii="宋体" w:hAnsi="宋体"/>
                <w:sz w:val="24"/>
              </w:rPr>
              <w:t>①劳动力计划、施工机具计划、主要材料一次性需用量计划等资源投入计划与施工部署、施工方法及进度计划呼应，很好的满足施工需要，调配投入计划合理、准确全面的得2</w:t>
            </w:r>
            <w:r>
              <w:rPr>
                <w:rFonts w:ascii="宋体" w:hAnsi="宋体"/>
                <w:sz w:val="24"/>
              </w:rPr>
              <w:t>分；</w:t>
            </w:r>
          </w:p>
          <w:p>
            <w:pPr>
              <w:spacing w:line="440" w:lineRule="exact"/>
              <w:rPr>
                <w:rFonts w:ascii="宋体" w:hAnsi="宋体"/>
                <w:sz w:val="24"/>
              </w:rPr>
            </w:pPr>
            <w:r>
              <w:rPr>
                <w:rFonts w:hint="eastAsia" w:ascii="宋体" w:hAnsi="宋体"/>
                <w:sz w:val="24"/>
              </w:rPr>
              <w:t>②劳动力计划、施工机具计划、主要材料一次性需用量计划等资源投入计划与施工部署、施工方法及进度计划基本满足施工需要，调配投入计划基本合理的得1</w:t>
            </w:r>
            <w:r>
              <w:rPr>
                <w:rFonts w:ascii="宋体" w:hAnsi="宋体"/>
                <w:sz w:val="24"/>
              </w:rPr>
              <w:t>分；</w:t>
            </w:r>
          </w:p>
          <w:p>
            <w:pPr>
              <w:spacing w:line="440" w:lineRule="exact"/>
              <w:rPr>
                <w:rFonts w:ascii="宋体" w:hAnsi="宋体"/>
                <w:sz w:val="24"/>
              </w:rPr>
            </w:pPr>
            <w:r>
              <w:rPr>
                <w:rFonts w:hint="eastAsia" w:ascii="宋体" w:hAnsi="宋体"/>
                <w:sz w:val="24"/>
              </w:rPr>
              <w:t>③其他情形的不得分。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2"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1559" w:type="dxa"/>
            <w:vAlign w:val="center"/>
          </w:tcPr>
          <w:p>
            <w:pPr>
              <w:spacing w:line="440" w:lineRule="exact"/>
              <w:jc w:val="center"/>
              <w:rPr>
                <w:rFonts w:ascii="宋体" w:hAnsi="宋体"/>
                <w:sz w:val="24"/>
              </w:rPr>
            </w:pPr>
            <w:r>
              <w:rPr>
                <w:rFonts w:hint="eastAsia" w:ascii="宋体" w:hAnsi="宋体"/>
                <w:sz w:val="24"/>
              </w:rPr>
              <w:t>施工主要工序（3分）</w:t>
            </w:r>
          </w:p>
        </w:tc>
        <w:tc>
          <w:tcPr>
            <w:tcW w:w="5387" w:type="dxa"/>
            <w:vAlign w:val="center"/>
          </w:tcPr>
          <w:p>
            <w:pPr>
              <w:pStyle w:val="518"/>
              <w:numPr>
                <w:ilvl w:val="0"/>
                <w:numId w:val="10"/>
              </w:numPr>
              <w:spacing w:line="440" w:lineRule="exact"/>
              <w:ind w:firstLineChars="0"/>
              <w:rPr>
                <w:rFonts w:ascii="宋体" w:hAnsi="宋体"/>
                <w:sz w:val="24"/>
              </w:rPr>
            </w:pPr>
            <w:r>
              <w:rPr>
                <w:rFonts w:ascii="宋体" w:hAnsi="宋体"/>
                <w:sz w:val="24"/>
              </w:rPr>
              <w:t>施工主要工序阐述明细、合理，主要工种施工方法得当且有针对性的得</w:t>
            </w:r>
            <w:r>
              <w:rPr>
                <w:rFonts w:hint="eastAsia" w:ascii="宋体" w:hAnsi="宋体"/>
                <w:sz w:val="24"/>
              </w:rPr>
              <w:t>3</w:t>
            </w:r>
            <w:r>
              <w:rPr>
                <w:rFonts w:ascii="宋体" w:hAnsi="宋体"/>
                <w:sz w:val="24"/>
              </w:rPr>
              <w:t>分；</w:t>
            </w:r>
          </w:p>
          <w:p>
            <w:pPr>
              <w:spacing w:line="440" w:lineRule="exact"/>
              <w:rPr>
                <w:rFonts w:ascii="宋体" w:hAnsi="宋体"/>
                <w:sz w:val="24"/>
              </w:rPr>
            </w:pPr>
            <w:r>
              <w:rPr>
                <w:rFonts w:hint="eastAsia" w:ascii="宋体" w:hAnsi="宋体"/>
                <w:sz w:val="24"/>
              </w:rPr>
              <w:t>②</w:t>
            </w:r>
            <w:r>
              <w:rPr>
                <w:rFonts w:ascii="宋体" w:hAnsi="宋体"/>
                <w:sz w:val="24"/>
              </w:rPr>
              <w:t>施工主要工序有阐述、安排基本合理，有主要工种施工方法的得</w:t>
            </w:r>
            <w:r>
              <w:rPr>
                <w:rFonts w:hint="eastAsia" w:ascii="宋体" w:hAnsi="宋体"/>
                <w:sz w:val="24"/>
              </w:rPr>
              <w:t>2</w:t>
            </w:r>
            <w:r>
              <w:rPr>
                <w:rFonts w:ascii="宋体" w:hAnsi="宋体"/>
                <w:sz w:val="24"/>
              </w:rPr>
              <w:t>分；</w:t>
            </w:r>
          </w:p>
          <w:p>
            <w:pPr>
              <w:spacing w:line="440" w:lineRule="exact"/>
              <w:rPr>
                <w:rFonts w:ascii="宋体" w:hAnsi="宋体"/>
                <w:sz w:val="24"/>
              </w:rPr>
            </w:pPr>
            <w:r>
              <w:rPr>
                <w:rFonts w:hint="eastAsia" w:ascii="宋体" w:hAnsi="宋体"/>
                <w:sz w:val="24"/>
              </w:rPr>
              <w:t>③</w:t>
            </w:r>
            <w:r>
              <w:rPr>
                <w:rFonts w:hint="eastAsia" w:ascii="宋体" w:hAnsi="宋体"/>
                <w:sz w:val="24"/>
              </w:rPr>
              <w:tab/>
            </w:r>
            <w:r>
              <w:rPr>
                <w:rFonts w:hint="eastAsia" w:ascii="宋体" w:hAnsi="宋体"/>
                <w:sz w:val="24"/>
              </w:rPr>
              <w:t>其他情形的得0-1分。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2"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1559" w:type="dxa"/>
            <w:vAlign w:val="center"/>
          </w:tcPr>
          <w:p>
            <w:pPr>
              <w:spacing w:line="440" w:lineRule="exact"/>
              <w:jc w:val="center"/>
              <w:rPr>
                <w:rFonts w:ascii="宋体" w:hAnsi="宋体"/>
                <w:sz w:val="24"/>
              </w:rPr>
            </w:pPr>
            <w:r>
              <w:rPr>
                <w:rFonts w:hint="eastAsia" w:ascii="宋体" w:hAnsi="宋体"/>
                <w:sz w:val="24"/>
              </w:rPr>
              <w:t>项目管理机构配置</w:t>
            </w:r>
          </w:p>
          <w:p>
            <w:pPr>
              <w:spacing w:line="440" w:lineRule="exact"/>
              <w:jc w:val="center"/>
              <w:rPr>
                <w:rFonts w:ascii="宋体" w:hAnsi="宋体"/>
                <w:sz w:val="24"/>
              </w:rPr>
            </w:pPr>
            <w:r>
              <w:rPr>
                <w:rFonts w:hint="eastAsia" w:ascii="宋体" w:hAnsi="宋体"/>
                <w:sz w:val="24"/>
              </w:rPr>
              <w:t>（3分）</w:t>
            </w:r>
          </w:p>
        </w:tc>
        <w:tc>
          <w:tcPr>
            <w:tcW w:w="5387" w:type="dxa"/>
            <w:vAlign w:val="center"/>
          </w:tcPr>
          <w:p>
            <w:pPr>
              <w:spacing w:line="440" w:lineRule="exact"/>
              <w:rPr>
                <w:rFonts w:ascii="宋体" w:hAnsi="宋体"/>
                <w:sz w:val="24"/>
              </w:rPr>
            </w:pPr>
            <w:r>
              <w:rPr>
                <w:rFonts w:hint="eastAsia" w:ascii="等线" w:hAnsi="等线" w:eastAsia="等线"/>
                <w:sz w:val="24"/>
              </w:rPr>
              <w:t>①</w:t>
            </w:r>
            <w:r>
              <w:rPr>
                <w:rFonts w:hint="eastAsia" w:ascii="宋体" w:hAnsi="宋体"/>
                <w:sz w:val="24"/>
              </w:rPr>
              <w:t>投标人拟定的项目经理符合招标文件规定的资格条件，项目管理人员针对工程实际配置且合理，能满足工程管理需要且有针对性，项目管理人员持证上岗</w:t>
            </w:r>
            <w:r>
              <w:rPr>
                <w:rFonts w:ascii="宋体" w:hAnsi="宋体"/>
                <w:sz w:val="24"/>
              </w:rPr>
              <w:t>的得3分；</w:t>
            </w:r>
          </w:p>
          <w:p>
            <w:pPr>
              <w:spacing w:line="440" w:lineRule="exact"/>
              <w:rPr>
                <w:rFonts w:ascii="宋体" w:hAnsi="宋体"/>
                <w:sz w:val="24"/>
              </w:rPr>
            </w:pPr>
            <w:r>
              <w:rPr>
                <w:rFonts w:hint="eastAsia" w:ascii="宋体" w:hAnsi="宋体"/>
                <w:sz w:val="24"/>
              </w:rPr>
              <w:t>②投标人拟定的项目经理符合招标文件规定的资格条件，项目管理人员配置基本满足工程管理需要，专业配置缺乏针对性，项目主要管理人员持证上岗</w:t>
            </w:r>
            <w:r>
              <w:rPr>
                <w:rFonts w:ascii="宋体" w:hAnsi="宋体"/>
                <w:sz w:val="24"/>
              </w:rPr>
              <w:t>的得1-2分</w:t>
            </w:r>
            <w:r>
              <w:rPr>
                <w:rFonts w:hint="eastAsia" w:ascii="宋体" w:hAnsi="宋体"/>
                <w:sz w:val="24"/>
              </w:rPr>
              <w:t>。</w:t>
            </w:r>
          </w:p>
          <w:p>
            <w:pPr>
              <w:spacing w:line="440" w:lineRule="exact"/>
              <w:rPr>
                <w:rFonts w:ascii="宋体" w:hAnsi="宋体"/>
                <w:sz w:val="24"/>
              </w:rPr>
            </w:pPr>
            <w:r>
              <w:rPr>
                <w:rFonts w:hint="eastAsia" w:ascii="宋体" w:hAnsi="宋体"/>
                <w:sz w:val="24"/>
              </w:rPr>
              <w:t>③未做任何说明的得</w:t>
            </w:r>
            <w:r>
              <w:rPr>
                <w:rFonts w:ascii="宋体" w:hAnsi="宋体"/>
                <w:sz w:val="24"/>
              </w:rPr>
              <w:t>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992"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企业业绩</w:t>
            </w:r>
          </w:p>
        </w:tc>
        <w:tc>
          <w:tcPr>
            <w:tcW w:w="1559" w:type="dxa"/>
            <w:vAlign w:val="center"/>
          </w:tcPr>
          <w:p>
            <w:pPr>
              <w:spacing w:line="440" w:lineRule="exact"/>
              <w:jc w:val="center"/>
              <w:rPr>
                <w:rFonts w:ascii="宋体" w:hAnsi="宋体"/>
                <w:sz w:val="24"/>
              </w:rPr>
            </w:pPr>
            <w:r>
              <w:rPr>
                <w:rFonts w:hint="eastAsia" w:ascii="宋体" w:hAnsi="宋体"/>
                <w:sz w:val="24"/>
              </w:rPr>
              <w:t>类似项目业绩（1</w:t>
            </w:r>
            <w:r>
              <w:rPr>
                <w:rFonts w:ascii="宋体" w:hAnsi="宋体"/>
                <w:sz w:val="24"/>
              </w:rPr>
              <w:t>0</w:t>
            </w:r>
            <w:r>
              <w:rPr>
                <w:rFonts w:hint="eastAsia" w:ascii="宋体" w:hAnsi="宋体"/>
                <w:sz w:val="24"/>
              </w:rPr>
              <w:t>分）</w:t>
            </w:r>
          </w:p>
        </w:tc>
        <w:tc>
          <w:tcPr>
            <w:tcW w:w="5387" w:type="dxa"/>
            <w:vAlign w:val="center"/>
          </w:tcPr>
          <w:p>
            <w:pPr>
              <w:spacing w:line="440" w:lineRule="exact"/>
              <w:rPr>
                <w:rFonts w:ascii="宋体" w:hAnsi="宋体"/>
                <w:snapToGrid w:val="0"/>
                <w:kern w:val="0"/>
                <w:sz w:val="24"/>
              </w:rPr>
            </w:pPr>
            <w:r>
              <w:rPr>
                <w:rFonts w:hint="eastAsia" w:ascii="宋体" w:hAnsi="宋体"/>
                <w:sz w:val="24"/>
              </w:rPr>
              <w:t>一、投标人（所有联合体各方）类似设计业绩满足资格审查要求的得基本分</w:t>
            </w:r>
            <w:r>
              <w:rPr>
                <w:rFonts w:ascii="宋体" w:hAnsi="宋体"/>
                <w:sz w:val="24"/>
              </w:rPr>
              <w:t>2</w:t>
            </w:r>
            <w:r>
              <w:rPr>
                <w:rFonts w:hint="eastAsia" w:ascii="宋体" w:hAnsi="宋体"/>
                <w:sz w:val="24"/>
              </w:rPr>
              <w:t>分。</w:t>
            </w:r>
          </w:p>
          <w:p>
            <w:pPr>
              <w:spacing w:line="440" w:lineRule="exact"/>
              <w:jc w:val="left"/>
              <w:rPr>
                <w:rFonts w:ascii="宋体" w:hAnsi="宋体"/>
                <w:snapToGrid w:val="0"/>
                <w:kern w:val="0"/>
                <w:sz w:val="24"/>
              </w:rPr>
            </w:pPr>
            <w:r>
              <w:rPr>
                <w:rFonts w:hint="eastAsia" w:ascii="宋体" w:hAnsi="宋体"/>
                <w:snapToGrid w:val="0"/>
                <w:kern w:val="0"/>
                <w:sz w:val="24"/>
              </w:rPr>
              <w:t>二、设计施工总承包业绩</w:t>
            </w:r>
          </w:p>
          <w:p>
            <w:pPr>
              <w:pStyle w:val="2"/>
              <w:spacing w:after="0"/>
              <w:ind w:left="0" w:leftChars="0" w:firstLine="480"/>
              <w:rPr>
                <w:rFonts w:ascii="宋体" w:hAnsi="宋体"/>
                <w:sz w:val="24"/>
              </w:rPr>
            </w:pPr>
            <w:r>
              <w:rPr>
                <w:rFonts w:ascii="宋体" w:hAnsi="宋体"/>
                <w:sz w:val="24"/>
              </w:rPr>
              <w:t>2019年（以合同签订时间为准）至今以设计人作为牵头方承担过一个建安工程费2000万元及其以上的市政公用工程</w:t>
            </w:r>
            <w:r>
              <w:rPr>
                <w:rFonts w:hint="eastAsia" w:ascii="宋体" w:hAnsi="宋体"/>
                <w:sz w:val="24"/>
              </w:rPr>
              <w:t>设计施工总承包项目的加</w:t>
            </w:r>
            <w:r>
              <w:rPr>
                <w:rFonts w:ascii="宋体" w:hAnsi="宋体"/>
                <w:sz w:val="24"/>
              </w:rPr>
              <w:t>1.5</w:t>
            </w:r>
            <w:r>
              <w:rPr>
                <w:rFonts w:hint="eastAsia" w:ascii="宋体" w:hAnsi="宋体"/>
                <w:sz w:val="24"/>
              </w:rPr>
              <w:t>分，最高加</w:t>
            </w:r>
            <w:r>
              <w:rPr>
                <w:rFonts w:ascii="宋体" w:hAnsi="宋体"/>
                <w:sz w:val="24"/>
              </w:rPr>
              <w:t>6</w:t>
            </w:r>
            <w:r>
              <w:rPr>
                <w:rFonts w:hint="eastAsia" w:ascii="宋体" w:hAnsi="宋体"/>
                <w:sz w:val="24"/>
              </w:rPr>
              <w:t>分。（提供业绩证明材料为中标通知书或合同协议书原件扫描件，若不能体现项目投资规模的提供业主证明材料。业绩须由具有相应设计资质的独立投标人或联合体成员中的设计单位提供</w:t>
            </w:r>
            <w:r>
              <w:rPr>
                <w:rFonts w:ascii="宋体" w:hAnsi="宋体"/>
                <w:sz w:val="24"/>
              </w:rPr>
              <w:t>,否则不予认可）。</w:t>
            </w:r>
          </w:p>
          <w:p>
            <w:pPr>
              <w:pStyle w:val="2"/>
              <w:spacing w:after="0"/>
              <w:ind w:left="0" w:leftChars="0" w:firstLine="0" w:firstLineChars="0"/>
              <w:rPr>
                <w:rFonts w:ascii="宋体" w:hAnsi="宋体"/>
                <w:sz w:val="24"/>
              </w:rPr>
            </w:pPr>
            <w:r>
              <w:rPr>
                <w:rFonts w:hint="eastAsia" w:ascii="宋体" w:hAnsi="宋体"/>
                <w:sz w:val="24"/>
              </w:rPr>
              <w:t>三、施工总承包业绩</w:t>
            </w:r>
          </w:p>
          <w:p>
            <w:pPr>
              <w:pStyle w:val="2"/>
              <w:spacing w:after="0"/>
              <w:ind w:left="0" w:leftChars="0" w:firstLine="480"/>
              <w:rPr>
                <w:highlight w:val="cyan"/>
              </w:rPr>
            </w:pPr>
            <w:r>
              <w:rPr>
                <w:rFonts w:ascii="宋体" w:hAnsi="宋体"/>
                <w:snapToGrid w:val="0"/>
                <w:kern w:val="0"/>
                <w:sz w:val="24"/>
              </w:rPr>
              <w:t>2019年-至今（以合同签订时间为准）</w:t>
            </w:r>
            <w:r>
              <w:rPr>
                <w:rFonts w:hint="eastAsia" w:ascii="宋体" w:hAnsi="宋体"/>
                <w:snapToGrid w:val="0"/>
                <w:kern w:val="0"/>
                <w:sz w:val="24"/>
              </w:rPr>
              <w:t>每承担过</w:t>
            </w:r>
            <w:r>
              <w:rPr>
                <w:rFonts w:ascii="宋体" w:hAnsi="宋体"/>
                <w:sz w:val="24"/>
              </w:rPr>
              <w:t>1个</w:t>
            </w:r>
            <w:r>
              <w:rPr>
                <w:rFonts w:hint="eastAsia" w:ascii="宋体" w:hAnsi="宋体"/>
                <w:sz w:val="24"/>
              </w:rPr>
              <w:t>建安工程费</w:t>
            </w:r>
            <w:r>
              <w:rPr>
                <w:rFonts w:ascii="宋体" w:hAnsi="宋体"/>
                <w:sz w:val="24"/>
              </w:rPr>
              <w:t>2000万元及</w:t>
            </w:r>
            <w:r>
              <w:rPr>
                <w:rFonts w:hint="eastAsia" w:ascii="宋体" w:hAnsi="宋体"/>
                <w:sz w:val="24"/>
              </w:rPr>
              <w:t>其以上的市政公用工程施工的加</w:t>
            </w:r>
            <w:r>
              <w:rPr>
                <w:rFonts w:ascii="宋体" w:hAnsi="宋体"/>
                <w:sz w:val="24"/>
              </w:rPr>
              <w:t>1分，</w:t>
            </w:r>
            <w:r>
              <w:rPr>
                <w:rFonts w:hint="eastAsia" w:ascii="宋体" w:hAnsi="宋体"/>
                <w:sz w:val="24"/>
              </w:rPr>
              <w:t>最高加</w:t>
            </w:r>
            <w:r>
              <w:rPr>
                <w:rFonts w:ascii="宋体" w:hAnsi="宋体"/>
                <w:sz w:val="24"/>
              </w:rPr>
              <w:t>2分。</w:t>
            </w:r>
            <w:r>
              <w:rPr>
                <w:rFonts w:hint="eastAsia" w:ascii="宋体" w:hAnsi="宋体"/>
                <w:sz w:val="24"/>
              </w:rPr>
              <w:t>（提供证明材料，中标通知书或合同协议书的原件扫描件，由具有相应施工资质的独立承包人或联合体成员中以施工单位作为牵头单位的提供，否则不予认可。）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1"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4.3</w:t>
            </w:r>
          </w:p>
        </w:tc>
        <w:tc>
          <w:tcPr>
            <w:tcW w:w="993" w:type="dxa"/>
            <w:vMerge w:val="restart"/>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商务部分评审标准</w:t>
            </w:r>
          </w:p>
        </w:tc>
        <w:tc>
          <w:tcPr>
            <w:tcW w:w="2551" w:type="dxa"/>
            <w:gridSpan w:val="2"/>
            <w:vAlign w:val="center"/>
          </w:tcPr>
          <w:p>
            <w:pPr>
              <w:spacing w:line="440" w:lineRule="exact"/>
              <w:jc w:val="center"/>
              <w:rPr>
                <w:rFonts w:ascii="宋体" w:hAnsi="宋体"/>
                <w:sz w:val="24"/>
              </w:rPr>
            </w:pPr>
            <w:r>
              <w:rPr>
                <w:rFonts w:hint="eastAsia" w:ascii="宋体" w:hAnsi="宋体"/>
                <w:sz w:val="24"/>
              </w:rPr>
              <w:t>设计部分投标报价评审（5分）</w:t>
            </w:r>
          </w:p>
        </w:tc>
        <w:tc>
          <w:tcPr>
            <w:tcW w:w="5387" w:type="dxa"/>
            <w:vAlign w:val="center"/>
          </w:tcPr>
          <w:p>
            <w:pPr>
              <w:spacing w:line="440" w:lineRule="exact"/>
              <w:rPr>
                <w:rFonts w:ascii="宋体" w:hAnsi="宋体"/>
                <w:sz w:val="24"/>
              </w:rPr>
            </w:pPr>
            <w:r>
              <w:rPr>
                <w:rFonts w:hint="eastAsia" w:ascii="宋体" w:hAnsi="宋体"/>
                <w:sz w:val="24"/>
              </w:rPr>
              <w:t>设计部分</w:t>
            </w:r>
            <w:r>
              <w:rPr>
                <w:rFonts w:ascii="宋体" w:hAnsi="宋体"/>
                <w:sz w:val="24"/>
              </w:rPr>
              <w:t>以</w:t>
            </w:r>
            <w:r>
              <w:rPr>
                <w:rFonts w:hint="eastAsia" w:ascii="宋体" w:hAnsi="宋体"/>
                <w:sz w:val="24"/>
              </w:rPr>
              <w:t>通过初步评审的所有投标人设计费的</w:t>
            </w:r>
            <w:r>
              <w:rPr>
                <w:rFonts w:ascii="宋体" w:hAnsi="宋体"/>
                <w:sz w:val="24"/>
              </w:rPr>
              <w:t>平均下浮率</w:t>
            </w:r>
            <w:r>
              <w:rPr>
                <w:rFonts w:hint="eastAsia" w:ascii="宋体" w:hAnsi="宋体"/>
                <w:sz w:val="24"/>
              </w:rPr>
              <w:t>为基准值，下浮率等于基准值的得满分5分；每上浮1%（差值）扣0.</w:t>
            </w:r>
            <w:r>
              <w:rPr>
                <w:rFonts w:ascii="宋体" w:hAnsi="宋体"/>
                <w:sz w:val="24"/>
              </w:rPr>
              <w:t>2</w:t>
            </w:r>
            <w:r>
              <w:rPr>
                <w:rFonts w:hint="eastAsia" w:ascii="宋体" w:hAnsi="宋体"/>
                <w:sz w:val="24"/>
              </w:rPr>
              <w:t>分，下浮1%（差值）扣0.</w:t>
            </w:r>
            <w:r>
              <w:rPr>
                <w:rFonts w:ascii="宋体" w:hAnsi="宋体"/>
                <w:sz w:val="24"/>
              </w:rPr>
              <w:t>1</w:t>
            </w:r>
            <w:r>
              <w:rPr>
                <w:rFonts w:hint="eastAsia" w:ascii="宋体" w:hAnsi="宋体"/>
                <w:sz w:val="24"/>
              </w:rPr>
              <w:t>，分数扣完为止。(扣减分值中间值用插入法，小数点后保留两位)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1" w:type="dxa"/>
            <w:vMerge w:val="continue"/>
            <w:vAlign w:val="center"/>
          </w:tcPr>
          <w:p>
            <w:pPr>
              <w:spacing w:line="440" w:lineRule="exact"/>
              <w:jc w:val="center"/>
              <w:rPr>
                <w:rFonts w:ascii="宋体" w:hAnsi="宋体"/>
                <w:color w:val="000000" w:themeColor="text1"/>
                <w:sz w:val="24"/>
                <w14:textFill>
                  <w14:solidFill>
                    <w14:schemeClr w14:val="tx1"/>
                  </w14:solidFill>
                </w14:textFill>
              </w:rPr>
            </w:pPr>
          </w:p>
        </w:tc>
        <w:tc>
          <w:tcPr>
            <w:tcW w:w="993" w:type="dxa"/>
            <w:vMerge w:val="continue"/>
            <w:vAlign w:val="center"/>
          </w:tcPr>
          <w:p>
            <w:pPr>
              <w:spacing w:line="440" w:lineRule="exact"/>
              <w:rPr>
                <w:rFonts w:ascii="宋体" w:hAnsi="宋体"/>
                <w:color w:val="000000" w:themeColor="text1"/>
                <w:sz w:val="24"/>
                <w14:textFill>
                  <w14:solidFill>
                    <w14:schemeClr w14:val="tx1"/>
                  </w14:solidFill>
                </w14:textFill>
              </w:rPr>
            </w:pPr>
          </w:p>
        </w:tc>
        <w:tc>
          <w:tcPr>
            <w:tcW w:w="2551" w:type="dxa"/>
            <w:gridSpan w:val="2"/>
            <w:vAlign w:val="center"/>
          </w:tcPr>
          <w:p>
            <w:pPr>
              <w:spacing w:line="440" w:lineRule="exact"/>
              <w:jc w:val="center"/>
              <w:rPr>
                <w:rFonts w:ascii="宋体" w:hAnsi="宋体"/>
                <w:sz w:val="24"/>
              </w:rPr>
            </w:pPr>
          </w:p>
          <w:p>
            <w:pPr>
              <w:pStyle w:val="2"/>
              <w:ind w:left="420"/>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施工部分投标报价评审（10</w:t>
            </w:r>
            <w:r>
              <w:rPr>
                <w:rFonts w:ascii="宋体" w:hAnsi="宋体"/>
                <w:sz w:val="24"/>
              </w:rPr>
              <w:t>分）</w:t>
            </w:r>
          </w:p>
        </w:tc>
        <w:tc>
          <w:tcPr>
            <w:tcW w:w="5387" w:type="dxa"/>
            <w:vAlign w:val="center"/>
          </w:tcPr>
          <w:p>
            <w:pPr>
              <w:spacing w:line="440" w:lineRule="exact"/>
              <w:rPr>
                <w:rFonts w:ascii="宋体" w:hAnsi="宋体"/>
                <w:sz w:val="24"/>
              </w:rPr>
            </w:pPr>
            <w:r>
              <w:rPr>
                <w:rFonts w:hint="eastAsia" w:ascii="宋体" w:hAnsi="宋体"/>
                <w:sz w:val="24"/>
              </w:rPr>
              <w:t>一、施工部分投标报价评分计算方式：</w:t>
            </w:r>
          </w:p>
          <w:p>
            <w:pPr>
              <w:spacing w:line="440" w:lineRule="exact"/>
              <w:rPr>
                <w:rFonts w:ascii="宋体" w:hAnsi="宋体"/>
                <w:sz w:val="24"/>
              </w:rPr>
            </w:pPr>
            <w:r>
              <w:rPr>
                <w:rFonts w:hint="eastAsia" w:ascii="宋体" w:hAnsi="宋体"/>
                <w:sz w:val="24"/>
              </w:rPr>
              <w:t>（</w:t>
            </w:r>
            <w:r>
              <w:rPr>
                <w:rFonts w:ascii="宋体" w:hAnsi="宋体"/>
                <w:sz w:val="24"/>
              </w:rPr>
              <w:t>1）以平均价计算公式计算得出平均下浮率</w:t>
            </w:r>
            <w:r>
              <w:rPr>
                <w:rFonts w:hint="eastAsia" w:ascii="宋体" w:hAnsi="宋体"/>
                <w:sz w:val="24"/>
              </w:rPr>
              <w:t>为基准值</w:t>
            </w:r>
            <w:r>
              <w:rPr>
                <w:rFonts w:ascii="宋体" w:hAnsi="宋体"/>
                <w:sz w:val="24"/>
              </w:rPr>
              <w:t>，投标下浮率等于</w:t>
            </w:r>
            <w:r>
              <w:rPr>
                <w:rFonts w:hint="eastAsia" w:ascii="宋体" w:hAnsi="宋体"/>
                <w:sz w:val="24"/>
              </w:rPr>
              <w:t>基准值</w:t>
            </w:r>
            <w:r>
              <w:rPr>
                <w:rFonts w:ascii="宋体" w:hAnsi="宋体"/>
                <w:sz w:val="24"/>
              </w:rPr>
              <w:t xml:space="preserve">的得满分10分； </w:t>
            </w:r>
          </w:p>
          <w:p>
            <w:pPr>
              <w:spacing w:line="440" w:lineRule="exact"/>
              <w:rPr>
                <w:rFonts w:ascii="宋体" w:hAnsi="宋体"/>
                <w:sz w:val="24"/>
              </w:rPr>
            </w:pPr>
            <w:r>
              <w:rPr>
                <w:rFonts w:hint="eastAsia" w:ascii="宋体" w:hAnsi="宋体"/>
                <w:sz w:val="24"/>
              </w:rPr>
              <w:t>（</w:t>
            </w:r>
            <w:r>
              <w:rPr>
                <w:rFonts w:ascii="宋体" w:hAnsi="宋体"/>
                <w:sz w:val="24"/>
              </w:rPr>
              <w:t>2）投标下浮率与平均下浮率相比（差值），每向上浮动1%</w:t>
            </w:r>
            <w:r>
              <w:rPr>
                <w:rFonts w:hint="eastAsia" w:ascii="宋体" w:hAnsi="宋体"/>
                <w:sz w:val="24"/>
              </w:rPr>
              <w:t>（差值）</w:t>
            </w:r>
            <w:r>
              <w:rPr>
                <w:rFonts w:ascii="宋体" w:hAnsi="宋体"/>
                <w:sz w:val="24"/>
              </w:rPr>
              <w:t>扣0.2分，每向下浮动1%</w:t>
            </w:r>
            <w:r>
              <w:rPr>
                <w:rFonts w:hint="eastAsia" w:ascii="宋体" w:hAnsi="宋体"/>
                <w:sz w:val="24"/>
              </w:rPr>
              <w:t>（差值）</w:t>
            </w:r>
            <w:r>
              <w:rPr>
                <w:rFonts w:ascii="宋体" w:hAnsi="宋体"/>
                <w:sz w:val="24"/>
              </w:rPr>
              <w:t>扣0.1分，分数扣完为止。(扣减分值中间值用插入法，小数点后保留两位)</w:t>
            </w:r>
          </w:p>
          <w:p>
            <w:pPr>
              <w:spacing w:line="440" w:lineRule="exact"/>
              <w:rPr>
                <w:rFonts w:ascii="宋体" w:hAnsi="宋体"/>
                <w:sz w:val="24"/>
              </w:rPr>
            </w:pPr>
            <w:r>
              <w:rPr>
                <w:rFonts w:hint="eastAsia" w:ascii="宋体" w:hAnsi="宋体"/>
                <w:sz w:val="24"/>
              </w:rPr>
              <w:t>二、平均价计算公式：</w:t>
            </w:r>
          </w:p>
          <w:p>
            <w:pPr>
              <w:spacing w:line="440" w:lineRule="exact"/>
              <w:rPr>
                <w:rFonts w:ascii="宋体" w:hAnsi="宋体"/>
                <w:sz w:val="24"/>
              </w:rPr>
            </w:pPr>
            <w:r>
              <w:rPr>
                <w:rFonts w:hint="eastAsia" w:ascii="宋体" w:hAnsi="宋体"/>
                <w:sz w:val="24"/>
              </w:rPr>
              <w:t>公式一：（适用于当投标报价个数</w:t>
            </w:r>
            <w:r>
              <w:rPr>
                <w:rFonts w:ascii="宋体" w:hAnsi="宋体"/>
                <w:sz w:val="24"/>
              </w:rPr>
              <w:t>n≥7时）</w:t>
            </w:r>
          </w:p>
          <w:p>
            <w:pPr>
              <w:spacing w:line="440" w:lineRule="exact"/>
              <w:rPr>
                <w:rFonts w:ascii="宋体" w:hAnsi="宋体"/>
                <w:sz w:val="24"/>
              </w:rPr>
            </w:pPr>
            <w:r>
              <w:rPr>
                <w:rFonts w:ascii="宋体" w:hAnsi="宋体"/>
                <w:sz w:val="24"/>
              </w:rPr>
              <w:t xml:space="preserve">P=[（tmax－1×0.5＋tmin＋1×0.5）＋t1＋t2＋…tn－4 ]  </w:t>
            </w:r>
            <w:r>
              <w:rPr>
                <w:rFonts w:hint="eastAsia" w:ascii="宋体" w:hAnsi="宋体"/>
                <w:sz w:val="24"/>
              </w:rPr>
              <w:t>÷（</w:t>
            </w:r>
            <w:r>
              <w:rPr>
                <w:rFonts w:ascii="宋体" w:hAnsi="宋体"/>
                <w:sz w:val="24"/>
              </w:rPr>
              <w:t xml:space="preserve"> n－3）</w:t>
            </w:r>
          </w:p>
          <w:p>
            <w:pPr>
              <w:spacing w:line="440" w:lineRule="exact"/>
              <w:rPr>
                <w:rFonts w:ascii="宋体" w:hAnsi="宋体"/>
                <w:sz w:val="24"/>
              </w:rPr>
            </w:pPr>
            <w:r>
              <w:rPr>
                <w:rFonts w:hint="eastAsia" w:ascii="宋体" w:hAnsi="宋体"/>
                <w:sz w:val="24"/>
              </w:rPr>
              <w:t>其中：</w:t>
            </w:r>
          </w:p>
          <w:p>
            <w:pPr>
              <w:spacing w:line="440" w:lineRule="exact"/>
              <w:rPr>
                <w:rFonts w:ascii="宋体" w:hAnsi="宋体"/>
                <w:sz w:val="24"/>
              </w:rPr>
            </w:pPr>
            <w:r>
              <w:rPr>
                <w:rFonts w:ascii="宋体" w:hAnsi="宋体"/>
                <w:sz w:val="24"/>
              </w:rPr>
              <w:t>1、P为平均价；</w:t>
            </w:r>
          </w:p>
          <w:p>
            <w:pPr>
              <w:spacing w:line="440" w:lineRule="exact"/>
              <w:rPr>
                <w:rFonts w:ascii="宋体" w:hAnsi="宋体"/>
                <w:sz w:val="24"/>
              </w:rPr>
            </w:pPr>
            <w:r>
              <w:rPr>
                <w:rFonts w:ascii="宋体" w:hAnsi="宋体"/>
                <w:sz w:val="24"/>
              </w:rPr>
              <w:t>2、t为投标报价；tmax－1指投标报价中第二高值；tmin＋1指投标报价中第二低值；t1、t2、…、tn－4指分别去掉一个第一、第二高值和一个第一、第二低值后的投标报价；</w:t>
            </w:r>
          </w:p>
          <w:p>
            <w:pPr>
              <w:spacing w:line="440" w:lineRule="exact"/>
              <w:rPr>
                <w:rFonts w:ascii="宋体" w:hAnsi="宋体"/>
                <w:sz w:val="24"/>
              </w:rPr>
            </w:pPr>
            <w:r>
              <w:rPr>
                <w:rFonts w:ascii="宋体" w:hAnsi="宋体"/>
                <w:sz w:val="24"/>
              </w:rPr>
              <w:t>3、n指投标报价个数</w:t>
            </w:r>
          </w:p>
          <w:p>
            <w:pPr>
              <w:spacing w:line="440" w:lineRule="exact"/>
              <w:rPr>
                <w:rFonts w:ascii="宋体" w:hAnsi="宋体"/>
                <w:sz w:val="24"/>
              </w:rPr>
            </w:pPr>
            <w:r>
              <w:rPr>
                <w:rFonts w:hint="eastAsia" w:ascii="宋体" w:hAnsi="宋体"/>
                <w:sz w:val="24"/>
              </w:rPr>
              <w:t>公式二：（适用于当投标报价个数</w:t>
            </w:r>
            <w:r>
              <w:rPr>
                <w:rFonts w:ascii="宋体" w:hAnsi="宋体"/>
                <w:sz w:val="24"/>
              </w:rPr>
              <w:t>n在7 &gt;n≥5范围时）</w:t>
            </w:r>
          </w:p>
          <w:p>
            <w:pPr>
              <w:spacing w:line="440" w:lineRule="exact"/>
              <w:rPr>
                <w:rFonts w:ascii="宋体" w:hAnsi="宋体"/>
                <w:sz w:val="24"/>
              </w:rPr>
            </w:pPr>
            <w:r>
              <w:rPr>
                <w:rFonts w:ascii="宋体" w:hAnsi="宋体"/>
                <w:sz w:val="24"/>
              </w:rPr>
              <w:t>P=（ t1＋t2＋…tn－2）÷（n－2）</w:t>
            </w:r>
          </w:p>
          <w:p>
            <w:pPr>
              <w:spacing w:line="440" w:lineRule="exact"/>
              <w:rPr>
                <w:rFonts w:ascii="宋体" w:hAnsi="宋体"/>
                <w:sz w:val="24"/>
              </w:rPr>
            </w:pPr>
            <w:r>
              <w:rPr>
                <w:rFonts w:hint="eastAsia" w:ascii="宋体" w:hAnsi="宋体"/>
                <w:sz w:val="24"/>
              </w:rPr>
              <w:t>其中：</w:t>
            </w:r>
            <w:r>
              <w:rPr>
                <w:rFonts w:ascii="宋体" w:hAnsi="宋体"/>
                <w:sz w:val="24"/>
              </w:rPr>
              <w:t>t1、t2、…、tn－2指去掉一个最高值和一个最低值后的投标报价；</w:t>
            </w:r>
          </w:p>
          <w:p>
            <w:pPr>
              <w:spacing w:line="440" w:lineRule="exact"/>
              <w:rPr>
                <w:rFonts w:ascii="宋体" w:hAnsi="宋体"/>
                <w:sz w:val="24"/>
              </w:rPr>
            </w:pPr>
            <w:r>
              <w:rPr>
                <w:rFonts w:hint="eastAsia" w:ascii="宋体" w:hAnsi="宋体"/>
                <w:sz w:val="24"/>
              </w:rPr>
              <w:t>公式三：（适用于当投标报价个数</w:t>
            </w:r>
            <w:r>
              <w:rPr>
                <w:rFonts w:ascii="宋体" w:hAnsi="宋体"/>
                <w:sz w:val="24"/>
              </w:rPr>
              <w:t>n在5 &gt;n范围时）</w:t>
            </w:r>
          </w:p>
          <w:p>
            <w:pPr>
              <w:spacing w:line="440" w:lineRule="exact"/>
              <w:rPr>
                <w:rFonts w:ascii="宋体" w:hAnsi="宋体"/>
                <w:sz w:val="24"/>
              </w:rPr>
            </w:pPr>
            <w:r>
              <w:rPr>
                <w:rFonts w:ascii="宋体" w:hAnsi="宋体"/>
                <w:sz w:val="24"/>
              </w:rPr>
              <w:t>P=（ t1＋t2＋…tn）÷ n</w:t>
            </w:r>
          </w:p>
          <w:p>
            <w:pPr>
              <w:spacing w:line="440" w:lineRule="exact"/>
              <w:rPr>
                <w:rFonts w:ascii="宋体" w:hAnsi="宋体"/>
                <w:sz w:val="24"/>
              </w:rPr>
            </w:pPr>
            <w:r>
              <w:rPr>
                <w:rFonts w:hint="eastAsia" w:ascii="宋体" w:hAnsi="宋体"/>
                <w:sz w:val="24"/>
              </w:rPr>
              <w:t>其中：</w:t>
            </w:r>
            <w:r>
              <w:rPr>
                <w:rFonts w:ascii="宋体" w:hAnsi="宋体"/>
                <w:sz w:val="24"/>
              </w:rPr>
              <w:t>t1、t2、…、tn指投标报价。</w:t>
            </w:r>
          </w:p>
        </w:tc>
      </w:tr>
    </w:tbl>
    <w:p>
      <w:pPr>
        <w:pStyle w:val="23"/>
        <w:rPr>
          <w:rStyle w:val="176"/>
          <w:rFonts w:ascii="宋体" w:hAnsi="宋体"/>
          <w:b/>
          <w:color w:val="000000" w:themeColor="text1"/>
          <w14:textFill>
            <w14:solidFill>
              <w14:schemeClr w14:val="tx1"/>
            </w14:solidFill>
          </w14:textFill>
        </w:rPr>
      </w:pPr>
      <w:bookmarkStart w:id="467" w:name="_Toc38462892"/>
      <w:bookmarkStart w:id="468" w:name="_Toc38031579"/>
    </w:p>
    <w:p>
      <w:pPr>
        <w:spacing w:line="360" w:lineRule="auto"/>
        <w:jc w:val="left"/>
        <w:outlineLvl w:val="2"/>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bookmarkStart w:id="469" w:name="_Toc60323174"/>
      <w:bookmarkStart w:id="470" w:name="_Toc136956344"/>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A：评标详细程序</w:t>
      </w:r>
      <w:bookmarkEnd w:id="467"/>
      <w:bookmarkEnd w:id="468"/>
      <w:bookmarkEnd w:id="469"/>
      <w:bookmarkEnd w:id="470"/>
    </w:p>
    <w:p>
      <w:pPr>
        <w:spacing w:after="120" w:afterLines="50" w:line="42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评标详细程序</w:t>
      </w:r>
    </w:p>
    <w:p>
      <w:pPr>
        <w:spacing w:line="360" w:lineRule="auto"/>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A0.总  </w:t>
      </w:r>
      <w:r>
        <w:rPr>
          <w:rFonts w:hint="eastAsia" w:ascii="宋体" w:hAnsi="宋体"/>
          <w:b/>
          <w:color w:val="000000" w:themeColor="text1"/>
          <w:sz w:val="24"/>
          <w14:textFill>
            <w14:solidFill>
              <w14:schemeClr w14:val="tx1"/>
            </w14:solidFill>
          </w14:textFill>
        </w:rPr>
        <w:t>则</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本附件是本章“评标办法”的组成部分，是对本章第</w:t>
      </w:r>
      <w:r>
        <w:rPr>
          <w:rFonts w:ascii="宋体" w:hAnsi="宋体"/>
          <w:color w:val="000000" w:themeColor="text1"/>
          <w:sz w:val="24"/>
          <w14:textFill>
            <w14:solidFill>
              <w14:schemeClr w14:val="tx1"/>
            </w14:solidFill>
          </w14:textFill>
        </w:rPr>
        <w:t>3条所规定的评标程序的进一步细化，评标委员会应当按照本附件所规定的详细程序开展并完成评标工作。</w:t>
      </w:r>
    </w:p>
    <w:p>
      <w:pPr>
        <w:spacing w:line="360" w:lineRule="auto"/>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A1.基本程序</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评标活动将按以下五个步骤进行：</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(1)评标准备；</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(2)初步评审；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(3)详细评审；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(4)澄清、说明或补正；</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(5)推荐中标候选人或者直接确定中标人及提交评标报告。</w:t>
      </w:r>
    </w:p>
    <w:p>
      <w:pPr>
        <w:spacing w:line="360" w:lineRule="auto"/>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A2.评标准备</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A2.1评标委员会成员签到</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评标委员会成员到达评标现场签到并组建评标委员会。</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A2.2评标委员会的分工</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A2.3熟悉文件资料</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2.3.1评标委员会主任应组织评标委员会成员认真研究招标文件，了解和熟悉招标目的、招标范围、主要合同条件、技术标准和要求、质量标准和工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2.3.2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最高投标限价（如果有）、工程所在地工程造价管理部门颁布的工程造价信息、定额（如作为计价依据时）、有关的法律、法规、规章、国家标准以及招标人或评标委员会认为必要的其他信息和数据。</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A2.4暗标编号（适用于对施工组织设计进行暗标评审的）</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第二章“投标人须知”前附表第</w:t>
      </w:r>
      <w:r>
        <w:rPr>
          <w:rFonts w:ascii="宋体" w:hAnsi="宋体"/>
          <w:color w:val="000000" w:themeColor="text1"/>
          <w:sz w:val="24"/>
          <w14:textFill>
            <w14:solidFill>
              <w14:schemeClr w14:val="tx1"/>
            </w14:solidFill>
          </w14:textFill>
        </w:rPr>
        <w:t>10.1款要求对施工组织设计采用“暗标”评审的。投标文件暗标编号，由评标系统随机做内部对应排列进行编暗标号，在评标委员会全体成员均完成暗标部分评审并对评审结果进行汇总后，系统自动向评标委员会公布暗标记录。暗标记录公布前必须妥善保管并予以保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A2.5对投标文件进行基础性数据分析和整理工作（清标）</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不改变投标人投标文件实质性内容的前提下，评标委员会应当对投标文件进行基础性数据分析和整理（简称为“清标”），从而发现并提取其中可能存在的对招标范围理解的偏差、投标报价的算术性错误、错漏项、投标报价构成不合理、不平衡报价、是否低于成本报价等存在明显异常的问题，并就这些问题整理形成清标成果。评标委员会对清标成果审议后，决定需要投标人进行书面澄清、说明或补正的问题，形成质疑问卷，向投标人发出问题澄清通知（质疑问卷）。</w:t>
      </w:r>
    </w:p>
    <w:p>
      <w:pPr>
        <w:spacing w:line="360" w:lineRule="auto"/>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A3.初步评审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A3.1形式评审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评标委员会根据评标办法前附表中规定的评审因素和评审标准，对投标人的投标文件进行形式评审，并记录评审结果。</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A3.2资格评审</w:t>
      </w:r>
    </w:p>
    <w:p>
      <w:pPr>
        <w:spacing w:line="360" w:lineRule="auto"/>
        <w:ind w:firstLine="480" w:firstLineChars="200"/>
        <w:jc w:val="left"/>
        <w:rPr>
          <w:rFonts w:ascii="宋体" w:hAnsi="宋体"/>
          <w: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评标委员会根据评标办法前附表中规定的评审因素和评审标准，对投标人的投标文件进行资格评审。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A3.3响应性评审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评标委员会根据评标办法前附表中规定的评审因素和评审标准，对投标人的投标文件进行响应性评审，并记录评审结果。</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A3.3.1判断投标人的投标是否为否决投标的全部条件（包括本章前附表中规定的条件），在本章附件B中集中列示。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A3.3.2本章附件B集中列示的否决投标条件不应与第二章“投标人须知”和本章正文部分包括的否决投标条件抵触，如果出现相互矛盾的情况，以”附件B否决投标条件”的规定为准。</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A3.3.3评标委员会在评标（包括初步评审和详细评审）过程中，依据本章附件B中规定的否决投标条件判断投标人的投标是否被否决。</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A3.4</w:t>
      </w:r>
      <w:r>
        <w:rPr>
          <w:rFonts w:hint="eastAsia" w:ascii="宋体" w:hAnsi="宋体"/>
          <w:color w:val="000000" w:themeColor="text1"/>
          <w:sz w:val="24"/>
          <w14:textFill>
            <w14:solidFill>
              <w14:schemeClr w14:val="tx1"/>
            </w14:solidFill>
          </w14:textFill>
        </w:rPr>
        <w:t>澄清、说明或补正</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3.4.1在评标过程中，评标委员会成员2人以上认为需要投标人进行澄清的，评标委员会应以书面形式要求投标人对投标文件含义不明确、对同类问题表述不一致、有明显文件和计算错误的内容以及细微偏差的内容作必要的澄清或者说明，评标委员会成员需充分考虑投标人澄清、说明或者补正的内容。</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3.4.2评标委员会不得暗示或者诱导投标人作出澄清、说明，不得接受投标人主动提出的澄清、说明。</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3.4.3投标人澄清、说明的内容不得超出投标文件的范围或者改变投标文件的实质性内容。</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A3.5</w:t>
      </w:r>
      <w:r>
        <w:rPr>
          <w:rFonts w:hint="eastAsia" w:ascii="宋体" w:hAnsi="宋体"/>
          <w:color w:val="000000" w:themeColor="text1"/>
          <w:sz w:val="24"/>
          <w14:textFill>
            <w14:solidFill>
              <w14:schemeClr w14:val="tx1"/>
            </w14:solidFill>
          </w14:textFill>
        </w:rPr>
        <w:t>算术错误修正</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3.5.1评标委员会在对响应招标文件要求的投标进行报价评估时，应按下述原则：</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3.5.1.1 </w:t>
      </w:r>
      <w:r>
        <w:rPr>
          <w:rFonts w:hint="eastAsia" w:ascii="宋体" w:hAnsi="宋体"/>
          <w:color w:val="000000" w:themeColor="text1"/>
          <w:sz w:val="24"/>
          <w14:textFill>
            <w14:solidFill>
              <w14:schemeClr w14:val="tx1"/>
            </w14:solidFill>
          </w14:textFill>
        </w:rPr>
        <w:t>当以数字表示的金额与用文字表示的金额不一致时，应以文字表示的金额为准；</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3.5.1.2 </w:t>
      </w:r>
      <w:r>
        <w:rPr>
          <w:rFonts w:hint="eastAsia" w:ascii="宋体" w:hAnsi="宋体"/>
          <w:color w:val="000000" w:themeColor="text1"/>
          <w:sz w:val="24"/>
          <w14:textFill>
            <w14:solidFill>
              <w14:schemeClr w14:val="tx1"/>
            </w14:solidFill>
          </w14:textFill>
        </w:rPr>
        <w:t>当单价与数量的乘积与合价不一致时，以单价为准，如果单价有明显的小数点位置差错，应以标出的合价为准，同时对单价予以修正。</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3.5.1.3当各细目的合价累计不等于总价时，应以各细目合价累计数为准，修正总价。</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3.5.2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说明：在评标办法中，所评审的价格均为通过算术性修正后的价格。</w:t>
      </w:r>
    </w:p>
    <w:p>
      <w:pPr>
        <w:spacing w:line="360" w:lineRule="auto"/>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A4.详细评审</w:t>
      </w: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响应性评审通过后，进行详细评审。详细评审将从以下几方面进行，主要内容如下：</w:t>
      </w:r>
    </w:p>
    <w:p>
      <w:pPr>
        <w:spacing w:line="360" w:lineRule="auto"/>
        <w:ind w:firstLine="540" w:firstLineChars="2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4.1本项目评标办法采用综合评估打分法，评标委员会对通过形式评审、资格评审及响应性评审的投标文件，按照本章规定的评分标准进行百分制打分，最终按最后得分由高至低顺序推荐第一、二、三名中标候选人。</w:t>
      </w:r>
    </w:p>
    <w:p>
      <w:pPr>
        <w:spacing w:line="360" w:lineRule="auto"/>
        <w:ind w:firstLine="540" w:firstLineChars="225"/>
        <w:rPr>
          <w:rFonts w:ascii="宋体" w:hAnsi="宋体"/>
          <w:color w:val="000000" w:themeColor="text1"/>
          <w:sz w:val="24"/>
          <w14:textFill>
            <w14:solidFill>
              <w14:schemeClr w14:val="tx1"/>
            </w14:solidFill>
          </w14:textFill>
        </w:rPr>
      </w:pPr>
      <w:bookmarkStart w:id="471" w:name="_Toc99567433"/>
      <w:r>
        <w:rPr>
          <w:rFonts w:ascii="宋体" w:hAnsi="宋体"/>
          <w:color w:val="000000" w:themeColor="text1"/>
          <w:sz w:val="24"/>
          <w14:textFill>
            <w14:solidFill>
              <w14:schemeClr w14:val="tx1"/>
            </w14:solidFill>
          </w14:textFill>
        </w:rPr>
        <w:t>4.2技术部分评审标准（满分70分）</w:t>
      </w:r>
      <w:bookmarkEnd w:id="471"/>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4.2.1 评标委员会按本章第4.2 款规定的分值进行打分，并计算出技术部分得分。</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4.2.2 评分分值计算保留小数点后两位，小数点后第三位“四舍五入”。</w:t>
      </w:r>
    </w:p>
    <w:p>
      <w:pPr>
        <w:spacing w:line="360" w:lineRule="auto"/>
        <w:ind w:firstLine="540" w:firstLineChars="225"/>
        <w:rPr>
          <w:rFonts w:ascii="宋体" w:hAnsi="宋体"/>
          <w:color w:val="000000" w:themeColor="text1"/>
          <w:sz w:val="24"/>
          <w14:textFill>
            <w14:solidFill>
              <w14:schemeClr w14:val="tx1"/>
            </w14:solidFill>
          </w14:textFill>
        </w:rPr>
      </w:pPr>
      <w:bookmarkStart w:id="472" w:name="_Toc99567434"/>
      <w:r>
        <w:rPr>
          <w:rFonts w:ascii="宋体" w:hAnsi="宋体"/>
          <w:color w:val="000000" w:themeColor="text1"/>
          <w:sz w:val="24"/>
          <w14:textFill>
            <w14:solidFill>
              <w14:schemeClr w14:val="tx1"/>
            </w14:solidFill>
          </w14:textFill>
        </w:rPr>
        <w:t>4.3商务部分评审标准（满分30分）</w:t>
      </w:r>
      <w:bookmarkEnd w:id="472"/>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4.3.1 评标委员会按本章第4.3款规定的分值进行打分，并计算出</w:t>
      </w:r>
      <w:r>
        <w:rPr>
          <w:rFonts w:hint="eastAsia" w:ascii="宋体" w:hAnsi="宋体"/>
          <w:color w:val="000000" w:themeColor="text1"/>
          <w:sz w:val="24"/>
          <w14:textFill>
            <w14:solidFill>
              <w14:schemeClr w14:val="tx1"/>
            </w14:solidFill>
          </w14:textFill>
        </w:rPr>
        <w:t>商务</w:t>
      </w:r>
      <w:r>
        <w:rPr>
          <w:rFonts w:ascii="宋体" w:hAnsi="宋体"/>
          <w:color w:val="000000" w:themeColor="text1"/>
          <w:sz w:val="24"/>
          <w14:textFill>
            <w14:solidFill>
              <w14:schemeClr w14:val="tx1"/>
            </w14:solidFill>
          </w14:textFill>
        </w:rPr>
        <w:t>部分得分。</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4.3.2 评分分值计算保留小数点后两位，小数点后第三位“四舍五入”。</w:t>
      </w:r>
    </w:p>
    <w:p>
      <w:pPr>
        <w:spacing w:line="360" w:lineRule="auto"/>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A5.统计原则</w:t>
      </w:r>
    </w:p>
    <w:p>
      <w:pPr>
        <w:spacing w:line="360" w:lineRule="auto"/>
        <w:ind w:firstLine="480" w:firstLineChars="200"/>
        <w:rPr>
          <w:rFonts w:ascii="宋体" w:hAnsi="宋体"/>
          <w:color w:val="000000" w:themeColor="text1"/>
          <w:sz w:val="24"/>
          <w14:textFill>
            <w14:solidFill>
              <w14:schemeClr w14:val="tx1"/>
            </w14:solidFill>
          </w14:textFill>
        </w:rPr>
      </w:pPr>
      <w:r>
        <w:rPr>
          <w:rStyle w:val="66"/>
          <w:rFonts w:ascii="宋体" w:hAnsi="宋体"/>
          <w:b w:val="0"/>
          <w:bCs w:val="0"/>
          <w:color w:val="000000" w:themeColor="text1"/>
          <w:sz w:val="24"/>
          <w14:textFill>
            <w14:solidFill>
              <w14:schemeClr w14:val="tx1"/>
            </w14:solidFill>
          </w14:textFill>
        </w:rPr>
        <w:t>A5.1</w:t>
      </w:r>
      <w:r>
        <w:rPr>
          <w:rFonts w:hint="eastAsia" w:ascii="宋体" w:hAnsi="宋体"/>
          <w:color w:val="000000" w:themeColor="text1"/>
          <w:sz w:val="24"/>
          <w14:textFill>
            <w14:solidFill>
              <w14:schemeClr w14:val="tx1"/>
            </w14:solidFill>
          </w14:textFill>
        </w:rPr>
        <w:t>评标委员会评委应首先对各投标人投标书进行评审，并按招标文件规定分值评分，若有打分档，各分档评分中间不得用插入法评分。</w:t>
      </w:r>
    </w:p>
    <w:p>
      <w:pPr>
        <w:spacing w:line="360" w:lineRule="auto"/>
        <w:ind w:firstLine="480" w:firstLineChars="200"/>
        <w:rPr>
          <w:rFonts w:ascii="宋体" w:hAnsi="宋体"/>
          <w:color w:val="000000" w:themeColor="text1"/>
          <w:sz w:val="24"/>
          <w14:textFill>
            <w14:solidFill>
              <w14:schemeClr w14:val="tx1"/>
            </w14:solidFill>
          </w14:textFill>
        </w:rPr>
      </w:pPr>
      <w:r>
        <w:rPr>
          <w:rStyle w:val="66"/>
          <w:rFonts w:ascii="宋体" w:hAnsi="宋体"/>
          <w:b w:val="0"/>
          <w:bCs w:val="0"/>
          <w:color w:val="000000" w:themeColor="text1"/>
          <w:sz w:val="24"/>
          <w14:textFill>
            <w14:solidFill>
              <w14:schemeClr w14:val="tx1"/>
            </w14:solidFill>
          </w14:textFill>
        </w:rPr>
        <w:t>A5.2</w:t>
      </w:r>
      <w:r>
        <w:rPr>
          <w:rFonts w:hint="eastAsia" w:ascii="宋体" w:hAnsi="宋体"/>
          <w:color w:val="000000" w:themeColor="text1"/>
          <w:sz w:val="24"/>
          <w14:textFill>
            <w14:solidFill>
              <w14:schemeClr w14:val="tx1"/>
            </w14:solidFill>
          </w14:textFill>
        </w:rPr>
        <w:t>统计分数原则：当评委有效评分份数在</w:t>
      </w:r>
      <w:r>
        <w:rPr>
          <w:rFonts w:ascii="宋体" w:hAnsi="宋体"/>
          <w:color w:val="000000" w:themeColor="text1"/>
          <w:sz w:val="24"/>
          <w14:textFill>
            <w14:solidFill>
              <w14:schemeClr w14:val="tx1"/>
            </w14:solidFill>
          </w14:textFill>
        </w:rPr>
        <w:t>5份以上时，去掉最高和最低评分后计算平均分值为投标人技术部分得分；当评委有效评分份数少于5份（含5份）时，计算算术平均分值为投标人的技术部分得分（保留小数点后两位）。</w:t>
      </w:r>
    </w:p>
    <w:p>
      <w:pPr>
        <w:spacing w:line="360" w:lineRule="auto"/>
        <w:ind w:firstLine="480" w:firstLineChars="200"/>
        <w:rPr>
          <w:rFonts w:ascii="宋体" w:hAnsi="宋体"/>
          <w:color w:val="000000" w:themeColor="text1"/>
          <w:sz w:val="24"/>
          <w14:textFill>
            <w14:solidFill>
              <w14:schemeClr w14:val="tx1"/>
            </w14:solidFill>
          </w14:textFill>
        </w:rPr>
      </w:pPr>
      <w:r>
        <w:rPr>
          <w:rStyle w:val="66"/>
          <w:rFonts w:ascii="宋体" w:hAnsi="宋体"/>
          <w:b w:val="0"/>
          <w:bCs w:val="0"/>
          <w:color w:val="000000" w:themeColor="text1"/>
          <w:sz w:val="24"/>
          <w14:textFill>
            <w14:solidFill>
              <w14:schemeClr w14:val="tx1"/>
            </w14:solidFill>
          </w14:textFill>
        </w:rPr>
        <w:t>A5.3</w:t>
      </w:r>
      <w:r>
        <w:rPr>
          <w:rFonts w:hint="eastAsia" w:ascii="宋体" w:hAnsi="宋体"/>
          <w:color w:val="000000" w:themeColor="text1"/>
          <w:sz w:val="24"/>
          <w14:textFill>
            <w14:solidFill>
              <w14:schemeClr w14:val="tx1"/>
            </w14:solidFill>
          </w14:textFill>
        </w:rPr>
        <w:t>其他扣分情况说明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投标人有下列情形之一的应在最后得分中扣分：</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(1)投标人受国家、省、地州（市）建设行政主管部门通报并认定投标人有责任者，自通报之日起一年内每次投标扣2分；</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(2)投标人有违反建设法律、法规、规章行为被县级以上建设行政主管部门查处者，半年内每次投标扣1分。</w:t>
      </w:r>
    </w:p>
    <w:p>
      <w:pPr>
        <w:spacing w:line="360" w:lineRule="auto"/>
        <w:ind w:firstLine="480" w:firstLineChars="200"/>
        <w:rPr>
          <w:rFonts w:ascii="宋体" w:hAnsi="宋体"/>
          <w:color w:val="000000" w:themeColor="text1"/>
          <w:sz w:val="24"/>
          <w14:textFill>
            <w14:solidFill>
              <w14:schemeClr w14:val="tx1"/>
            </w14:solidFill>
          </w14:textFill>
        </w:rPr>
      </w:pPr>
      <w:r>
        <w:rPr>
          <w:rStyle w:val="66"/>
          <w:rFonts w:ascii="宋体" w:hAnsi="宋体"/>
          <w:b w:val="0"/>
          <w:bCs w:val="0"/>
          <w:color w:val="000000" w:themeColor="text1"/>
          <w:sz w:val="24"/>
          <w14:textFill>
            <w14:solidFill>
              <w14:schemeClr w14:val="tx1"/>
            </w14:solidFill>
          </w14:textFill>
        </w:rPr>
        <w:t>A5.4</w:t>
      </w:r>
      <w:r>
        <w:rPr>
          <w:rFonts w:hint="eastAsia" w:ascii="宋体" w:hAnsi="宋体"/>
          <w:color w:val="000000" w:themeColor="text1"/>
          <w:sz w:val="24"/>
          <w14:textFill>
            <w14:solidFill>
              <w14:schemeClr w14:val="tx1"/>
            </w14:solidFill>
          </w14:textFill>
        </w:rPr>
        <w:t>汇总评标结果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最终按投标人最后得分由高至低推荐第一、二、三名中标候选人，若最后得分相同，以施工部分投标报价下浮率报价由高至低顺序推荐中标候选人；若施工部分投标报价下浮率报价也相同，则由评标委员会无记名投票推荐中标候选人排名。</w:t>
      </w:r>
    </w:p>
    <w:p>
      <w:pPr>
        <w:spacing w:line="360" w:lineRule="auto"/>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A6.推荐中标候选人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A6.1推荐中标候选人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评标委员会在推荐中标候选人时，应遵照以下原则：</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除第二章“投标人须知”前附表第</w:t>
      </w:r>
      <w:r>
        <w:rPr>
          <w:rFonts w:ascii="宋体" w:hAnsi="宋体"/>
          <w:color w:val="000000" w:themeColor="text1"/>
          <w:sz w:val="24"/>
          <w14:textFill>
            <w14:solidFill>
              <w14:schemeClr w14:val="tx1"/>
            </w14:solidFill>
          </w14:textFill>
        </w:rPr>
        <w:t>7.1款授权直接确定中标人外，评标委员会按照有效投标人的最后得分由高到低推荐中标候选人，并根据第二章“投标人须知”前附表第7.1款规定的中标候选人数量，将排序在前的投标人推荐为中标候选人。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A6.2直接确定中标人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第二章“投标人须知”前附表授权评标委员会直接确定中标人的，评标委员会按照最终得分由高至低的次序排列，并确定排名第一的投标人为中标人。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A6.3编制及提交评标报告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评标委员会应向招标人提交评标报告。评标报告应当由全体评标委员会成员签字，并于评标结束时抄送有关行政监督部门。</w:t>
      </w:r>
    </w:p>
    <w:p>
      <w:pPr>
        <w:spacing w:line="360" w:lineRule="auto"/>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A7.特殊情况的处置程序</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A7.1关于评标活动暂停</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A7.1.1评标委员会应当执行连续评标的原则，按评标办法中规定的程序、内容、方法、标准完成全部评标工作。只有发生不可抗力导致评标工作无法继续时，评标活动方可暂停。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A7.1.2发生评标暂停情况时，评标委员会应当封存全部投标文件和评标记录，待不可抗力的影响结束且具备继续评标的条件时，由原评标委员会继续评标。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A7.2关于评标中途更换评委</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A7.2.1除非发生下列情况之一，评标委员会成员不得在评标中途更换：</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(1)因不可抗拒的客观原因，不能到场或需在评标中途退出评标活动。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(2)根据法律法规规定，某个或某几个评标委员会成员需要回避。</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A7.2.2退出评标的评标委员会成员，其已完成的评标行为无效。由招标人根据本招标文件规定的评标委员会成员生产方式另行确定替代者进行评标。</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A7.3记名投票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在任何评标环节中，需评标委员会就某项定性的评审结论做出表决的，由评标委员会全体成员按照少数服从多数的原则，以记名投票方式表决。</w:t>
      </w:r>
    </w:p>
    <w:p>
      <w:pPr>
        <w:spacing w:line="360" w:lineRule="auto"/>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A8.补充条款</w:t>
      </w:r>
    </w:p>
    <w:p>
      <w:pPr>
        <w:spacing w:line="360" w:lineRule="auto"/>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评标报告应当由评标委员会全体成员签字。对评标结果有不同意见的评标委员会成员应当以书面形式说明其不同意见和理由，评标报告应当注明该不同意见。评标委员会成员拒绝在评标报告上签字，但又拒绝以书面说明其不同意见和理由的，视为同意评标结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评标中若遇特殊问题，由评标委员会根据有关法律、法规、规定研究决定。</w:t>
      </w:r>
    </w:p>
    <w:p>
      <w:pPr>
        <w:spacing w:line="360" w:lineRule="auto"/>
        <w:jc w:val="left"/>
        <w:outlineLvl w:val="2"/>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br w:type="page"/>
      </w:r>
      <w:bookmarkStart w:id="473" w:name="_Toc38462893"/>
      <w:bookmarkStart w:id="474" w:name="_Toc136956345"/>
      <w:bookmarkStart w:id="475" w:name="_Toc60323175"/>
      <w:bookmarkStart w:id="476" w:name="_Toc38031580"/>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B：否决条件</w:t>
      </w:r>
      <w:bookmarkEnd w:id="473"/>
      <w:bookmarkEnd w:id="474"/>
      <w:bookmarkEnd w:id="475"/>
      <w:bookmarkEnd w:id="476"/>
    </w:p>
    <w:p>
      <w:pPr>
        <w:adjustRightInd w:val="0"/>
        <w:snapToGrid w:val="0"/>
        <w:spacing w:before="240" w:beforeLines="100" w:after="240" w:afterLines="100" w:line="44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否决投标条件</w:t>
      </w:r>
    </w:p>
    <w:p>
      <w:pPr>
        <w:spacing w:line="480" w:lineRule="exact"/>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B0.总  </w:t>
      </w:r>
      <w:r>
        <w:rPr>
          <w:rFonts w:hint="eastAsia" w:ascii="宋体" w:hAnsi="宋体"/>
          <w:b/>
          <w:color w:val="000000" w:themeColor="text1"/>
          <w:sz w:val="24"/>
          <w14:textFill>
            <w14:solidFill>
              <w14:schemeClr w14:val="tx1"/>
            </w14:solidFill>
          </w14:textFill>
        </w:rPr>
        <w:t>则</w:t>
      </w:r>
    </w:p>
    <w:p>
      <w:pPr>
        <w:adjustRightInd w:val="0"/>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本附件所集中列示的否决投标条件，是本章“评标办法”的组成部分，是对第二章“投标人须知”和本章正文部分所规定的否决投标条件的总结和补充，如果出现相互矛盾的情况，以本节的规定为准。</w:t>
      </w:r>
    </w:p>
    <w:p>
      <w:pPr>
        <w:spacing w:line="480" w:lineRule="exact"/>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B1.否决投标条件</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B1.1投标函未满足第六章“投标函”要求的；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B1.2计划工期不满足投标人须知1.3.2条的；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B1.3质量要求不满足投标人须知1.3.3条的；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B1.4资质条件、能力和信誉不满足投标人须知1.4.1条的；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B1.5联合体投标不满足投标人须知1.4.3条的；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B1.6有投标人须知1.4.4条规定的任何一种情形的；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B1.7分包未满足投标人须知1.11条的；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B1.8偏离未满足投标人须知1.12条的；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B1.9其他材料未满足第六章“其他材料”的；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B1.10投标有效期未满足投标人须知3.3.1条的；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B1.11投标保证金未满足投标人须知3.4.1条的；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B1.12投标文件格式未满足投标人须知3.6.1条的；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B1.13投标文件签署未满足投标人须知3.6.3条的；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B1.14投标报价未满足投标人须知3.2条的；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B1.15低于成本报价的；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B1.16投标报价</w:t>
      </w:r>
      <w:r>
        <w:rPr>
          <w:rFonts w:hint="eastAsia" w:ascii="宋体" w:hAnsi="宋体"/>
          <w:color w:val="000000" w:themeColor="text1"/>
          <w:sz w:val="24"/>
          <w14:textFill>
            <w14:solidFill>
              <w14:schemeClr w14:val="tx1"/>
            </w14:solidFill>
          </w14:textFill>
        </w:rPr>
        <w:t>超过招标控制价（拦标价）</w:t>
      </w:r>
      <w:r>
        <w:rPr>
          <w:rFonts w:ascii="宋体" w:hAnsi="宋体"/>
          <w:color w:val="000000" w:themeColor="text1"/>
          <w:sz w:val="24"/>
          <w14:textFill>
            <w14:solidFill>
              <w14:schemeClr w14:val="tx1"/>
            </w14:solidFill>
          </w14:textFill>
        </w:rPr>
        <w:t>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B1.17投标人拒不按照评标委员会要求对投标文件进行澄清、说明、补正的；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B1.18投标人在投标文件上电子签名与其他投标人在投标文件上的电子签名相同的；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B1.19不同投标人委托同一人投标的；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B1.20投标人的工程量清单和招标文件工程量清单不一致的；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B1.21不同投标人的投标文件由同一台电脑编制的；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B1.22技术标标书“施工组织设计”部分明显不符合技术规范、技术标准的；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B1.23“施工组织设计”部分采用“暗标评审”出现投标人的名称、标识或能够识别投标人的标记和内容的；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B1.24材料暂估价未按招标人在其他项目清单中列出的单价计入综合单价的；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B1.25投标文件中各电子标书未加签有效的投标人数字证书（USBKEY）的；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B1.26不同投标人的投标文件内容存在非正常一致的；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B1.27不同投标人的投标文件错漏之处一致的；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B1.28不同投标人的投标报价或者报价组成异常一致或者呈规律性变化的；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B1.29不同投标人的投标文件载明的项目管理机构成员出现相同人员的；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B1.30内容填写不全或者关键字迹模糊无法辨认的；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B1.31扫描件模糊不清无法辨认的；</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B1.32违反国家、省、市相关法律法规的。</w:t>
      </w:r>
    </w:p>
    <w:p>
      <w:pPr>
        <w:spacing w:line="360" w:lineRule="auto"/>
        <w:ind w:firstLine="422" w:firstLineChars="200"/>
        <w:jc w:val="left"/>
        <w:rPr>
          <w:rFonts w:ascii="宋体" w:hAnsi="宋体"/>
          <w:b/>
          <w:color w:val="000000" w:themeColor="text1"/>
          <w:szCs w:val="28"/>
          <w14:textFill>
            <w14:solidFill>
              <w14:schemeClr w14:val="tx1"/>
            </w14:solidFill>
          </w14:textFill>
        </w:rPr>
      </w:pPr>
      <w:r>
        <w:rPr>
          <w:rFonts w:ascii="宋体" w:hAnsi="宋体"/>
          <w:b/>
          <w:color w:val="000000" w:themeColor="text1"/>
          <w:szCs w:val="28"/>
          <w14:textFill>
            <w14:solidFill>
              <w14:schemeClr w14:val="tx1"/>
            </w14:solidFill>
          </w14:textFill>
        </w:rPr>
        <w:fldChar w:fldCharType="begin"/>
      </w:r>
      <w:r>
        <w:rPr>
          <w:rFonts w:ascii="宋体" w:hAnsi="宋体"/>
          <w:b/>
          <w:color w:val="000000" w:themeColor="text1"/>
          <w:szCs w:val="28"/>
          <w14:textFill>
            <w14:solidFill>
              <w14:schemeClr w14:val="tx1"/>
            </w14:solidFill>
          </w14:textFill>
        </w:rPr>
        <w:instrText xml:space="preserve"> AUTOTEXT  FBTJ \* MERGEFORMAT </w:instrText>
      </w:r>
      <w:r>
        <w:rPr>
          <w:rFonts w:ascii="宋体" w:hAnsi="宋体"/>
          <w:b/>
          <w:color w:val="000000" w:themeColor="text1"/>
          <w:szCs w:val="28"/>
          <w14:textFill>
            <w14:solidFill>
              <w14:schemeClr w14:val="tx1"/>
            </w14:solidFill>
          </w14:textFill>
        </w:rPr>
        <w:fldChar w:fldCharType="end"/>
      </w:r>
    </w:p>
    <w:bookmarkEnd w:id="466"/>
    <w:p>
      <w:pPr>
        <w:pStyle w:val="61"/>
        <w:ind w:firstLine="211"/>
        <w:rPr>
          <w:rFonts w:ascii="宋体" w:hAnsi="宋体"/>
          <w:b/>
          <w:color w:val="000000" w:themeColor="text1"/>
          <w14:textFill>
            <w14:solidFill>
              <w14:schemeClr w14:val="tx1"/>
            </w14:solidFill>
          </w14:textFill>
        </w:rPr>
      </w:pPr>
    </w:p>
    <w:p>
      <w:pPr>
        <w:pStyle w:val="61"/>
        <w:ind w:firstLine="211"/>
        <w:rPr>
          <w:rFonts w:ascii="宋体" w:hAnsi="宋体"/>
          <w:b/>
          <w:color w:val="000000" w:themeColor="text1"/>
          <w14:textFill>
            <w14:solidFill>
              <w14:schemeClr w14:val="tx1"/>
            </w14:solidFill>
          </w14:textFill>
        </w:rPr>
      </w:pPr>
    </w:p>
    <w:p>
      <w:pPr>
        <w:pStyle w:val="61"/>
        <w:ind w:firstLine="211"/>
        <w:rPr>
          <w:rFonts w:ascii="宋体" w:hAnsi="宋体"/>
          <w:b/>
          <w:color w:val="000000" w:themeColor="text1"/>
          <w14:textFill>
            <w14:solidFill>
              <w14:schemeClr w14:val="tx1"/>
            </w14:solidFill>
          </w14:textFill>
        </w:rPr>
      </w:pPr>
    </w:p>
    <w:p>
      <w:pPr>
        <w:spacing w:line="360" w:lineRule="auto"/>
        <w:jc w:val="left"/>
        <w:rPr>
          <w:rFonts w:ascii="宋体" w:hAnsi="宋体"/>
          <w:b/>
          <w:color w:val="000000" w:themeColor="text1"/>
          <w:sz w:val="22"/>
          <w:szCs w:val="22"/>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r>
        <w:rPr>
          <w:rFonts w:ascii="宋体" w:hAnsi="宋体"/>
          <w:b/>
          <w:color w:val="000000" w:themeColor="text1"/>
          <w:szCs w:val="21"/>
          <w14:textFill>
            <w14:solidFill>
              <w14:schemeClr w14:val="tx1"/>
            </w14:solidFill>
          </w14:textFill>
        </w:rPr>
        <w:br w:type="page"/>
      </w: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pStyle w:val="2"/>
        <w:ind w:left="420" w:firstLine="422"/>
        <w:rPr>
          <w:b/>
          <w:color w:val="000000" w:themeColor="text1"/>
          <w14:textFill>
            <w14:solidFill>
              <w14:schemeClr w14:val="tx1"/>
            </w14:solidFill>
          </w14:textFill>
        </w:rPr>
      </w:pPr>
    </w:p>
    <w:p>
      <w:pPr>
        <w:pStyle w:val="2"/>
        <w:ind w:left="420" w:firstLine="422"/>
        <w:rPr>
          <w:b/>
          <w:color w:val="000000" w:themeColor="text1"/>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r>
        <w:rPr>
          <w:rFonts w:ascii="宋体" w:hAnsi="宋体"/>
          <w:b/>
          <w:color w:val="000000" w:themeColor="text1"/>
          <w:sz w:val="30"/>
          <w:szCs w:val="30"/>
          <w:u w:val="singl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align>center</wp:align>
                </wp:positionH>
                <wp:positionV relativeFrom="paragraph">
                  <wp:posOffset>0</wp:posOffset>
                </wp:positionV>
                <wp:extent cx="4810760" cy="2278380"/>
                <wp:effectExtent l="19050" t="19050" r="27940" b="26670"/>
                <wp:wrapNone/>
                <wp:docPr id="15" name="Text Box 5"/>
                <wp:cNvGraphicFramePr/>
                <a:graphic xmlns:a="http://schemas.openxmlformats.org/drawingml/2006/main">
                  <a:graphicData uri="http://schemas.microsoft.com/office/word/2010/wordprocessingShape">
                    <wps:wsp>
                      <wps:cNvSpPr txBox="1">
                        <a:spLocks noChangeArrowheads="1"/>
                      </wps:cNvSpPr>
                      <wps:spPr bwMode="auto">
                        <a:xfrm>
                          <a:off x="0" y="0"/>
                          <a:ext cx="4810760" cy="2278380"/>
                        </a:xfrm>
                        <a:prstGeom prst="rect">
                          <a:avLst/>
                        </a:prstGeom>
                        <a:solidFill>
                          <a:srgbClr val="FFFFFF"/>
                        </a:solidFill>
                        <a:ln w="57150" cmpd="thickThin">
                          <a:solidFill>
                            <a:srgbClr val="000000"/>
                          </a:solidFill>
                          <a:miter lim="800000"/>
                        </a:ln>
                      </wps:spPr>
                      <wps:txbx>
                        <w:txbxContent>
                          <w:p/>
                        </w:txbxContent>
                      </wps:txbx>
                      <wps:bodyPr rot="0" vert="horz" wrap="square" anchor="t" anchorCtr="0" upright="1"/>
                    </wps:wsp>
                  </a:graphicData>
                </a:graphic>
              </wp:anchor>
            </w:drawing>
          </mc:Choice>
          <mc:Fallback>
            <w:pict>
              <v:shape id="Text Box 5" o:spid="_x0000_s1026" o:spt="202" type="#_x0000_t202" style="position:absolute;left:0pt;margin-top:0pt;height:179.4pt;width:378.8pt;mso-position-horizontal:center;z-index:-251655168;mso-width-relative:page;mso-height-relative:page;" fillcolor="#FFFFFF" filled="t" stroked="t" coordsize="21600,21600" o:gfxdata="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vJAcvYAAAABQEAAA8A&#10;AAAAAAAAAQAgAAAAIgAAAGRycy9kb3ducmV2LnhtbFBLAQIUABQAAAAIAIdO4kBk1CCsFwIAAEwE&#10;AAAOAAAAAAAAAAEAIAAAACcBAABkcnMvZTJvRG9jLnhtbFBLBQYAAAAABgAGAFkBAACwBQAAAAA=&#10;">
                <v:fill on="t" focussize="0,0"/>
                <v:stroke weight="4.5pt" color="#000000" linestyle="thickThin" miterlimit="8" joinstyle="miter"/>
                <v:imagedata o:title=""/>
                <o:lock v:ext="edit" aspectratio="f"/>
                <v:textbox>
                  <w:txbxContent>
                    <w:p/>
                  </w:txbxContent>
                </v:textbox>
              </v:shape>
            </w:pict>
          </mc:Fallback>
        </mc:AlternateContent>
      </w:r>
    </w:p>
    <w:p>
      <w:pPr>
        <w:spacing w:line="360" w:lineRule="auto"/>
        <w:rPr>
          <w:rFonts w:ascii="宋体" w:hAnsi="宋体"/>
          <w:b/>
          <w:color w:val="000000" w:themeColor="text1"/>
          <w:sz w:val="24"/>
          <w:u w:val="single"/>
          <w14:textFill>
            <w14:solidFill>
              <w14:schemeClr w14:val="tx1"/>
            </w14:solidFill>
          </w14:textFill>
        </w:rPr>
      </w:pPr>
    </w:p>
    <w:p>
      <w:pPr>
        <w:spacing w:line="360" w:lineRule="auto"/>
        <w:rPr>
          <w:rFonts w:ascii="宋体" w:hAnsi="宋体"/>
          <w:b/>
          <w:color w:val="000000" w:themeColor="text1"/>
          <w:sz w:val="24"/>
          <w:u w:val="single"/>
          <w14:textFill>
            <w14:solidFill>
              <w14:schemeClr w14:val="tx1"/>
            </w14:solidFill>
          </w14:textFill>
        </w:rPr>
      </w:pPr>
    </w:p>
    <w:p>
      <w:pPr>
        <w:rPr>
          <w:rFonts w:ascii="宋体" w:hAnsi="宋体"/>
          <w:b/>
          <w:color w:val="000000" w:themeColor="text1"/>
          <w:sz w:val="24"/>
          <w:u w:val="single"/>
          <w14:textFill>
            <w14:solidFill>
              <w14:schemeClr w14:val="tx1"/>
            </w14:solidFill>
          </w14:textFill>
        </w:rPr>
      </w:pPr>
    </w:p>
    <w:p>
      <w:pPr>
        <w:pStyle w:val="4"/>
        <w:jc w:val="center"/>
        <w:rPr>
          <w:rFonts w:ascii="宋体" w:hAnsi="宋体"/>
          <w:bCs w:val="0"/>
          <w:color w:val="000000" w:themeColor="text1"/>
          <w:sz w:val="44"/>
          <w:u w:val="single"/>
          <w14:textFill>
            <w14:solidFill>
              <w14:schemeClr w14:val="tx1"/>
            </w14:solidFill>
          </w14:textFill>
        </w:rPr>
      </w:pPr>
      <w:bookmarkStart w:id="477" w:name="_Toc136956346"/>
      <w:r>
        <w:rPr>
          <w:rFonts w:hint="eastAsia" w:ascii="宋体" w:hAnsi="宋体"/>
          <w:bCs w:val="0"/>
          <w:color w:val="000000" w:themeColor="text1"/>
          <w:sz w:val="44"/>
          <w14:textFill>
            <w14:solidFill>
              <w14:schemeClr w14:val="tx1"/>
            </w14:solidFill>
          </w14:textFill>
        </w:rPr>
        <w:t>第三卷</w:t>
      </w:r>
      <w:bookmarkEnd w:id="477"/>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sectPr>
          <w:footerReference r:id="rId9" w:type="default"/>
          <w:type w:val="nextColumn"/>
          <w:pgSz w:w="11906" w:h="16838"/>
          <w:pgMar w:top="1304" w:right="1304" w:bottom="1304" w:left="1304" w:header="851" w:footer="992" w:gutter="0"/>
          <w:pgNumType w:fmt="numberInDash"/>
          <w:cols w:space="720" w:num="1"/>
          <w:docGrid w:linePitch="312" w:charSpace="0"/>
        </w:sectPr>
      </w:pPr>
    </w:p>
    <w:p>
      <w:pPr>
        <w:pStyle w:val="5"/>
        <w:spacing w:line="440" w:lineRule="exact"/>
        <w:jc w:val="center"/>
        <w:rPr>
          <w:rFonts w:ascii="宋体" w:hAnsi="宋体" w:eastAsia="宋体"/>
          <w:bCs w:val="0"/>
          <w:color w:val="000000" w:themeColor="text1"/>
          <w:sz w:val="44"/>
          <w:szCs w:val="44"/>
          <w14:textFill>
            <w14:solidFill>
              <w14:schemeClr w14:val="tx1"/>
            </w14:solidFill>
          </w14:textFill>
        </w:rPr>
      </w:pPr>
      <w:bookmarkStart w:id="478" w:name="_Toc247514177"/>
      <w:bookmarkEnd w:id="478"/>
      <w:bookmarkStart w:id="479" w:name="_Toc247527778"/>
      <w:bookmarkEnd w:id="479"/>
      <w:bookmarkStart w:id="480" w:name="_Toc529797944"/>
      <w:bookmarkStart w:id="481" w:name="_Toc136956347"/>
      <w:r>
        <w:rPr>
          <w:rFonts w:hint="eastAsia" w:ascii="宋体" w:hAnsi="宋体" w:eastAsia="宋体"/>
          <w:bCs w:val="0"/>
          <w:color w:val="000000" w:themeColor="text1"/>
          <w:sz w:val="44"/>
          <w:szCs w:val="44"/>
          <w14:textFill>
            <w14:solidFill>
              <w14:schemeClr w14:val="tx1"/>
            </w14:solidFill>
          </w14:textFill>
        </w:rPr>
        <w:t>第四章 合同条款及格式</w:t>
      </w:r>
      <w:bookmarkEnd w:id="480"/>
      <w:bookmarkEnd w:id="481"/>
    </w:p>
    <w:p>
      <w:pPr>
        <w:jc w:val="center"/>
        <w:rPr>
          <w:rFonts w:ascii="宋体" w:hAnsi="宋体"/>
          <w:b/>
          <w:color w:val="000000" w:themeColor="text1"/>
          <w:sz w:val="24"/>
          <w14:textFill>
            <w14:solidFill>
              <w14:schemeClr w14:val="tx1"/>
            </w14:solidFill>
          </w14:textFill>
        </w:rPr>
      </w:pPr>
    </w:p>
    <w:p>
      <w:pPr>
        <w:spacing w:line="360" w:lineRule="auto"/>
        <w:jc w:val="center"/>
        <w:rPr>
          <w:rFonts w:ascii="宋体" w:hAnsi="宋体"/>
          <w:b/>
          <w:color w:val="000000" w:themeColor="text1"/>
          <w:sz w:val="22"/>
          <w14:textFill>
            <w14:solidFill>
              <w14:schemeClr w14:val="tx1"/>
            </w14:solidFill>
          </w14:textFill>
        </w:rPr>
      </w:pPr>
      <w:bookmarkStart w:id="482" w:name="_Toc529797945"/>
      <w:bookmarkStart w:id="483" w:name="_Toc525344505"/>
      <w:r>
        <w:rPr>
          <w:rFonts w:hint="eastAsia" w:ascii="宋体" w:hAnsi="宋体"/>
          <w:b/>
          <w:color w:val="000000" w:themeColor="text1"/>
          <w:sz w:val="22"/>
          <w14:textFill>
            <w14:solidFill>
              <w14:schemeClr w14:val="tx1"/>
            </w14:solidFill>
          </w14:textFill>
        </w:rPr>
        <w:t>（招标文件内本章合同条款及格式仅作为参考，本章节中未明确内容将在合同谈判中明确，招标人保留最终修订合同的权利，最终本合同以实际签订为准）</w:t>
      </w:r>
      <w:bookmarkEnd w:id="482"/>
      <w:bookmarkEnd w:id="483"/>
    </w:p>
    <w:p>
      <w:pPr>
        <w:widowControl/>
        <w:tabs>
          <w:tab w:val="left" w:pos="5812"/>
        </w:tabs>
        <w:spacing w:line="360" w:lineRule="auto"/>
        <w:rPr>
          <w:rFonts w:ascii="宋体" w:hAnsi="宋体" w:cs="宋体"/>
          <w:b/>
          <w:color w:val="000000" w:themeColor="text1"/>
          <w:kern w:val="0"/>
          <w:sz w:val="28"/>
          <w:szCs w:val="52"/>
          <w14:textFill>
            <w14:solidFill>
              <w14:schemeClr w14:val="tx1"/>
            </w14:solidFill>
          </w14:textFill>
        </w:rPr>
      </w:pPr>
      <w:r>
        <w:rPr>
          <w:rFonts w:hint="eastAsia" w:ascii="宋体" w:hAnsi="宋体" w:cs="宋体"/>
          <w:b/>
          <w:color w:val="000000" w:themeColor="text1"/>
          <w:kern w:val="0"/>
          <w:sz w:val="28"/>
          <w:szCs w:val="52"/>
          <w14:textFill>
            <w14:solidFill>
              <w14:schemeClr w14:val="tx1"/>
            </w14:solidFill>
          </w14:textFill>
        </w:rPr>
        <w:t>合同编号：</w:t>
      </w:r>
    </w:p>
    <w:p>
      <w:pPr>
        <w:widowControl/>
        <w:tabs>
          <w:tab w:val="left" w:pos="5812"/>
        </w:tabs>
        <w:jc w:val="center"/>
        <w:rPr>
          <w:rFonts w:ascii="宋体" w:hAnsi="宋体" w:cs="宋体"/>
          <w:b/>
          <w:color w:val="000000" w:themeColor="text1"/>
          <w:kern w:val="0"/>
          <w:sz w:val="44"/>
          <w:szCs w:val="44"/>
          <w14:textFill>
            <w14:solidFill>
              <w14:schemeClr w14:val="tx1"/>
            </w14:solidFill>
          </w14:textFill>
        </w:rPr>
      </w:pPr>
    </w:p>
    <w:p>
      <w:pPr>
        <w:pStyle w:val="2"/>
        <w:ind w:left="420" w:firstLine="422"/>
        <w:rPr>
          <w:b/>
          <w:color w:val="000000" w:themeColor="text1"/>
          <w14:textFill>
            <w14:solidFill>
              <w14:schemeClr w14:val="tx1"/>
            </w14:solidFill>
          </w14:textFill>
        </w:rPr>
      </w:pPr>
    </w:p>
    <w:p>
      <w:pPr>
        <w:widowControl/>
        <w:tabs>
          <w:tab w:val="left" w:pos="5812"/>
        </w:tabs>
        <w:jc w:val="center"/>
        <w:rPr>
          <w:rFonts w:ascii="宋体" w:hAnsi="宋体" w:cs="宋体"/>
          <w:b/>
          <w:color w:val="000000" w:themeColor="text1"/>
          <w:kern w:val="0"/>
          <w:sz w:val="44"/>
          <w:szCs w:val="44"/>
          <w14:textFill>
            <w14:solidFill>
              <w14:schemeClr w14:val="tx1"/>
            </w14:solidFill>
          </w14:textFill>
        </w:rPr>
      </w:pPr>
      <w:r>
        <w:rPr>
          <w:rFonts w:hint="eastAsia" w:ascii="宋体" w:hAnsi="宋体" w:cs="宋体"/>
          <w:b/>
          <w:color w:val="000000" w:themeColor="text1"/>
          <w:kern w:val="0"/>
          <w:sz w:val="44"/>
          <w:szCs w:val="44"/>
          <w14:textFill>
            <w14:solidFill>
              <w14:schemeClr w14:val="tx1"/>
            </w14:solidFill>
          </w14:textFill>
        </w:rPr>
        <w:t>经开区143号路设计施工总承包</w:t>
      </w:r>
      <w:r>
        <w:rPr>
          <w:rFonts w:ascii="宋体" w:hAnsi="宋体" w:cs="宋体"/>
          <w:b/>
          <w:color w:val="000000" w:themeColor="text1"/>
          <w:kern w:val="0"/>
          <w:sz w:val="44"/>
          <w:szCs w:val="44"/>
          <w14:textFill>
            <w14:solidFill>
              <w14:schemeClr w14:val="tx1"/>
            </w14:solidFill>
          </w14:textFill>
        </w:rPr>
        <w:t>合同</w:t>
      </w:r>
    </w:p>
    <w:p>
      <w:pPr>
        <w:widowControl/>
        <w:tabs>
          <w:tab w:val="left" w:pos="5812"/>
        </w:tabs>
        <w:spacing w:line="360" w:lineRule="auto"/>
        <w:jc w:val="center"/>
        <w:rPr>
          <w:rFonts w:ascii="宋体" w:hAnsi="宋体"/>
          <w:b/>
          <w:color w:val="000000" w:themeColor="text1"/>
          <w:kern w:val="0"/>
          <w:sz w:val="36"/>
          <w:szCs w:val="36"/>
          <w14:textFill>
            <w14:solidFill>
              <w14:schemeClr w14:val="tx1"/>
            </w14:solidFill>
          </w14:textFill>
        </w:rPr>
      </w:pPr>
    </w:p>
    <w:p>
      <w:pPr>
        <w:spacing w:line="480" w:lineRule="auto"/>
        <w:ind w:left="640"/>
        <w:rPr>
          <w:rFonts w:hAnsi="宋体"/>
          <w:b/>
          <w:color w:val="000000" w:themeColor="text1"/>
          <w:sz w:val="28"/>
          <w:szCs w:val="30"/>
          <w14:textFill>
            <w14:solidFill>
              <w14:schemeClr w14:val="tx1"/>
            </w14:solidFill>
          </w14:textFill>
        </w:rPr>
      </w:pPr>
    </w:p>
    <w:p>
      <w:pPr>
        <w:spacing w:line="480" w:lineRule="auto"/>
        <w:ind w:left="640"/>
        <w:rPr>
          <w:rFonts w:hAnsi="宋体"/>
          <w:b/>
          <w:color w:val="000000" w:themeColor="text1"/>
          <w:sz w:val="28"/>
          <w:szCs w:val="30"/>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spacing w:line="480" w:lineRule="auto"/>
        <w:ind w:left="640"/>
        <w:rPr>
          <w:rFonts w:ascii="华文中宋" w:hAnsi="宋体" w:eastAsia="华文中宋"/>
          <w:b/>
          <w:color w:val="000000" w:themeColor="text1"/>
          <w:kern w:val="0"/>
          <w:sz w:val="28"/>
          <w:szCs w:val="30"/>
          <w14:textFill>
            <w14:solidFill>
              <w14:schemeClr w14:val="tx1"/>
            </w14:solidFill>
          </w14:textFill>
        </w:rPr>
      </w:pPr>
      <w:r>
        <w:rPr>
          <w:rFonts w:hint="eastAsia" w:ascii="华文中宋" w:hAnsi="宋体" w:eastAsia="华文中宋"/>
          <w:b/>
          <w:color w:val="000000" w:themeColor="text1"/>
          <w:kern w:val="0"/>
          <w:sz w:val="28"/>
          <w:szCs w:val="30"/>
          <w14:textFill>
            <w14:solidFill>
              <w14:schemeClr w14:val="tx1"/>
            </w14:solidFill>
          </w14:textFill>
        </w:rPr>
        <w:t>工程名称：</w:t>
      </w:r>
      <w:r>
        <w:rPr>
          <w:rFonts w:hint="eastAsia" w:ascii="华文中宋" w:hAnsi="宋体" w:eastAsia="华文中宋"/>
          <w:b/>
          <w:color w:val="000000" w:themeColor="text1"/>
          <w:kern w:val="0"/>
          <w:sz w:val="28"/>
          <w:szCs w:val="30"/>
          <w:u w:val="single"/>
          <w14:textFill>
            <w14:solidFill>
              <w14:schemeClr w14:val="tx1"/>
            </w14:solidFill>
          </w14:textFill>
        </w:rPr>
        <w:t>经开区143号路设计施工总承包</w:t>
      </w:r>
    </w:p>
    <w:p>
      <w:pPr>
        <w:spacing w:line="480" w:lineRule="auto"/>
        <w:ind w:left="640"/>
        <w:rPr>
          <w:rFonts w:ascii="华文中宋" w:hAnsi="宋体" w:eastAsia="华文中宋"/>
          <w:b/>
          <w:color w:val="000000" w:themeColor="text1"/>
          <w:kern w:val="0"/>
          <w:sz w:val="28"/>
          <w:szCs w:val="30"/>
          <w:u w:val="single"/>
          <w14:textFill>
            <w14:solidFill>
              <w14:schemeClr w14:val="tx1"/>
            </w14:solidFill>
          </w14:textFill>
        </w:rPr>
      </w:pPr>
      <w:r>
        <w:rPr>
          <w:rFonts w:hint="eastAsia" w:ascii="华文中宋" w:hAnsi="宋体" w:eastAsia="华文中宋"/>
          <w:b/>
          <w:color w:val="000000" w:themeColor="text1"/>
          <w:kern w:val="0"/>
          <w:sz w:val="28"/>
          <w:szCs w:val="30"/>
          <w14:textFill>
            <w14:solidFill>
              <w14:schemeClr w14:val="tx1"/>
            </w14:solidFill>
          </w14:textFill>
        </w:rPr>
        <w:t>发 包 人：</w:t>
      </w:r>
      <w:r>
        <w:rPr>
          <w:rFonts w:hint="eastAsia" w:ascii="华文中宋" w:hAnsi="宋体" w:eastAsia="华文中宋"/>
          <w:b/>
          <w:color w:val="000000" w:themeColor="text1"/>
          <w:kern w:val="0"/>
          <w:sz w:val="28"/>
          <w:szCs w:val="30"/>
          <w:u w:val="single"/>
          <w14:textFill>
            <w14:solidFill>
              <w14:schemeClr w14:val="tx1"/>
            </w14:solidFill>
          </w14:textFill>
        </w:rPr>
        <w:t xml:space="preserve">昆明经济技术开发区规划建设局 </w:t>
      </w:r>
      <w:r>
        <w:rPr>
          <w:rFonts w:ascii="华文中宋" w:hAnsi="宋体" w:eastAsia="华文中宋"/>
          <w:b/>
          <w:color w:val="000000" w:themeColor="text1"/>
          <w:kern w:val="0"/>
          <w:sz w:val="28"/>
          <w:szCs w:val="30"/>
          <w:u w:val="single"/>
          <w14:textFill>
            <w14:solidFill>
              <w14:schemeClr w14:val="tx1"/>
            </w14:solidFill>
          </w14:textFill>
        </w:rPr>
        <w:t xml:space="preserve">   </w:t>
      </w:r>
      <w:r>
        <w:rPr>
          <w:rFonts w:hint="eastAsia" w:ascii="华文中宋" w:hAnsi="宋体" w:eastAsia="华文中宋"/>
          <w:b/>
          <w:color w:val="000000" w:themeColor="text1"/>
          <w:kern w:val="0"/>
          <w:sz w:val="28"/>
          <w:szCs w:val="30"/>
          <w:u w:val="single"/>
          <w14:textFill>
            <w14:solidFill>
              <w14:schemeClr w14:val="tx1"/>
            </w14:solidFill>
          </w14:textFill>
        </w:rPr>
        <w:t xml:space="preserve"> </w:t>
      </w:r>
    </w:p>
    <w:p>
      <w:pPr>
        <w:spacing w:line="480" w:lineRule="auto"/>
        <w:ind w:left="640"/>
        <w:rPr>
          <w:rFonts w:ascii="华文中宋" w:hAnsi="宋体" w:eastAsia="华文中宋"/>
          <w:b/>
          <w:color w:val="000000" w:themeColor="text1"/>
          <w:kern w:val="0"/>
          <w:sz w:val="28"/>
          <w:szCs w:val="30"/>
          <w:u w:val="single"/>
          <w14:textFill>
            <w14:solidFill>
              <w14:schemeClr w14:val="tx1"/>
            </w14:solidFill>
          </w14:textFill>
        </w:rPr>
      </w:pPr>
      <w:r>
        <w:rPr>
          <w:rFonts w:hint="eastAsia" w:ascii="华文中宋" w:hAnsi="宋体" w:eastAsia="华文中宋"/>
          <w:b/>
          <w:color w:val="000000" w:themeColor="text1"/>
          <w:kern w:val="0"/>
          <w:sz w:val="28"/>
          <w:szCs w:val="30"/>
          <w14:textFill>
            <w14:solidFill>
              <w14:schemeClr w14:val="tx1"/>
            </w14:solidFill>
          </w14:textFill>
        </w:rPr>
        <w:t>承 包 人：</w:t>
      </w:r>
      <w:r>
        <w:rPr>
          <w:rFonts w:hint="eastAsia" w:ascii="华文中宋" w:hAnsi="宋体" w:eastAsia="华文中宋"/>
          <w:b/>
          <w:color w:val="000000" w:themeColor="text1"/>
          <w:kern w:val="0"/>
          <w:sz w:val="28"/>
          <w:szCs w:val="30"/>
          <w:u w:val="single"/>
          <w14:textFill>
            <w14:solidFill>
              <w14:schemeClr w14:val="tx1"/>
            </w14:solidFill>
          </w14:textFill>
        </w:rPr>
        <w:t xml:space="preserve"> </w:t>
      </w:r>
      <w:r>
        <w:rPr>
          <w:rFonts w:ascii="华文中宋" w:hAnsi="宋体" w:eastAsia="华文中宋"/>
          <w:b/>
          <w:color w:val="000000" w:themeColor="text1"/>
          <w:kern w:val="0"/>
          <w:sz w:val="28"/>
          <w:szCs w:val="30"/>
          <w:u w:val="single"/>
          <w14:textFill>
            <w14:solidFill>
              <w14:schemeClr w14:val="tx1"/>
            </w14:solidFill>
          </w14:textFill>
        </w:rPr>
        <w:t xml:space="preserve">                                  </w:t>
      </w:r>
    </w:p>
    <w:p>
      <w:pPr>
        <w:widowControl/>
        <w:spacing w:line="480" w:lineRule="auto"/>
        <w:jc w:val="left"/>
        <w:rPr>
          <w:rFonts w:ascii="宋体" w:hAnsi="宋体"/>
          <w:b/>
          <w:color w:val="000000" w:themeColor="text1"/>
          <w:kern w:val="0"/>
          <w:sz w:val="28"/>
          <w:szCs w:val="30"/>
          <w14:textFill>
            <w14:solidFill>
              <w14:schemeClr w14:val="tx1"/>
            </w14:solidFill>
          </w14:textFill>
        </w:rPr>
      </w:pPr>
    </w:p>
    <w:p>
      <w:pPr>
        <w:widowControl/>
        <w:spacing w:line="480" w:lineRule="auto"/>
        <w:ind w:firstLine="562" w:firstLineChars="200"/>
        <w:jc w:val="left"/>
        <w:rPr>
          <w:rFonts w:ascii="宋体" w:hAnsi="宋体" w:cs="宋体"/>
          <w:b/>
          <w:color w:val="000000" w:themeColor="text1"/>
          <w:kern w:val="0"/>
          <w:sz w:val="28"/>
          <w:szCs w:val="32"/>
          <w:u w:val="single"/>
          <w14:textFill>
            <w14:solidFill>
              <w14:schemeClr w14:val="tx1"/>
            </w14:solidFill>
          </w14:textFill>
        </w:rPr>
      </w:pPr>
      <w:r>
        <w:rPr>
          <w:rFonts w:hint="eastAsia" w:ascii="宋体" w:hAnsi="宋体" w:cs="宋体"/>
          <w:b/>
          <w:color w:val="000000" w:themeColor="text1"/>
          <w:kern w:val="0"/>
          <w:sz w:val="28"/>
          <w:szCs w:val="32"/>
          <w14:textFill>
            <w14:solidFill>
              <w14:schemeClr w14:val="tx1"/>
            </w14:solidFill>
          </w14:textFill>
        </w:rPr>
        <w:t>合同签订地点：</w:t>
      </w:r>
      <w:r>
        <w:rPr>
          <w:rFonts w:ascii="宋体" w:hAnsi="宋体" w:cs="宋体"/>
          <w:b/>
          <w:color w:val="000000" w:themeColor="text1"/>
          <w:kern w:val="0"/>
          <w:sz w:val="28"/>
          <w:szCs w:val="32"/>
          <w:u w:val="single"/>
          <w14:textFill>
            <w14:solidFill>
              <w14:schemeClr w14:val="tx1"/>
            </w14:solidFill>
          </w14:textFill>
        </w:rPr>
        <w:t xml:space="preserve">        昆明市         </w:t>
      </w:r>
    </w:p>
    <w:p>
      <w:pPr>
        <w:widowControl/>
        <w:spacing w:line="480" w:lineRule="auto"/>
        <w:ind w:firstLine="562" w:firstLineChars="200"/>
        <w:jc w:val="left"/>
        <w:rPr>
          <w:rFonts w:ascii="宋体" w:hAnsi="宋体" w:cs="宋体"/>
          <w:b/>
          <w:color w:val="000000" w:themeColor="text1"/>
          <w:kern w:val="0"/>
          <w:sz w:val="28"/>
          <w:szCs w:val="32"/>
          <w14:textFill>
            <w14:solidFill>
              <w14:schemeClr w14:val="tx1"/>
            </w14:solidFill>
          </w14:textFill>
        </w:rPr>
      </w:pPr>
      <w:r>
        <w:rPr>
          <w:rFonts w:hint="eastAsia" w:ascii="宋体" w:hAnsi="宋体" w:cs="宋体"/>
          <w:b/>
          <w:color w:val="000000" w:themeColor="text1"/>
          <w:kern w:val="0"/>
          <w:sz w:val="28"/>
          <w:szCs w:val="32"/>
          <w14:textFill>
            <w14:solidFill>
              <w14:schemeClr w14:val="tx1"/>
            </w14:solidFill>
          </w14:textFill>
        </w:rPr>
        <w:t>合同签订日期：</w:t>
      </w:r>
      <w:r>
        <w:rPr>
          <w:rFonts w:hint="eastAsia" w:ascii="华文中宋" w:hAnsi="宋体" w:eastAsia="华文中宋"/>
          <w:b/>
          <w:color w:val="000000" w:themeColor="text1"/>
          <w:kern w:val="0"/>
          <w:sz w:val="28"/>
          <w:szCs w:val="30"/>
          <w:u w:val="single"/>
          <w14:textFill>
            <w14:solidFill>
              <w14:schemeClr w14:val="tx1"/>
            </w14:solidFill>
          </w14:textFill>
        </w:rPr>
        <w:t xml:space="preserve"> </w:t>
      </w:r>
      <w:r>
        <w:rPr>
          <w:rFonts w:ascii="华文中宋" w:hAnsi="宋体" w:eastAsia="华文中宋"/>
          <w:b/>
          <w:color w:val="000000" w:themeColor="text1"/>
          <w:kern w:val="0"/>
          <w:sz w:val="28"/>
          <w:szCs w:val="30"/>
          <w:u w:val="single"/>
          <w14:textFill>
            <w14:solidFill>
              <w14:schemeClr w14:val="tx1"/>
            </w14:solidFill>
          </w14:textFill>
        </w:rPr>
        <w:t xml:space="preserve">     </w:t>
      </w:r>
      <w:r>
        <w:rPr>
          <w:rFonts w:hint="eastAsia" w:ascii="宋体" w:hAnsi="宋体" w:cs="宋体"/>
          <w:b/>
          <w:color w:val="000000" w:themeColor="text1"/>
          <w:kern w:val="0"/>
          <w:sz w:val="28"/>
          <w:szCs w:val="32"/>
          <w14:textFill>
            <w14:solidFill>
              <w14:schemeClr w14:val="tx1"/>
            </w14:solidFill>
          </w14:textFill>
        </w:rPr>
        <w:t>年</w:t>
      </w:r>
      <w:r>
        <w:rPr>
          <w:rFonts w:hint="eastAsia" w:ascii="华文中宋" w:hAnsi="宋体" w:eastAsia="华文中宋"/>
          <w:b/>
          <w:color w:val="000000" w:themeColor="text1"/>
          <w:kern w:val="0"/>
          <w:sz w:val="28"/>
          <w:szCs w:val="30"/>
          <w:u w:val="single"/>
          <w14:textFill>
            <w14:solidFill>
              <w14:schemeClr w14:val="tx1"/>
            </w14:solidFill>
          </w14:textFill>
        </w:rPr>
        <w:t xml:space="preserve"> </w:t>
      </w:r>
      <w:r>
        <w:rPr>
          <w:rFonts w:ascii="华文中宋" w:hAnsi="宋体" w:eastAsia="华文中宋"/>
          <w:b/>
          <w:color w:val="000000" w:themeColor="text1"/>
          <w:kern w:val="0"/>
          <w:sz w:val="28"/>
          <w:szCs w:val="30"/>
          <w:u w:val="single"/>
          <w14:textFill>
            <w14:solidFill>
              <w14:schemeClr w14:val="tx1"/>
            </w14:solidFill>
          </w14:textFill>
        </w:rPr>
        <w:t xml:space="preserve">     </w:t>
      </w:r>
      <w:r>
        <w:rPr>
          <w:rFonts w:hint="eastAsia" w:ascii="宋体" w:hAnsi="宋体" w:cs="宋体"/>
          <w:b/>
          <w:color w:val="000000" w:themeColor="text1"/>
          <w:kern w:val="0"/>
          <w:sz w:val="28"/>
          <w:szCs w:val="32"/>
          <w14:textFill>
            <w14:solidFill>
              <w14:schemeClr w14:val="tx1"/>
            </w14:solidFill>
          </w14:textFill>
        </w:rPr>
        <w:t>月</w:t>
      </w:r>
      <w:r>
        <w:rPr>
          <w:rFonts w:hint="eastAsia" w:ascii="华文中宋" w:hAnsi="宋体" w:eastAsia="华文中宋"/>
          <w:b/>
          <w:color w:val="000000" w:themeColor="text1"/>
          <w:kern w:val="0"/>
          <w:sz w:val="28"/>
          <w:szCs w:val="30"/>
          <w:u w:val="single"/>
          <w14:textFill>
            <w14:solidFill>
              <w14:schemeClr w14:val="tx1"/>
            </w14:solidFill>
          </w14:textFill>
        </w:rPr>
        <w:t xml:space="preserve"> </w:t>
      </w:r>
      <w:r>
        <w:rPr>
          <w:rFonts w:ascii="华文中宋" w:hAnsi="宋体" w:eastAsia="华文中宋"/>
          <w:b/>
          <w:color w:val="000000" w:themeColor="text1"/>
          <w:kern w:val="0"/>
          <w:sz w:val="28"/>
          <w:szCs w:val="30"/>
          <w:u w:val="single"/>
          <w14:textFill>
            <w14:solidFill>
              <w14:schemeClr w14:val="tx1"/>
            </w14:solidFill>
          </w14:textFill>
        </w:rPr>
        <w:t xml:space="preserve">     </w:t>
      </w:r>
      <w:r>
        <w:rPr>
          <w:rFonts w:hint="eastAsia" w:ascii="宋体" w:hAnsi="宋体" w:cs="宋体"/>
          <w:b/>
          <w:color w:val="000000" w:themeColor="text1"/>
          <w:kern w:val="0"/>
          <w:sz w:val="28"/>
          <w:szCs w:val="32"/>
          <w14:textFill>
            <w14:solidFill>
              <w14:schemeClr w14:val="tx1"/>
            </w14:solidFill>
          </w14:textFill>
        </w:rPr>
        <w:t>日</w:t>
      </w:r>
    </w:p>
    <w:p>
      <w:pPr>
        <w:pStyle w:val="2"/>
        <w:ind w:left="420"/>
      </w:pPr>
    </w:p>
    <w:p>
      <w:pPr>
        <w:pStyle w:val="2"/>
        <w:ind w:left="420"/>
      </w:pPr>
    </w:p>
    <w:p>
      <w:pPr>
        <w:pStyle w:val="2"/>
        <w:ind w:left="420"/>
      </w:pPr>
    </w:p>
    <w:p>
      <w:pPr>
        <w:keepNext/>
        <w:tabs>
          <w:tab w:val="left" w:pos="720"/>
        </w:tabs>
        <w:spacing w:before="120" w:after="120" w:line="360" w:lineRule="auto"/>
        <w:ind w:left="720" w:hanging="720"/>
        <w:jc w:val="center"/>
        <w:outlineLvl w:val="2"/>
        <w:rPr>
          <w:rFonts w:ascii="宋体" w:hAnsi="宋体"/>
          <w:b/>
          <w:bCs/>
          <w:color w:val="000000" w:themeColor="text1"/>
          <w:sz w:val="36"/>
          <w14:textFill>
            <w14:solidFill>
              <w14:schemeClr w14:val="tx1"/>
            </w14:solidFill>
          </w14:textFill>
        </w:rPr>
      </w:pPr>
      <w:bookmarkStart w:id="484" w:name="_Toc4784194"/>
      <w:bookmarkEnd w:id="484"/>
      <w:bookmarkStart w:id="485" w:name="_Toc51505125"/>
      <w:bookmarkEnd w:id="485"/>
      <w:bookmarkStart w:id="486" w:name="_Toc4784170"/>
      <w:bookmarkEnd w:id="486"/>
      <w:bookmarkStart w:id="487" w:name="_Toc4784154"/>
      <w:bookmarkEnd w:id="487"/>
      <w:bookmarkStart w:id="488" w:name="_Toc4784171"/>
      <w:bookmarkEnd w:id="488"/>
      <w:bookmarkStart w:id="489" w:name="_Toc51505123"/>
      <w:bookmarkEnd w:id="489"/>
      <w:bookmarkStart w:id="490" w:name="_Toc4784174"/>
      <w:bookmarkEnd w:id="490"/>
      <w:bookmarkStart w:id="491" w:name="_Toc54862196"/>
      <w:bookmarkEnd w:id="491"/>
      <w:bookmarkStart w:id="492" w:name="_Toc4784161"/>
      <w:bookmarkEnd w:id="492"/>
      <w:bookmarkStart w:id="493" w:name="_Toc4784173"/>
      <w:bookmarkEnd w:id="493"/>
      <w:bookmarkStart w:id="494" w:name="_Toc4784160"/>
      <w:bookmarkEnd w:id="494"/>
      <w:bookmarkStart w:id="495" w:name="_Toc4784159"/>
      <w:bookmarkEnd w:id="495"/>
      <w:bookmarkStart w:id="496" w:name="_Toc54862195"/>
      <w:bookmarkEnd w:id="496"/>
      <w:bookmarkStart w:id="497" w:name="_Toc4784172"/>
      <w:bookmarkEnd w:id="497"/>
      <w:bookmarkStart w:id="498" w:name="_Toc4784193"/>
      <w:bookmarkEnd w:id="498"/>
      <w:bookmarkStart w:id="499" w:name="_Toc4784166"/>
      <w:bookmarkEnd w:id="499"/>
      <w:bookmarkStart w:id="500" w:name="_Toc4784163"/>
      <w:bookmarkEnd w:id="500"/>
      <w:bookmarkStart w:id="501" w:name="_Toc4784175"/>
      <w:bookmarkEnd w:id="501"/>
      <w:bookmarkStart w:id="502" w:name="_Toc4784164"/>
      <w:bookmarkEnd w:id="502"/>
      <w:bookmarkStart w:id="503" w:name="_Toc4784169"/>
      <w:bookmarkEnd w:id="503"/>
      <w:bookmarkStart w:id="504" w:name="_Toc4784195"/>
      <w:bookmarkEnd w:id="504"/>
      <w:bookmarkStart w:id="505" w:name="_Toc4784162"/>
      <w:bookmarkEnd w:id="505"/>
      <w:bookmarkStart w:id="506" w:name="_Toc4784157"/>
      <w:bookmarkEnd w:id="506"/>
      <w:bookmarkStart w:id="507" w:name="_Toc4784168"/>
      <w:bookmarkEnd w:id="507"/>
      <w:bookmarkStart w:id="508" w:name="_Toc4784165"/>
      <w:bookmarkEnd w:id="508"/>
      <w:bookmarkStart w:id="509" w:name="_Toc51505124"/>
      <w:bookmarkEnd w:id="509"/>
      <w:bookmarkStart w:id="510" w:name="_Toc4784158"/>
      <w:bookmarkEnd w:id="510"/>
      <w:bookmarkStart w:id="511" w:name="_Toc54862197"/>
      <w:bookmarkEnd w:id="511"/>
      <w:bookmarkStart w:id="512" w:name="_Toc4784156"/>
      <w:bookmarkEnd w:id="512"/>
      <w:bookmarkStart w:id="513" w:name="_Toc4784155"/>
      <w:bookmarkEnd w:id="513"/>
      <w:bookmarkStart w:id="514" w:name="_Toc4784167"/>
      <w:bookmarkEnd w:id="514"/>
      <w:bookmarkStart w:id="515" w:name="_Toc117339995"/>
      <w:bookmarkStart w:id="516" w:name="_Toc101774388"/>
      <w:bookmarkStart w:id="517" w:name="_Toc504201243"/>
      <w:bookmarkStart w:id="518" w:name="_Toc136956348"/>
      <w:bookmarkStart w:id="519" w:name="_Toc529797998"/>
      <w:bookmarkStart w:id="520" w:name="_Toc356416359"/>
      <w:bookmarkStart w:id="521" w:name="_Toc265222362"/>
      <w:bookmarkStart w:id="522" w:name="_Toc347307787"/>
      <w:bookmarkStart w:id="523" w:name="_Toc289099827"/>
      <w:bookmarkStart w:id="524" w:name="_Toc347307793"/>
      <w:r>
        <w:rPr>
          <w:rFonts w:hint="eastAsia" w:ascii="宋体" w:hAnsi="宋体"/>
          <w:b/>
          <w:color w:val="000000" w:themeColor="text1"/>
          <w:sz w:val="30"/>
          <w:szCs w:val="30"/>
          <w14:textFill>
            <w14:solidFill>
              <w14:schemeClr w14:val="tx1"/>
            </w14:solidFill>
          </w14:textFill>
        </w:rPr>
        <w:t>一、</w:t>
      </w:r>
      <w:r>
        <w:rPr>
          <w:rFonts w:hint="eastAsia" w:ascii="宋体" w:hAnsi="宋体"/>
          <w:b/>
          <w:bCs/>
          <w:color w:val="000000" w:themeColor="text1"/>
          <w:sz w:val="36"/>
          <w14:textFill>
            <w14:solidFill>
              <w14:schemeClr w14:val="tx1"/>
            </w14:solidFill>
          </w14:textFill>
        </w:rPr>
        <w:t>协议书</w:t>
      </w:r>
      <w:bookmarkEnd w:id="515"/>
      <w:bookmarkEnd w:id="516"/>
      <w:bookmarkEnd w:id="517"/>
      <w:bookmarkEnd w:id="518"/>
    </w:p>
    <w:p>
      <w:pPr>
        <w:spacing w:line="360" w:lineRule="auto"/>
        <w:rPr>
          <w:rFonts w:ascii="宋体" w:hAnsi="宋体"/>
          <w:b/>
          <w:bCs/>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发包人（甲方）：</w:t>
      </w:r>
      <w:r>
        <w:rPr>
          <w:rFonts w:hint="eastAsia" w:ascii="宋体" w:hAnsi="宋体"/>
          <w:color w:val="000000" w:themeColor="text1"/>
          <w:sz w:val="24"/>
          <w:u w:val="single"/>
          <w14:textFill>
            <w14:solidFill>
              <w14:schemeClr w14:val="tx1"/>
            </w14:solidFill>
          </w14:textFill>
        </w:rPr>
        <w:t xml:space="preserve">昆明经济技术开发区规划建设局 </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承包人（乙方）：</w:t>
      </w:r>
      <w:r>
        <w:rPr>
          <w:rFonts w:hint="eastAsia" w:ascii="宋体" w:hAnsi="宋体"/>
          <w:b/>
          <w:bCs/>
          <w:color w:val="000000" w:themeColor="text1"/>
          <w:sz w:val="24"/>
          <w:u w:val="single"/>
          <w14:textFill>
            <w14:solidFill>
              <w14:schemeClr w14:val="tx1"/>
            </w14:solidFill>
          </w14:textFill>
        </w:rPr>
        <w:t xml:space="preserve"> </w:t>
      </w:r>
      <w:r>
        <w:rPr>
          <w:rFonts w:ascii="宋体" w:hAnsi="宋体"/>
          <w:b/>
          <w:bCs/>
          <w:color w:val="000000" w:themeColor="text1"/>
          <w:sz w:val="24"/>
          <w:u w:val="single"/>
          <w14:textFill>
            <w14:solidFill>
              <w14:schemeClr w14:val="tx1"/>
            </w14:solidFill>
          </w14:textFill>
        </w:rPr>
        <w:t xml:space="preserve">                    </w:t>
      </w:r>
    </w:p>
    <w:p>
      <w:pPr>
        <w:pStyle w:val="3"/>
        <w:spacing w:after="0" w:line="360" w:lineRule="auto"/>
        <w:ind w:left="1320" w:hanging="480"/>
        <w:rPr>
          <w:rFonts w:ascii="宋体" w:hAnsi="宋体"/>
          <w:color w:val="000000" w:themeColor="text1"/>
          <w:sz w:val="24"/>
          <w:szCs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本项目于</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日在</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，以公开招标方式确定为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为中标人，根据《中华人民共和国民法典》、《中华人民共和国建筑法》及国家有关法律、法规的规定，甲、乙双方在平等、自愿、等价有偿、公平、诚实信用的基础上，经友好协商，就甲方委托乙方进行</w:t>
      </w:r>
      <w:r>
        <w:rPr>
          <w:rFonts w:hint="eastAsia" w:ascii="宋体" w:hAnsi="宋体"/>
          <w:color w:val="000000" w:themeColor="text1"/>
          <w:sz w:val="24"/>
          <w:u w:val="single"/>
          <w14:textFill>
            <w14:solidFill>
              <w14:schemeClr w14:val="tx1"/>
            </w14:solidFill>
          </w14:textFill>
        </w:rPr>
        <w:t>经开区143号路设计施工总承包</w:t>
      </w:r>
      <w:r>
        <w:rPr>
          <w:rFonts w:hint="eastAsia" w:ascii="宋体" w:hAnsi="宋体"/>
          <w:color w:val="000000" w:themeColor="text1"/>
          <w:sz w:val="24"/>
          <w14:textFill>
            <w14:solidFill>
              <w14:schemeClr w14:val="tx1"/>
            </w14:solidFill>
          </w14:textFill>
        </w:rPr>
        <w:t>达成一致意见，特签订本合同。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为设计施工总承包项目，独立承包人或按规定签订了联合体协议书的联合体承包人应分别与发包人签订工程工程设计和工程施工合同（各分项合同详见补充合同部分内容）。联合体各方对依据联合体协议及各专项合同对本项目整体承担连带责任。</w:t>
      </w:r>
    </w:p>
    <w:p>
      <w:pPr>
        <w:tabs>
          <w:tab w:val="left" w:pos="72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第一条工程概况</w:t>
      </w:r>
    </w:p>
    <w:p>
      <w:pPr>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一、工程名称：</w:t>
      </w:r>
      <w:r>
        <w:rPr>
          <w:rFonts w:hint="eastAsia" w:ascii="宋体" w:hAnsi="宋体"/>
          <w:color w:val="000000" w:themeColor="text1"/>
          <w:sz w:val="24"/>
          <w:szCs w:val="21"/>
          <w:u w:val="single"/>
          <w14:textFill>
            <w14:solidFill>
              <w14:schemeClr w14:val="tx1"/>
            </w14:solidFill>
          </w14:textFill>
        </w:rPr>
        <w:t>经开区143号路设计施工总承包</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二、工程立项批准文号：</w:t>
      </w:r>
    </w:p>
    <w:p>
      <w:pPr>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四、资金来源：</w:t>
      </w:r>
      <w:r>
        <w:rPr>
          <w:rFonts w:hint="eastAsia" w:ascii="宋体" w:hAnsi="宋体"/>
          <w:color w:val="000000" w:themeColor="text1"/>
          <w:kern w:val="0"/>
          <w:sz w:val="24"/>
          <w:u w:val="single"/>
          <w14:textFill>
            <w14:solidFill>
              <w14:schemeClr w14:val="tx1"/>
            </w14:solidFill>
          </w14:textFill>
        </w:rPr>
        <w:t>政府投资</w:t>
      </w:r>
      <w:r>
        <w:rPr>
          <w:rFonts w:hint="eastAsia" w:ascii="宋体" w:hAnsi="宋体"/>
          <w:color w:val="000000" w:themeColor="text1"/>
          <w:kern w:val="0"/>
          <w:sz w:val="24"/>
          <w14:textFill>
            <w14:solidFill>
              <w14:schemeClr w14:val="tx1"/>
            </w14:solidFill>
          </w14:textFill>
        </w:rPr>
        <w:t>。</w:t>
      </w:r>
    </w:p>
    <w:p>
      <w:pPr>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五、工程内容：</w:t>
      </w:r>
    </w:p>
    <w:p>
      <w:pPr>
        <w:autoSpaceDE w:val="0"/>
        <w:autoSpaceDN w:val="0"/>
        <w:adjustRightIn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六、</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规模</w:t>
      </w:r>
      <w:r>
        <w:rPr>
          <w:rFonts w:ascii="宋体" w:hAnsi="宋体"/>
          <w:color w:val="000000" w:themeColor="text1"/>
          <w:sz w:val="24"/>
          <w14:textFill>
            <w14:solidFill>
              <w14:schemeClr w14:val="tx1"/>
            </w14:solidFill>
          </w14:textFill>
        </w:rPr>
        <w:t>：</w:t>
      </w:r>
    </w:p>
    <w:p>
      <w:pPr>
        <w:autoSpaceDE w:val="0"/>
        <w:autoSpaceDN w:val="0"/>
        <w:adjustRightInd w:val="0"/>
        <w:spacing w:line="360" w:lineRule="auto"/>
        <w:ind w:firstLine="562" w:firstLineChars="20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第二条  承包范围</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该项目为设计施工总承包工程</w:t>
      </w:r>
      <w:r>
        <w:rPr>
          <w:rFonts w:ascii="宋体" w:hAnsi="宋体"/>
          <w:color w:val="000000" w:themeColor="text1"/>
          <w:sz w:val="24"/>
          <w14:textFill>
            <w14:solidFill>
              <w14:schemeClr w14:val="tx1"/>
            </w14:solidFill>
          </w14:textFill>
        </w:rPr>
        <w:t>，包括但不限于：</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1）工程设计部分：</w:t>
      </w:r>
      <w:r>
        <w:rPr>
          <w:rFonts w:hint="eastAsia" w:ascii="宋体" w:hAnsi="宋体"/>
          <w:color w:val="000000" w:themeColor="text1"/>
          <w:sz w:val="24"/>
          <w14:textFill>
            <w14:solidFill>
              <w14:schemeClr w14:val="tx1"/>
            </w14:solidFill>
          </w14:textFill>
        </w:rPr>
        <w:t>经开区143号路设计施工总承包</w:t>
      </w:r>
      <w:r>
        <w:rPr>
          <w:rFonts w:ascii="宋体" w:hAnsi="宋体"/>
          <w:color w:val="000000" w:themeColor="text1"/>
          <w:sz w:val="24"/>
          <w14:textFill>
            <w14:solidFill>
              <w14:schemeClr w14:val="tx1"/>
            </w14:solidFill>
          </w14:textFill>
        </w:rPr>
        <w:t xml:space="preserve">的初步设计（含概算编制）、施工图设计等满足施工要求的设计内容，并配合完成工程设计有关报批、审批工作，完成初步设计和施工图设计阶段专项技术方案审查，完成全套设计成果资料制作，配合审图公司完成施工图审查，配合招标人报批报建、专家咨询、资料收集等相关工作，以及施工过程中的全过程设计服务及协调工作，工程质量缺陷责任期内的设计等后续跟踪服务。 </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）工程施工部分：</w:t>
      </w:r>
      <w:r>
        <w:rPr>
          <w:rFonts w:hint="eastAsia" w:ascii="宋体" w:hAnsi="宋体"/>
          <w:color w:val="000000" w:themeColor="text1"/>
          <w:sz w:val="24"/>
          <w14:textFill>
            <w14:solidFill>
              <w14:schemeClr w14:val="tx1"/>
            </w14:solidFill>
          </w14:textFill>
        </w:rPr>
        <w:t>完成经招标人、审图公司审核通过的各子项目设计施工图，及经招标人审核通过的施工图预算中所包括的全部工程施工任务，具体内容以工程实际情况为准</w:t>
      </w:r>
      <w:r>
        <w:rPr>
          <w:rFonts w:ascii="宋体" w:hAnsi="宋体"/>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）EPC实施过程管理中协助</w:t>
      </w:r>
      <w:r>
        <w:rPr>
          <w:rFonts w:hint="eastAsia" w:ascii="宋体" w:hAnsi="宋体"/>
          <w:color w:val="000000" w:themeColor="text1"/>
          <w:sz w:val="24"/>
          <w14:textFill>
            <w14:solidFill>
              <w14:schemeClr w14:val="tx1"/>
            </w14:solidFill>
          </w14:textFill>
        </w:rPr>
        <w:t>招标</w:t>
      </w:r>
      <w:r>
        <w:rPr>
          <w:rFonts w:ascii="宋体" w:hAnsi="宋体"/>
          <w:color w:val="000000" w:themeColor="text1"/>
          <w:sz w:val="24"/>
          <w14:textFill>
            <w14:solidFill>
              <w14:schemeClr w14:val="tx1"/>
            </w14:solidFill>
          </w14:textFill>
        </w:rPr>
        <w:t>人办理EPC总承包各阶段的报建、审查、审批、办证、备案等的相关手续</w:t>
      </w:r>
      <w:r>
        <w:rPr>
          <w:rFonts w:hint="eastAsia" w:ascii="宋体" w:hAnsi="宋体"/>
          <w:color w:val="000000" w:themeColor="text1"/>
          <w:sz w:val="24"/>
          <w14:textFill>
            <w14:solidFill>
              <w14:schemeClr w14:val="tx1"/>
            </w14:solidFill>
          </w14:textFill>
        </w:rPr>
        <w:t>，配合完成</w:t>
      </w:r>
      <w:r>
        <w:rPr>
          <w:rFonts w:ascii="宋体" w:hAnsi="宋体"/>
          <w:color w:val="000000" w:themeColor="text1"/>
          <w:sz w:val="24"/>
          <w14:textFill>
            <w14:solidFill>
              <w14:schemeClr w14:val="tx1"/>
            </w14:solidFill>
          </w14:textFill>
        </w:rPr>
        <w:t>必要的安全评估和检查、综合调试、施工图的审核、试运行考核、竣工验收、移交、工程缺陷责任期的工程缺陷修复、保修等内容。</w:t>
      </w:r>
    </w:p>
    <w:p>
      <w:pPr>
        <w:tabs>
          <w:tab w:val="left" w:pos="72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第三条  工 期</w:t>
      </w:r>
    </w:p>
    <w:p>
      <w:pPr>
        <w:pStyle w:val="518"/>
        <w:numPr>
          <w:ilvl w:val="0"/>
          <w:numId w:val="11"/>
        </w:numPr>
        <w:tabs>
          <w:tab w:val="left" w:pos="720"/>
        </w:tabs>
        <w:autoSpaceDE w:val="0"/>
        <w:autoSpaceDN w:val="0"/>
        <w:adjustRightInd w:val="0"/>
        <w:spacing w:line="360" w:lineRule="auto"/>
        <w:ind w:firstLine="420" w:firstLineChars="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设计周期：</w:t>
      </w:r>
    </w:p>
    <w:p>
      <w:pPr>
        <w:pStyle w:val="518"/>
        <w:numPr>
          <w:ilvl w:val="0"/>
          <w:numId w:val="11"/>
        </w:numPr>
        <w:tabs>
          <w:tab w:val="left" w:pos="720"/>
        </w:tabs>
        <w:autoSpaceDE w:val="0"/>
        <w:autoSpaceDN w:val="0"/>
        <w:adjustRightInd w:val="0"/>
        <w:spacing w:line="360" w:lineRule="auto"/>
        <w:ind w:firstLine="42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第四条  合同价款</w:t>
      </w:r>
    </w:p>
    <w:p>
      <w:pPr>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本项目暂估合同总价款为人民币（大写）</w:t>
      </w:r>
      <w:r>
        <w:rPr>
          <w:rFonts w:ascii="宋体" w:hAnsi="宋体" w:cs="宋体"/>
          <w:color w:val="000000" w:themeColor="text1"/>
          <w:kern w:val="0"/>
          <w:sz w:val="24"/>
          <w14:textFill>
            <w14:solidFill>
              <w14:schemeClr w14:val="tx1"/>
            </w14:solidFill>
          </w14:textFill>
        </w:rPr>
        <w:t>____________ (</w:t>
      </w:r>
      <w:r>
        <w:rPr>
          <w:rFonts w:asci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__________</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)。其中：</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（1）工程设计部分暂估合同价款</w:t>
      </w:r>
      <w:r>
        <w:rPr>
          <w:rFonts w:hint="eastAsia" w:ascii="宋体" w:hAnsi="宋体" w:cs="宋体"/>
          <w:color w:val="000000" w:themeColor="text1"/>
          <w:kern w:val="0"/>
          <w:sz w:val="24"/>
          <w14:textFill>
            <w14:solidFill>
              <w14:schemeClr w14:val="tx1"/>
            </w14:solidFill>
          </w14:textFill>
        </w:rPr>
        <w:t>为人民币（大写）</w:t>
      </w:r>
      <w:r>
        <w:rPr>
          <w:rFonts w:ascii="宋体" w:hAnsi="宋体" w:cs="宋体"/>
          <w:color w:val="000000" w:themeColor="text1"/>
          <w:kern w:val="0"/>
          <w:sz w:val="24"/>
          <w14:textFill>
            <w14:solidFill>
              <w14:schemeClr w14:val="tx1"/>
            </w14:solidFill>
          </w14:textFill>
        </w:rPr>
        <w:t>____________ (</w:t>
      </w:r>
      <w:r>
        <w:rPr>
          <w:rFonts w:asci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__________</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（2）工程施工部分暂估合同价款</w:t>
      </w:r>
      <w:r>
        <w:rPr>
          <w:rFonts w:hint="eastAsia" w:ascii="宋体" w:hAnsi="宋体" w:cs="宋体"/>
          <w:color w:val="000000" w:themeColor="text1"/>
          <w:kern w:val="0"/>
          <w:sz w:val="24"/>
          <w14:textFill>
            <w14:solidFill>
              <w14:schemeClr w14:val="tx1"/>
            </w14:solidFill>
          </w14:textFill>
        </w:rPr>
        <w:t>为人民币（大写）</w:t>
      </w:r>
      <w:r>
        <w:rPr>
          <w:rFonts w:ascii="宋体" w:hAnsi="宋体" w:cs="宋体"/>
          <w:color w:val="000000" w:themeColor="text1"/>
          <w:kern w:val="0"/>
          <w:sz w:val="24"/>
          <w14:textFill>
            <w14:solidFill>
              <w14:schemeClr w14:val="tx1"/>
            </w14:solidFill>
          </w14:textFill>
        </w:rPr>
        <w:t>____________ (</w:t>
      </w:r>
      <w:r>
        <w:rPr>
          <w:rFonts w:asci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__________</w:t>
      </w:r>
      <w:r>
        <w:rPr>
          <w:rFonts w:hint="eastAsia"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14:textFill>
            <w14:solidFill>
              <w14:schemeClr w14:val="tx1"/>
            </w14:solidFill>
          </w14:textFill>
        </w:rPr>
        <w:t>)。</w:t>
      </w:r>
    </w:p>
    <w:p>
      <w:pPr>
        <w:tabs>
          <w:tab w:val="left" w:pos="72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第五条  履约担保</w:t>
      </w:r>
    </w:p>
    <w:p>
      <w:pPr>
        <w:tabs>
          <w:tab w:val="left" w:pos="144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一、履约担保的形式：现金/转账/支票/银行保函/保证保险，由承包人自主选择其中一种支付形式。</w:t>
      </w:r>
    </w:p>
    <w:p>
      <w:pPr>
        <w:tabs>
          <w:tab w:val="left" w:pos="144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二、履约担保的金额：合同价款的5%。</w:t>
      </w:r>
    </w:p>
    <w:p>
      <w:pPr>
        <w:tabs>
          <w:tab w:val="left" w:pos="144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三、履约担保的退还：</w:t>
      </w:r>
    </w:p>
    <w:p>
      <w:pPr>
        <w:tabs>
          <w:tab w:val="left" w:pos="144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第六条  双方义务</w:t>
      </w:r>
    </w:p>
    <w:p>
      <w:pPr>
        <w:tabs>
          <w:tab w:val="left" w:pos="720"/>
        </w:tabs>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以工程设计及工程施工专项合同约定为准。</w:t>
      </w:r>
    </w:p>
    <w:p>
      <w:pPr>
        <w:tabs>
          <w:tab w:val="left" w:pos="72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第七条 转让条款</w:t>
      </w:r>
    </w:p>
    <w:p>
      <w:pPr>
        <w:snapToGrid w:val="0"/>
        <w:spacing w:line="360" w:lineRule="auto"/>
        <w:ind w:right="-119" w:firstLine="464" w:firstLineChars="200"/>
        <w:rPr>
          <w:rFonts w:ascii="宋体" w:hAnsi="宋体"/>
          <w:color w:val="000000" w:themeColor="text1"/>
          <w:spacing w:val="-4"/>
          <w:sz w:val="24"/>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未经合同其他方书面同意，任何一方不得全部或部分转让其在本合同项下的权利和义务。</w:t>
      </w:r>
    </w:p>
    <w:p>
      <w:pPr>
        <w:tabs>
          <w:tab w:val="left" w:pos="72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第八条  合同终止和解除</w:t>
      </w:r>
    </w:p>
    <w:p>
      <w:pPr>
        <w:tabs>
          <w:tab w:val="left" w:pos="720"/>
        </w:tabs>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以工程设计及工程施工专项合同约定为准。</w:t>
      </w:r>
    </w:p>
    <w:p>
      <w:pPr>
        <w:tabs>
          <w:tab w:val="left" w:pos="72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第九条  保密条款</w:t>
      </w:r>
    </w:p>
    <w:p>
      <w:pPr>
        <w:snapToGrid w:val="0"/>
        <w:spacing w:line="360" w:lineRule="auto"/>
        <w:ind w:right="-11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1.在本合同订立前、履行中及终止后，未经合同其他方书面同意，任何一方对本合同和各方相互提供的资料、信息负保密责任。</w:t>
      </w:r>
    </w:p>
    <w:p>
      <w:pPr>
        <w:snapToGrid w:val="0"/>
        <w:spacing w:line="360" w:lineRule="auto"/>
        <w:ind w:right="-11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2.保密条款具有独立性，不受本合同的终止或解除的影响。</w:t>
      </w:r>
    </w:p>
    <w:p>
      <w:pPr>
        <w:tabs>
          <w:tab w:val="left" w:pos="72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第十条  不可抗力条款</w:t>
      </w:r>
    </w:p>
    <w:p>
      <w:pPr>
        <w:snapToGrid w:val="0"/>
        <w:spacing w:line="360" w:lineRule="auto"/>
        <w:ind w:right="-119" w:firstLine="456"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由于不能预见、不能避免和不能克服的自然原因或社会原因，致使本合同不能履行或者不能完全履行时，遇到上述不可抗力事件的一方，应立即书面通知合同其他方，并应在不可抗力事件发生后1</w:t>
      </w:r>
      <w:r>
        <w:rPr>
          <w:rFonts w:ascii="宋体" w:hAnsi="宋体"/>
          <w:color w:val="000000" w:themeColor="text1"/>
          <w:spacing w:val="-6"/>
          <w:sz w:val="24"/>
          <w14:textFill>
            <w14:solidFill>
              <w14:schemeClr w14:val="tx1"/>
            </w14:solidFill>
          </w14:textFill>
        </w:rPr>
        <w:t>5</w:t>
      </w:r>
      <w:r>
        <w:rPr>
          <w:rFonts w:hint="eastAsia" w:ascii="宋体" w:hAnsi="宋体"/>
          <w:color w:val="000000" w:themeColor="text1"/>
          <w:spacing w:val="-6"/>
          <w:sz w:val="24"/>
          <w14:textFill>
            <w14:solidFill>
              <w14:schemeClr w14:val="tx1"/>
            </w14:solidFill>
          </w14:textFill>
        </w:rPr>
        <w:t>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tabs>
          <w:tab w:val="left" w:pos="720"/>
        </w:tabs>
        <w:spacing w:line="360" w:lineRule="auto"/>
        <w:rPr>
          <w:rFonts w:ascii="宋体" w:hAnsi="宋体"/>
          <w:b/>
          <w:bCs/>
          <w:color w:val="000000" w:themeColor="text1"/>
          <w:spacing w:val="8"/>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第十一条  适用法律条款</w:t>
      </w:r>
    </w:p>
    <w:p>
      <w:pPr>
        <w:snapToGrid w:val="0"/>
        <w:spacing w:line="360" w:lineRule="auto"/>
        <w:ind w:right="-11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本合同的订立、效力、解释、履行和争议的解决均适用中华人民共和国法律法规。</w:t>
      </w:r>
    </w:p>
    <w:p>
      <w:pPr>
        <w:tabs>
          <w:tab w:val="left" w:pos="72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第十二条  争议的解决</w:t>
      </w:r>
    </w:p>
    <w:p>
      <w:pPr>
        <w:snapToGrid w:val="0"/>
        <w:spacing w:line="360" w:lineRule="auto"/>
        <w:ind w:right="-11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凡因执行本合同所发生的或与本合同有关的一切争议，合同各方应通过友好协商解决；如果协商不能解决，</w:t>
      </w:r>
      <w:r>
        <w:rPr>
          <w:rFonts w:ascii="宋体" w:hAnsi="宋体"/>
          <w:color w:val="000000" w:themeColor="text1"/>
          <w:sz w:val="24"/>
          <w14:textFill>
            <w14:solidFill>
              <w14:schemeClr w14:val="tx1"/>
            </w14:solidFill>
          </w14:textFill>
        </w:rPr>
        <w:t>任何一方均可向</w:t>
      </w:r>
      <w:r>
        <w:rPr>
          <w:rFonts w:hint="eastAsia" w:ascii="宋体" w:hAnsi="宋体"/>
          <w:color w:val="000000" w:themeColor="text1"/>
          <w:sz w:val="24"/>
          <w14:textFill>
            <w14:solidFill>
              <w14:schemeClr w14:val="tx1"/>
            </w14:solidFill>
          </w14:textFill>
        </w:rPr>
        <w:t>发包人所在地法院提起诉讼。</w:t>
      </w:r>
    </w:p>
    <w:p>
      <w:pPr>
        <w:tabs>
          <w:tab w:val="left" w:pos="720"/>
        </w:tabs>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第十三条其他</w:t>
      </w:r>
    </w:p>
    <w:p>
      <w:pPr>
        <w:snapToGrid w:val="0"/>
        <w:spacing w:line="360" w:lineRule="auto"/>
        <w:ind w:right="-11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1、本合同如有未尽事宜，由双方协商达成补充协议，作为本合同的附件，与本合同有同等的效力。</w:t>
      </w:r>
    </w:p>
    <w:p>
      <w:pPr>
        <w:snapToGrid w:val="0"/>
        <w:spacing w:line="360" w:lineRule="auto"/>
        <w:ind w:right="-11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2、双方在合作期间，因工作需要的联系函件，在5个工作日内要作出回复及处理。</w:t>
      </w:r>
    </w:p>
    <w:p>
      <w:pPr>
        <w:snapToGrid w:val="0"/>
        <w:spacing w:line="360" w:lineRule="auto"/>
        <w:ind w:right="-11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本合同及附件经双方签字盖章且承包人</w:t>
      </w:r>
      <w:r>
        <w:rPr>
          <w:rFonts w:hint="eastAsia" w:ascii="宋体" w:hAnsi="宋体"/>
          <w:bCs/>
          <w:color w:val="000000" w:themeColor="text1"/>
          <w:sz w:val="24"/>
          <w14:textFill>
            <w14:solidFill>
              <w14:schemeClr w14:val="tx1"/>
            </w14:solidFill>
          </w14:textFill>
        </w:rPr>
        <w:t>按要求缴纳履约担保后</w:t>
      </w:r>
      <w:r>
        <w:rPr>
          <w:rFonts w:hint="eastAsia" w:ascii="宋体" w:hAnsi="宋体"/>
          <w:color w:val="000000" w:themeColor="text1"/>
          <w:sz w:val="24"/>
          <w14:textFill>
            <w14:solidFill>
              <w14:schemeClr w14:val="tx1"/>
            </w14:solidFill>
          </w14:textFill>
        </w:rPr>
        <w:t>生效，到双方权利义务履行完毕之日自行失效。</w:t>
      </w:r>
    </w:p>
    <w:p>
      <w:pPr>
        <w:snapToGrid w:val="0"/>
        <w:spacing w:line="360" w:lineRule="auto"/>
        <w:ind w:right="-11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4、本合同一式</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份，甲方执</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份，乙方执</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份，均具有同等的法律效力。</w:t>
      </w:r>
    </w:p>
    <w:p>
      <w:pPr>
        <w:snapToGrid w:val="0"/>
        <w:spacing w:line="360" w:lineRule="auto"/>
        <w:ind w:right="-11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本合同条款中的“天”、“日”未经特别注明的，均指“日历天</w:t>
      </w:r>
      <w:r>
        <w:rPr>
          <w:rFonts w:hint="eastAsia" w:ascii="宋体" w:hAnsi="宋体"/>
          <w:color w:val="000000" w:themeColor="text1"/>
          <w:sz w:val="24"/>
          <w14:textFill>
            <w14:solidFill>
              <w14:schemeClr w14:val="tx1"/>
            </w14:solidFill>
          </w14:textFill>
        </w:rPr>
        <w:t>”。</w:t>
      </w:r>
    </w:p>
    <w:p>
      <w:pPr>
        <w:snapToGrid w:val="0"/>
        <w:spacing w:line="360" w:lineRule="auto"/>
        <w:ind w:right="-11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6、其他约定：本合同最终解释权归发包人所有。</w:t>
      </w:r>
    </w:p>
    <w:p>
      <w:pPr>
        <w:snapToGrid w:val="0"/>
        <w:spacing w:line="440" w:lineRule="exact"/>
        <w:ind w:right="-119" w:firstLine="480" w:firstLineChars="200"/>
        <w:rPr>
          <w:rFonts w:ascii="宋体" w:hAnsi="宋体"/>
          <w:color w:val="000000" w:themeColor="text1"/>
          <w:sz w:val="24"/>
          <w14:textFill>
            <w14:solidFill>
              <w14:schemeClr w14:val="tx1"/>
            </w14:solidFill>
          </w14:textFill>
        </w:rPr>
      </w:pP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spacing w:line="460" w:lineRule="exact"/>
        <w:ind w:left="5820" w:leftChars="200" w:hanging="5400" w:hangingChars="225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地址：                                     地址：</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（或授权代理人）：                        （或授权代理人）：</w:t>
      </w:r>
    </w:p>
    <w:p>
      <w:pPr>
        <w:spacing w:line="460" w:lineRule="exact"/>
        <w:ind w:firstLine="512" w:firstLineChars="200"/>
        <w:rPr>
          <w:rFonts w:ascii="宋体" w:hAnsi="宋体"/>
          <w:color w:val="000000" w:themeColor="text1"/>
          <w:spacing w:val="8"/>
          <w:sz w:val="24"/>
          <w14:textFill>
            <w14:solidFill>
              <w14:schemeClr w14:val="tx1"/>
            </w14:solidFill>
          </w14:textFill>
        </w:rPr>
      </w:pPr>
      <w:r>
        <w:rPr>
          <w:rFonts w:hint="eastAsia" w:ascii="宋体" w:hAnsi="宋体"/>
          <w:color w:val="000000" w:themeColor="text1"/>
          <w:spacing w:val="8"/>
          <w:sz w:val="24"/>
          <w14:textFill>
            <w14:solidFill>
              <w14:schemeClr w14:val="tx1"/>
            </w14:solidFill>
          </w14:textFill>
        </w:rPr>
        <w:t>签约时间：                            签约时间：</w:t>
      </w:r>
    </w:p>
    <w:p>
      <w:pPr>
        <w:pStyle w:val="2"/>
        <w:ind w:left="420" w:firstLine="512"/>
        <w:rPr>
          <w:rFonts w:ascii="宋体" w:hAnsi="宋体"/>
          <w:color w:val="000000" w:themeColor="text1"/>
          <w:spacing w:val="8"/>
          <w:sz w:val="24"/>
          <w14:textFill>
            <w14:solidFill>
              <w14:schemeClr w14:val="tx1"/>
            </w14:solidFill>
          </w14:textFill>
        </w:rPr>
      </w:pPr>
    </w:p>
    <w:p>
      <w:pPr>
        <w:pStyle w:val="2"/>
        <w:ind w:left="420" w:firstLine="512"/>
        <w:rPr>
          <w:rFonts w:ascii="宋体" w:hAnsi="宋体"/>
          <w:color w:val="000000" w:themeColor="text1"/>
          <w:spacing w:val="8"/>
          <w:sz w:val="24"/>
          <w14:textFill>
            <w14:solidFill>
              <w14:schemeClr w14:val="tx1"/>
            </w14:solidFill>
          </w14:textFill>
        </w:rPr>
      </w:pPr>
    </w:p>
    <w:p>
      <w:pPr>
        <w:pStyle w:val="2"/>
        <w:ind w:left="420" w:firstLine="512"/>
        <w:rPr>
          <w:rFonts w:ascii="宋体" w:hAnsi="宋体"/>
          <w:color w:val="000000" w:themeColor="text1"/>
          <w:spacing w:val="8"/>
          <w:sz w:val="24"/>
          <w14:textFill>
            <w14:solidFill>
              <w14:schemeClr w14:val="tx1"/>
            </w14:solidFill>
          </w14:textFill>
        </w:rPr>
      </w:pPr>
    </w:p>
    <w:p>
      <w:pPr>
        <w:pStyle w:val="2"/>
        <w:ind w:left="420" w:firstLine="512"/>
        <w:rPr>
          <w:rFonts w:ascii="宋体" w:hAnsi="宋体"/>
          <w:color w:val="000000" w:themeColor="text1"/>
          <w:spacing w:val="8"/>
          <w:sz w:val="24"/>
          <w14:textFill>
            <w14:solidFill>
              <w14:schemeClr w14:val="tx1"/>
            </w14:solidFill>
          </w14:textFill>
        </w:rPr>
      </w:pPr>
    </w:p>
    <w:p>
      <w:pPr>
        <w:pStyle w:val="2"/>
        <w:ind w:left="420" w:firstLine="512"/>
        <w:rPr>
          <w:rFonts w:ascii="宋体" w:hAnsi="宋体"/>
          <w:color w:val="000000" w:themeColor="text1"/>
          <w:spacing w:val="8"/>
          <w:sz w:val="24"/>
          <w14:textFill>
            <w14:solidFill>
              <w14:schemeClr w14:val="tx1"/>
            </w14:solidFill>
          </w14:textFill>
        </w:rPr>
      </w:pPr>
    </w:p>
    <w:p>
      <w:pPr>
        <w:rPr>
          <w:color w:val="000000" w:themeColor="text1"/>
          <w:sz w:val="24"/>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pStyle w:val="2"/>
        <w:ind w:left="420"/>
      </w:pPr>
    </w:p>
    <w:p>
      <w:pPr>
        <w:pStyle w:val="2"/>
        <w:ind w:left="420"/>
      </w:pPr>
    </w:p>
    <w:p>
      <w:pPr>
        <w:keepNext/>
        <w:tabs>
          <w:tab w:val="left" w:pos="720"/>
        </w:tabs>
        <w:spacing w:before="120" w:after="120" w:line="360" w:lineRule="auto"/>
        <w:ind w:left="720" w:hanging="720"/>
        <w:jc w:val="center"/>
        <w:outlineLvl w:val="2"/>
        <w:rPr>
          <w:rFonts w:ascii="宋体" w:hAnsi="宋体"/>
          <w:b/>
          <w:color w:val="000000" w:themeColor="text1"/>
          <w:sz w:val="36"/>
          <w:szCs w:val="30"/>
          <w:u w:val="single"/>
          <w14:textFill>
            <w14:solidFill>
              <w14:schemeClr w14:val="tx1"/>
            </w14:solidFill>
          </w14:textFill>
        </w:rPr>
      </w:pPr>
      <w:bookmarkStart w:id="525" w:name="_Toc117339996"/>
      <w:bookmarkStart w:id="526" w:name="_Toc136956349"/>
      <w:r>
        <w:rPr>
          <w:rFonts w:ascii="宋体" w:hAnsi="宋体"/>
          <w:b/>
          <w:color w:val="000000" w:themeColor="text1"/>
          <w:sz w:val="36"/>
          <w:szCs w:val="30"/>
          <w:u w:val="single"/>
          <w14:textFill>
            <w14:solidFill>
              <w14:schemeClr w14:val="tx1"/>
            </w14:solidFill>
          </w14:textFill>
        </w:rPr>
        <w:t>二、</w:t>
      </w:r>
      <w:r>
        <w:rPr>
          <w:rFonts w:hint="eastAsia" w:ascii="宋体" w:hAnsi="宋体"/>
          <w:b/>
          <w:color w:val="000000" w:themeColor="text1"/>
          <w:sz w:val="36"/>
          <w:szCs w:val="30"/>
          <w:u w:val="single"/>
          <w14:textFill>
            <w14:solidFill>
              <w14:schemeClr w14:val="tx1"/>
            </w14:solidFill>
          </w14:textFill>
        </w:rPr>
        <w:t>分项合同--设计合同</w:t>
      </w:r>
      <w:bookmarkEnd w:id="525"/>
      <w:bookmarkEnd w:id="526"/>
    </w:p>
    <w:p>
      <w:pPr>
        <w:spacing w:line="360" w:lineRule="auto"/>
        <w:jc w:val="center"/>
        <w:rPr>
          <w:rFonts w:ascii="宋体" w:hAnsi="宋体"/>
          <w:b/>
          <w:color w:val="000000" w:themeColor="text1"/>
          <w:sz w:val="24"/>
          <w14:textFill>
            <w14:solidFill>
              <w14:schemeClr w14:val="tx1"/>
            </w14:solidFill>
          </w14:textFill>
        </w:rPr>
      </w:pPr>
    </w:p>
    <w:p>
      <w:pPr>
        <w:spacing w:line="360" w:lineRule="auto"/>
        <w:jc w:val="center"/>
        <w:rPr>
          <w:rFonts w:ascii="黑体" w:hAnsi="宋体" w:eastAsia="黑体"/>
          <w:color w:val="000000" w:themeColor="text1"/>
          <w:sz w:val="24"/>
          <w14:textFill>
            <w14:solidFill>
              <w14:schemeClr w14:val="tx1"/>
            </w14:solidFill>
          </w14:textFill>
        </w:rPr>
      </w:pPr>
    </w:p>
    <w:p>
      <w:pPr>
        <w:adjustRightInd w:val="0"/>
        <w:snapToGrid w:val="0"/>
        <w:spacing w:line="540" w:lineRule="exact"/>
        <w:jc w:val="center"/>
        <w:rPr>
          <w:rFonts w:ascii="宋体" w:hAnsi="宋体"/>
          <w:color w:val="000000" w:themeColor="text1"/>
          <w:sz w:val="30"/>
          <w:szCs w:val="30"/>
          <w14:textFill>
            <w14:solidFill>
              <w14:schemeClr w14:val="tx1"/>
            </w14:solidFill>
          </w14:textFill>
        </w:rPr>
      </w:pPr>
      <w:r>
        <w:rPr>
          <w:rFonts w:ascii="宋体" w:hAnsi="宋体"/>
          <w:color w:val="000000" w:themeColor="text1"/>
          <w:sz w:val="3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2891790</wp:posOffset>
                </wp:positionH>
                <wp:positionV relativeFrom="paragraph">
                  <wp:posOffset>17145</wp:posOffset>
                </wp:positionV>
                <wp:extent cx="2847975" cy="474980"/>
                <wp:effectExtent l="0" t="0" r="9525" b="1270"/>
                <wp:wrapSquare wrapText="bothSides"/>
                <wp:docPr id="11" name="文本框 9"/>
                <wp:cNvGraphicFramePr/>
                <a:graphic xmlns:a="http://schemas.openxmlformats.org/drawingml/2006/main">
                  <a:graphicData uri="http://schemas.microsoft.com/office/word/2010/wordprocessingShape">
                    <wps:wsp>
                      <wps:cNvSpPr txBox="1"/>
                      <wps:spPr>
                        <a:xfrm>
                          <a:off x="0" y="0"/>
                          <a:ext cx="2847975" cy="474980"/>
                        </a:xfrm>
                        <a:prstGeom prst="rect">
                          <a:avLst/>
                        </a:prstGeom>
                        <a:solidFill>
                          <a:srgbClr val="FFFFFF"/>
                        </a:solidFill>
                        <a:ln w="9525">
                          <a:solidFill>
                            <a:srgbClr val="000000"/>
                          </a:solidFill>
                          <a:prstDash val="solid"/>
                          <a:miter lim="0"/>
                        </a:ln>
                      </wps:spPr>
                      <wps:txbx>
                        <w:txbxContent>
                          <w:p>
                            <w:pPr>
                              <w:rPr>
                                <w:rFonts w:eastAsia="黑体"/>
                                <w:sz w:val="30"/>
                                <w:szCs w:val="30"/>
                              </w:rPr>
                            </w:pPr>
                            <w:r>
                              <w:rPr>
                                <w:rFonts w:hint="eastAsia" w:eastAsia="黑体"/>
                                <w:sz w:val="30"/>
                                <w:szCs w:val="30"/>
                              </w:rPr>
                              <w:t>合同编号：</w:t>
                            </w:r>
                          </w:p>
                        </w:txbxContent>
                      </wps:txbx>
                      <wps:bodyPr upright="1"/>
                    </wps:wsp>
                  </a:graphicData>
                </a:graphic>
              </wp:anchor>
            </w:drawing>
          </mc:Choice>
          <mc:Fallback>
            <w:pict>
              <v:shape id="文本框 9" o:spid="_x0000_s1026" o:spt="202" type="#_x0000_t202" style="position:absolute;left:0pt;margin-left:227.7pt;margin-top:1.35pt;height:37.4pt;width:224.25pt;mso-wrap-distance-bottom:0pt;mso-wrap-distance-left:9pt;mso-wrap-distance-right:9pt;mso-wrap-distance-top:0pt;z-index:251663360;mso-width-relative:page;mso-height-relative:page;" fillcolor="#FFFFFF" filled="t" stroked="t" coordsize="21600,21600" o:gfxdata="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79GX9kA&#10;AAAIAQAADwAAAAAAAAABACAAAAAiAAAAZHJzL2Rvd25yZXYueG1sUEsBAhQAFAAAAAgAh07iQEVS&#10;ad3lAQAA1QMAAA4AAAAAAAAAAQAgAAAAKAEAAGRycy9lMm9Eb2MueG1sUEsFBgAAAAAGAAYAWQEA&#10;AH8FAAAAAA==&#10;">
                <v:fill on="t" focussize="0,0"/>
                <v:stroke color="#000000" miterlimit="0" joinstyle="miter"/>
                <v:imagedata o:title=""/>
                <o:lock v:ext="edit" aspectratio="f"/>
                <v:textbox>
                  <w:txbxContent>
                    <w:p>
                      <w:pPr>
                        <w:rPr>
                          <w:rFonts w:eastAsia="黑体"/>
                          <w:sz w:val="30"/>
                          <w:szCs w:val="30"/>
                        </w:rPr>
                      </w:pPr>
                      <w:r>
                        <w:rPr>
                          <w:rFonts w:hint="eastAsia" w:eastAsia="黑体"/>
                          <w:sz w:val="30"/>
                          <w:szCs w:val="30"/>
                        </w:rPr>
                        <w:t>合同编号：</w:t>
                      </w:r>
                    </w:p>
                  </w:txbxContent>
                </v:textbox>
                <w10:wrap type="square"/>
              </v:shape>
            </w:pict>
          </mc:Fallback>
        </mc:AlternateContent>
      </w:r>
    </w:p>
    <w:p>
      <w:pPr>
        <w:adjustRightInd w:val="0"/>
        <w:snapToGrid w:val="0"/>
        <w:spacing w:line="540" w:lineRule="exact"/>
        <w:jc w:val="center"/>
        <w:rPr>
          <w:rFonts w:ascii="宋体" w:hAnsi="宋体"/>
          <w:color w:val="000000" w:themeColor="text1"/>
          <w:sz w:val="30"/>
          <w:szCs w:val="30"/>
          <w14:textFill>
            <w14:solidFill>
              <w14:schemeClr w14:val="tx1"/>
            </w14:solidFill>
          </w14:textFill>
        </w:rPr>
      </w:pPr>
    </w:p>
    <w:p>
      <w:pPr>
        <w:adjustRightInd w:val="0"/>
        <w:snapToGrid w:val="0"/>
        <w:spacing w:line="540" w:lineRule="exact"/>
        <w:jc w:val="center"/>
        <w:rPr>
          <w:rFonts w:ascii="宋体" w:hAnsi="宋体"/>
          <w:color w:val="000000" w:themeColor="text1"/>
          <w:sz w:val="30"/>
          <w:szCs w:val="30"/>
          <w14:textFill>
            <w14:solidFill>
              <w14:schemeClr w14:val="tx1"/>
            </w14:solidFill>
          </w14:textFill>
        </w:rPr>
      </w:pPr>
    </w:p>
    <w:p>
      <w:pPr>
        <w:wordWrap w:val="0"/>
        <w:adjustRightInd w:val="0"/>
        <w:snapToGrid w:val="0"/>
        <w:spacing w:line="540" w:lineRule="exact"/>
        <w:jc w:val="center"/>
        <w:rPr>
          <w:rFonts w:ascii="宋体" w:hAnsi="宋体"/>
          <w:color w:val="000000" w:themeColor="text1"/>
          <w:sz w:val="30"/>
          <w:szCs w:val="30"/>
          <w14:textFill>
            <w14:solidFill>
              <w14:schemeClr w14:val="tx1"/>
            </w14:solidFill>
          </w14:textFill>
        </w:rPr>
      </w:pPr>
    </w:p>
    <w:p>
      <w:pPr>
        <w:adjustRightInd w:val="0"/>
        <w:snapToGrid w:val="0"/>
        <w:jc w:val="center"/>
        <w:rPr>
          <w:rFonts w:ascii="宋体" w:hAnsi="宋体"/>
          <w:b/>
          <w:color w:val="000000" w:themeColor="text1"/>
          <w:sz w:val="84"/>
          <w:szCs w:val="84"/>
          <w14:textFill>
            <w14:solidFill>
              <w14:schemeClr w14:val="tx1"/>
            </w14:solidFill>
          </w14:textFill>
        </w:rPr>
      </w:pPr>
      <w:r>
        <w:rPr>
          <w:rFonts w:hint="eastAsia" w:ascii="宋体" w:hAnsi="宋体"/>
          <w:b/>
          <w:color w:val="000000" w:themeColor="text1"/>
          <w:sz w:val="84"/>
          <w:szCs w:val="84"/>
          <w14:textFill>
            <w14:solidFill>
              <w14:schemeClr w14:val="tx1"/>
            </w14:solidFill>
          </w14:textFill>
        </w:rPr>
        <w:t>建设工程设计合同</w:t>
      </w:r>
    </w:p>
    <w:p>
      <w:pPr>
        <w:adjustRightInd w:val="0"/>
        <w:snapToGrid w:val="0"/>
        <w:spacing w:line="540" w:lineRule="exact"/>
        <w:rPr>
          <w:rFonts w:ascii="宋体" w:hAnsi="宋体"/>
          <w:color w:val="000000" w:themeColor="text1"/>
          <w:sz w:val="44"/>
          <w14:textFill>
            <w14:solidFill>
              <w14:schemeClr w14:val="tx1"/>
            </w14:solidFill>
          </w14:textFill>
        </w:rPr>
      </w:pPr>
    </w:p>
    <w:p>
      <w:pPr>
        <w:adjustRightInd w:val="0"/>
        <w:snapToGrid w:val="0"/>
        <w:spacing w:line="540" w:lineRule="exact"/>
        <w:jc w:val="center"/>
        <w:rPr>
          <w:rFonts w:ascii="宋体" w:hAnsi="宋体"/>
          <w:color w:val="000000" w:themeColor="text1"/>
          <w:sz w:val="44"/>
          <w14:textFill>
            <w14:solidFill>
              <w14:schemeClr w14:val="tx1"/>
            </w14:solidFill>
          </w14:textFill>
        </w:rPr>
      </w:pPr>
    </w:p>
    <w:p>
      <w:pPr>
        <w:adjustRightInd w:val="0"/>
        <w:snapToGrid w:val="0"/>
        <w:spacing w:line="540" w:lineRule="exact"/>
        <w:jc w:val="center"/>
        <w:rPr>
          <w:rFonts w:ascii="宋体" w:hAnsi="宋体"/>
          <w:color w:val="000000" w:themeColor="text1"/>
          <w:sz w:val="44"/>
          <w14:textFill>
            <w14:solidFill>
              <w14:schemeClr w14:val="tx1"/>
            </w14:solidFill>
          </w14:textFill>
        </w:rPr>
      </w:pPr>
    </w:p>
    <w:p>
      <w:pPr>
        <w:adjustRightInd w:val="0"/>
        <w:snapToGrid w:val="0"/>
        <w:spacing w:line="540" w:lineRule="exact"/>
        <w:rPr>
          <w:rFonts w:ascii="宋体" w:hAnsi="宋体" w:cs="宋体"/>
          <w:bCs/>
          <w:color w:val="000000" w:themeColor="text1"/>
          <w:sz w:val="32"/>
          <w:szCs w:val="32"/>
          <w14:textFill>
            <w14:solidFill>
              <w14:schemeClr w14:val="tx1"/>
            </w14:solidFill>
          </w14:textFill>
        </w:rPr>
      </w:pPr>
    </w:p>
    <w:p>
      <w:pPr>
        <w:adjustRightInd w:val="0"/>
        <w:snapToGrid w:val="0"/>
        <w:spacing w:line="540" w:lineRule="exact"/>
        <w:rPr>
          <w:rFonts w:ascii="宋体" w:hAnsi="宋体" w:cs="宋体"/>
          <w:bCs/>
          <w:color w:val="000000" w:themeColor="text1"/>
          <w:sz w:val="32"/>
          <w:szCs w:val="32"/>
          <w14:textFill>
            <w14:solidFill>
              <w14:schemeClr w14:val="tx1"/>
            </w14:solidFill>
          </w14:textFill>
        </w:rPr>
      </w:pPr>
    </w:p>
    <w:p>
      <w:pPr>
        <w:adjustRightInd w:val="0"/>
        <w:snapToGrid w:val="0"/>
        <w:spacing w:line="540" w:lineRule="exact"/>
        <w:rPr>
          <w:rFonts w:ascii="宋体" w:hAnsi="宋体" w:cs="宋体"/>
          <w:bCs/>
          <w:color w:val="000000" w:themeColor="text1"/>
          <w:sz w:val="32"/>
          <w:szCs w:val="32"/>
          <w14:textFill>
            <w14:solidFill>
              <w14:schemeClr w14:val="tx1"/>
            </w14:solidFill>
          </w14:textFill>
        </w:rPr>
      </w:pPr>
    </w:p>
    <w:p>
      <w:pPr>
        <w:adjustRightInd w:val="0"/>
        <w:snapToGrid w:val="0"/>
        <w:spacing w:line="660" w:lineRule="exact"/>
        <w:ind w:left="426" w:leftChars="202" w:hanging="2"/>
        <w:rPr>
          <w:rFonts w:ascii="宋体" w:hAnsi="宋体" w:cs="宋体"/>
          <w:bCs/>
          <w:color w:val="000000" w:themeColor="text1"/>
          <w:w w:val="90"/>
          <w:sz w:val="32"/>
          <w:szCs w:val="32"/>
          <w14:textFill>
            <w14:solidFill>
              <w14:schemeClr w14:val="tx1"/>
            </w14:solidFill>
          </w14:textFill>
        </w:rPr>
      </w:pPr>
      <w:r>
        <w:rPr>
          <w:rFonts w:hint="eastAsia" w:ascii="宋体" w:hAnsi="宋体" w:cs="宋体"/>
          <w:bCs/>
          <w:color w:val="000000" w:themeColor="text1"/>
          <w:w w:val="90"/>
          <w:sz w:val="32"/>
          <w:szCs w:val="32"/>
          <w14:textFill>
            <w14:solidFill>
              <w14:schemeClr w14:val="tx1"/>
            </w14:solidFill>
          </w14:textFill>
        </w:rPr>
        <w:t>项目名称：</w:t>
      </w:r>
      <w:r>
        <w:rPr>
          <w:rFonts w:hint="eastAsia" w:ascii="宋体" w:hAnsi="宋体" w:cs="宋体"/>
          <w:bCs/>
          <w:color w:val="000000" w:themeColor="text1"/>
          <w:w w:val="90"/>
          <w:sz w:val="32"/>
          <w:szCs w:val="32"/>
          <w:u w:val="single"/>
          <w14:textFill>
            <w14:solidFill>
              <w14:schemeClr w14:val="tx1"/>
            </w14:solidFill>
          </w14:textFill>
        </w:rPr>
        <w:t>经开区143号路设计施工总承包</w:t>
      </w:r>
    </w:p>
    <w:p>
      <w:pPr>
        <w:adjustRightInd w:val="0"/>
        <w:snapToGrid w:val="0"/>
        <w:spacing w:line="660" w:lineRule="exact"/>
        <w:ind w:left="2261" w:leftChars="202" w:hanging="1837" w:hangingChars="638"/>
        <w:rPr>
          <w:rFonts w:ascii="宋体" w:hAnsi="宋体" w:cs="宋体"/>
          <w:bCs/>
          <w:color w:val="000000" w:themeColor="text1"/>
          <w:w w:val="90"/>
          <w:sz w:val="32"/>
          <w:szCs w:val="32"/>
          <w:u w:val="single"/>
          <w14:textFill>
            <w14:solidFill>
              <w14:schemeClr w14:val="tx1"/>
            </w14:solidFill>
          </w14:textFill>
        </w:rPr>
      </w:pPr>
      <w:r>
        <w:rPr>
          <w:rFonts w:hint="eastAsia" w:ascii="宋体" w:hAnsi="宋体" w:cs="宋体"/>
          <w:bCs/>
          <w:color w:val="000000" w:themeColor="text1"/>
          <w:w w:val="90"/>
          <w:sz w:val="32"/>
          <w:szCs w:val="32"/>
          <w14:textFill>
            <w14:solidFill>
              <w14:schemeClr w14:val="tx1"/>
            </w14:solidFill>
          </w14:textFill>
        </w:rPr>
        <w:t>发 包 人：</w:t>
      </w:r>
      <w:r>
        <w:rPr>
          <w:rFonts w:hint="eastAsia" w:ascii="宋体" w:hAnsi="宋体" w:cs="宋体"/>
          <w:bCs/>
          <w:color w:val="000000" w:themeColor="text1"/>
          <w:w w:val="90"/>
          <w:sz w:val="32"/>
          <w:szCs w:val="32"/>
          <w:u w:val="single"/>
          <w14:textFill>
            <w14:solidFill>
              <w14:schemeClr w14:val="tx1"/>
            </w14:solidFill>
          </w14:textFill>
        </w:rPr>
        <w:t xml:space="preserve">昆明经济技术开发区规划建设局 </w:t>
      </w:r>
      <w:r>
        <w:rPr>
          <w:rFonts w:ascii="宋体" w:hAnsi="宋体" w:cs="宋体"/>
          <w:bCs/>
          <w:color w:val="000000" w:themeColor="text1"/>
          <w:w w:val="90"/>
          <w:sz w:val="32"/>
          <w:szCs w:val="32"/>
          <w:u w:val="single"/>
          <w14:textFill>
            <w14:solidFill>
              <w14:schemeClr w14:val="tx1"/>
            </w14:solidFill>
          </w14:textFill>
        </w:rPr>
        <w:t xml:space="preserve">  </w:t>
      </w:r>
    </w:p>
    <w:p>
      <w:pPr>
        <w:adjustRightInd w:val="0"/>
        <w:snapToGrid w:val="0"/>
        <w:spacing w:line="660" w:lineRule="exact"/>
        <w:ind w:left="2261" w:leftChars="202" w:hanging="1837" w:hangingChars="638"/>
        <w:rPr>
          <w:rFonts w:ascii="宋体" w:hAnsi="宋体" w:cs="宋体"/>
          <w:bCs/>
          <w:color w:val="000000" w:themeColor="text1"/>
          <w:w w:val="90"/>
          <w:sz w:val="32"/>
          <w:szCs w:val="32"/>
          <w:u w:val="single"/>
          <w14:textFill>
            <w14:solidFill>
              <w14:schemeClr w14:val="tx1"/>
            </w14:solidFill>
          </w14:textFill>
        </w:rPr>
      </w:pPr>
      <w:r>
        <w:rPr>
          <w:rFonts w:hint="eastAsia" w:ascii="宋体" w:hAnsi="宋体" w:cs="宋体"/>
          <w:bCs/>
          <w:color w:val="000000" w:themeColor="text1"/>
          <w:w w:val="90"/>
          <w:sz w:val="32"/>
          <w:szCs w:val="32"/>
          <w14:textFill>
            <w14:solidFill>
              <w14:schemeClr w14:val="tx1"/>
            </w14:solidFill>
          </w14:textFill>
        </w:rPr>
        <w:t>设 计 人：</w:t>
      </w:r>
      <w:r>
        <w:rPr>
          <w:rFonts w:hint="eastAsia" w:ascii="宋体" w:hAnsi="宋体" w:cs="宋体"/>
          <w:bCs/>
          <w:color w:val="000000" w:themeColor="text1"/>
          <w:w w:val="90"/>
          <w:sz w:val="32"/>
          <w:szCs w:val="32"/>
          <w:u w:val="single"/>
          <w14:textFill>
            <w14:solidFill>
              <w14:schemeClr w14:val="tx1"/>
            </w14:solidFill>
          </w14:textFill>
        </w:rPr>
        <w:t xml:space="preserve"> </w:t>
      </w:r>
      <w:r>
        <w:rPr>
          <w:rFonts w:ascii="宋体" w:hAnsi="宋体" w:cs="宋体"/>
          <w:bCs/>
          <w:color w:val="000000" w:themeColor="text1"/>
          <w:w w:val="90"/>
          <w:sz w:val="32"/>
          <w:szCs w:val="32"/>
          <w:u w:val="single"/>
          <w14:textFill>
            <w14:solidFill>
              <w14:schemeClr w14:val="tx1"/>
            </w14:solidFill>
          </w14:textFill>
        </w:rPr>
        <w:t xml:space="preserve">                               </w:t>
      </w:r>
    </w:p>
    <w:p>
      <w:pPr>
        <w:adjustRightInd w:val="0"/>
        <w:snapToGrid w:val="0"/>
        <w:spacing w:line="660" w:lineRule="exact"/>
        <w:ind w:left="2261" w:leftChars="202" w:hanging="1837" w:hangingChars="638"/>
        <w:rPr>
          <w:rFonts w:ascii="宋体" w:hAnsi="宋体" w:cs="宋体"/>
          <w:bCs/>
          <w:color w:val="000000" w:themeColor="text1"/>
          <w:w w:val="90"/>
          <w:sz w:val="32"/>
          <w:szCs w:val="32"/>
          <w:u w:val="single"/>
          <w14:textFill>
            <w14:solidFill>
              <w14:schemeClr w14:val="tx1"/>
            </w14:solidFill>
          </w14:textFill>
        </w:rPr>
      </w:pPr>
      <w:r>
        <w:rPr>
          <w:rFonts w:hint="eastAsia" w:ascii="宋体" w:hAnsi="宋体" w:cs="宋体"/>
          <w:bCs/>
          <w:color w:val="000000" w:themeColor="text1"/>
          <w:w w:val="90"/>
          <w:sz w:val="32"/>
          <w:szCs w:val="32"/>
          <w14:textFill>
            <w14:solidFill>
              <w14:schemeClr w14:val="tx1"/>
            </w14:solidFill>
          </w14:textFill>
        </w:rPr>
        <w:t>合同签订日期：</w:t>
      </w:r>
      <w:r>
        <w:rPr>
          <w:rFonts w:hint="eastAsia" w:ascii="宋体" w:hAnsi="宋体" w:cs="宋体"/>
          <w:bCs/>
          <w:color w:val="000000" w:themeColor="text1"/>
          <w:w w:val="90"/>
          <w:sz w:val="32"/>
          <w:szCs w:val="32"/>
          <w:u w:val="single"/>
          <w14:textFill>
            <w14:solidFill>
              <w14:schemeClr w14:val="tx1"/>
            </w14:solidFill>
          </w14:textFill>
        </w:rPr>
        <w:t xml:space="preserve"> </w:t>
      </w:r>
      <w:r>
        <w:rPr>
          <w:rFonts w:ascii="宋体" w:hAnsi="宋体" w:cs="宋体"/>
          <w:bCs/>
          <w:color w:val="000000" w:themeColor="text1"/>
          <w:w w:val="90"/>
          <w:sz w:val="32"/>
          <w:szCs w:val="32"/>
          <w:u w:val="single"/>
          <w14:textFill>
            <w14:solidFill>
              <w14:schemeClr w14:val="tx1"/>
            </w14:solidFill>
          </w14:textFill>
        </w:rPr>
        <w:t xml:space="preserve">                            </w:t>
      </w:r>
    </w:p>
    <w:p>
      <w:pPr>
        <w:adjustRightInd w:val="0"/>
        <w:snapToGrid w:val="0"/>
        <w:spacing w:line="660" w:lineRule="exact"/>
        <w:ind w:left="2261" w:leftChars="202" w:hanging="1837" w:hangingChars="638"/>
        <w:rPr>
          <w:rFonts w:ascii="仿宋_GB2312" w:eastAsia="仿宋_GB2312"/>
          <w:color w:val="000000" w:themeColor="text1"/>
          <w:sz w:val="30"/>
          <w:szCs w:val="30"/>
          <w14:textFill>
            <w14:solidFill>
              <w14:schemeClr w14:val="tx1"/>
            </w14:solidFill>
          </w14:textFill>
        </w:rPr>
      </w:pPr>
      <w:r>
        <w:rPr>
          <w:rFonts w:hint="eastAsia" w:ascii="宋体" w:hAnsi="宋体" w:cs="宋体"/>
          <w:bCs/>
          <w:color w:val="000000" w:themeColor="text1"/>
          <w:w w:val="90"/>
          <w:sz w:val="32"/>
          <w:szCs w:val="32"/>
          <w14:textFill>
            <w14:solidFill>
              <w14:schemeClr w14:val="tx1"/>
            </w14:solidFill>
          </w14:textFill>
        </w:rPr>
        <w:t>合同签订地点：</w:t>
      </w:r>
      <w:r>
        <w:rPr>
          <w:rFonts w:ascii="宋体" w:hAnsi="宋体" w:cs="宋体"/>
          <w:bCs/>
          <w:color w:val="000000" w:themeColor="text1"/>
          <w:w w:val="90"/>
          <w:sz w:val="32"/>
          <w:szCs w:val="32"/>
          <w:u w:val="single"/>
          <w14:textFill>
            <w14:solidFill>
              <w14:schemeClr w14:val="tx1"/>
            </w14:solidFill>
          </w14:textFill>
        </w:rPr>
        <w:t xml:space="preserve">                              </w:t>
      </w:r>
    </w:p>
    <w:p>
      <w:pPr>
        <w:spacing w:after="120" w:line="440" w:lineRule="exact"/>
        <w:ind w:right="2182" w:rightChars="1039" w:firstLine="2168" w:firstLineChars="900"/>
        <w:rPr>
          <w:b/>
          <w:color w:val="000000" w:themeColor="text1"/>
          <w:sz w:val="28"/>
          <w:szCs w:val="28"/>
          <w14:textFill>
            <w14:solidFill>
              <w14:schemeClr w14:val="tx1"/>
            </w14:solidFill>
          </w14:textFill>
        </w:rPr>
      </w:pPr>
      <w:r>
        <w:rPr>
          <w:b/>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4253230</wp:posOffset>
                </wp:positionH>
                <wp:positionV relativeFrom="paragraph">
                  <wp:posOffset>190500</wp:posOffset>
                </wp:positionV>
                <wp:extent cx="835025" cy="36004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35025" cy="360045"/>
                        </a:xfrm>
                        <a:prstGeom prst="rect">
                          <a:avLst/>
                        </a:prstGeom>
                        <a:solidFill>
                          <a:srgbClr val="FFFFFF"/>
                        </a:solidFill>
                        <a:ln>
                          <a:noFill/>
                        </a:ln>
                      </wps:spPr>
                      <wps:txbx>
                        <w:txbxContent>
                          <w:p>
                            <w:pPr>
                              <w:ind w:leftChars="-67" w:hanging="141" w:hangingChars="44"/>
                              <w:rPr>
                                <w:b/>
                                <w:bCs/>
                                <w:sz w:val="32"/>
                                <w:szCs w:val="32"/>
                              </w:rPr>
                            </w:pPr>
                            <w:r>
                              <w:rPr>
                                <w:rFonts w:hint="eastAsia"/>
                                <w:b/>
                                <w:bCs/>
                                <w:sz w:val="32"/>
                                <w:szCs w:val="32"/>
                              </w:rPr>
                              <w:t>制定</w:t>
                            </w:r>
                          </w:p>
                        </w:txbxContent>
                      </wps:txbx>
                      <wps:bodyPr rot="0" vert="horz" wrap="square" anchor="t" anchorCtr="0" upright="1"/>
                    </wps:wsp>
                  </a:graphicData>
                </a:graphic>
              </wp:anchor>
            </w:drawing>
          </mc:Choice>
          <mc:Fallback>
            <w:pict>
              <v:shape id="文本框 1" o:spid="_x0000_s1026" o:spt="202" type="#_x0000_t202" style="position:absolute;left:0pt;margin-left:334.9pt;margin-top:15pt;height:28.35pt;width:65.75pt;z-index:251664384;mso-width-relative:page;mso-height-relative:page;" fillcolor="#FFFFFF" filled="t" stroked="f" coordsize="21600,21600" o:gfxdata="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nA3f1wAAAAkBAAAPAAAAAAAAAAEAIAAAACIAAABkcnMv&#10;ZG93bnJldi54bWxQSwECFAAUAAAACACHTuJAtS0bdAQCAADvAwAADgAAAAAAAAABACAAAAAmAQAA&#10;ZHJzL2Uyb0RvYy54bWxQSwUGAAAAAAYABgBZAQAAnAUAAAAA&#10;">
                <v:fill on="t" focussize="0,0"/>
                <v:stroke on="f"/>
                <v:imagedata o:title=""/>
                <o:lock v:ext="edit" aspectratio="f"/>
                <v:textbox>
                  <w:txbxContent>
                    <w:p>
                      <w:pPr>
                        <w:ind w:leftChars="-67" w:hanging="141" w:hangingChars="44"/>
                        <w:rPr>
                          <w:b/>
                          <w:bCs/>
                          <w:sz w:val="32"/>
                          <w:szCs w:val="32"/>
                        </w:rPr>
                      </w:pPr>
                      <w:r>
                        <w:rPr>
                          <w:rFonts w:hint="eastAsia"/>
                          <w:b/>
                          <w:bCs/>
                          <w:sz w:val="32"/>
                          <w:szCs w:val="32"/>
                        </w:rPr>
                        <w:t>制定</w:t>
                      </w:r>
                    </w:p>
                  </w:txbxContent>
                </v:textbox>
              </v:shape>
            </w:pict>
          </mc:Fallback>
        </mc:AlternateContent>
      </w:r>
      <w:r>
        <w:rPr>
          <w:rFonts w:hint="eastAsia"/>
          <w:b/>
          <w:color w:val="000000" w:themeColor="text1"/>
          <w:sz w:val="28"/>
          <w:szCs w:val="28"/>
          <w14:textFill>
            <w14:solidFill>
              <w14:schemeClr w14:val="tx1"/>
            </w14:solidFill>
          </w14:textFill>
        </w:rPr>
        <w:t>中华人民共和国住房和城乡建设部</w:t>
      </w:r>
    </w:p>
    <w:p>
      <w:pPr>
        <w:spacing w:line="360" w:lineRule="auto"/>
        <w:ind w:firstLine="2266" w:firstLineChars="533"/>
        <w:rPr>
          <w:rFonts w:ascii="仿宋_GB2312" w:eastAsia="仿宋_GB2312"/>
          <w:color w:val="000000" w:themeColor="text1"/>
          <w:spacing w:val="72"/>
          <w:sz w:val="30"/>
          <w:szCs w:val="30"/>
          <w14:textFill>
            <w14:solidFill>
              <w14:schemeClr w14:val="tx1"/>
            </w14:solidFill>
          </w14:textFill>
        </w:rPr>
        <w:sectPr>
          <w:type w:val="nextColumn"/>
          <w:pgSz w:w="11906" w:h="16838"/>
          <w:pgMar w:top="1304" w:right="1304" w:bottom="1304" w:left="1304" w:header="851" w:footer="992" w:gutter="0"/>
          <w:pgNumType w:fmt="numberInDash" w:chapStyle="1"/>
          <w:cols w:space="720" w:num="1"/>
          <w:docGrid w:linePitch="312" w:charSpace="0"/>
        </w:sectPr>
      </w:pPr>
      <w:r>
        <w:rPr>
          <w:rFonts w:hint="eastAsia"/>
          <w:b/>
          <w:color w:val="000000" w:themeColor="text1"/>
          <w:spacing w:val="72"/>
          <w:sz w:val="28"/>
          <w:szCs w:val="28"/>
          <w14:textFill>
            <w14:solidFill>
              <w14:schemeClr w14:val="tx1"/>
            </w14:solidFill>
          </w14:textFill>
        </w:rPr>
        <w:t>国家市场监督管理总局</w:t>
      </w:r>
    </w:p>
    <w:p>
      <w:pPr>
        <w:pStyle w:val="6"/>
        <w:jc w:val="center"/>
        <w:rPr>
          <w:rFonts w:ascii="宋体" w:hAnsi="宋体"/>
          <w:color w:val="000000" w:themeColor="text1"/>
          <w:sz w:val="32"/>
          <w:szCs w:val="28"/>
          <w14:textFill>
            <w14:solidFill>
              <w14:schemeClr w14:val="tx1"/>
            </w14:solidFill>
          </w14:textFill>
        </w:rPr>
      </w:pPr>
      <w:bookmarkStart w:id="527" w:name="_Toc117339997"/>
      <w:bookmarkStart w:id="528" w:name="_Toc136956350"/>
      <w:bookmarkStart w:id="529" w:name="_Toc116261079"/>
      <w:bookmarkStart w:id="530" w:name="_Toc5622474"/>
      <w:r>
        <w:rPr>
          <w:rFonts w:hint="eastAsia" w:ascii="宋体" w:hAnsi="宋体"/>
          <w:color w:val="000000" w:themeColor="text1"/>
          <w:sz w:val="32"/>
          <w:szCs w:val="28"/>
          <w14:textFill>
            <w14:solidFill>
              <w14:schemeClr w14:val="tx1"/>
            </w14:solidFill>
          </w14:textFill>
        </w:rPr>
        <w:t>第一部分 合同协议书</w:t>
      </w:r>
      <w:bookmarkEnd w:id="527"/>
      <w:bookmarkEnd w:id="528"/>
      <w:bookmarkEnd w:id="529"/>
      <w:bookmarkEnd w:id="530"/>
    </w:p>
    <w:p>
      <w:pPr>
        <w:tabs>
          <w:tab w:val="right" w:leader="middleDot" w:pos="8400"/>
        </w:tabs>
        <w:rPr>
          <w:rFonts w:ascii="仿宋_GB2312" w:eastAsia="仿宋_GB2312"/>
          <w:color w:val="000000" w:themeColor="text1"/>
          <w:szCs w:val="21"/>
          <w14:textFill>
            <w14:solidFill>
              <w14:schemeClr w14:val="tx1"/>
            </w14:solidFill>
          </w14:textFill>
        </w:rPr>
      </w:pPr>
    </w:p>
    <w:p>
      <w:pPr>
        <w:spacing w:line="360" w:lineRule="auto"/>
        <w:rPr>
          <w:b/>
          <w:color w:val="000000" w:themeColor="text1"/>
          <w:sz w:val="24"/>
          <w:u w:val="single"/>
          <w14:textFill>
            <w14:solidFill>
              <w14:schemeClr w14:val="tx1"/>
            </w14:solidFill>
          </w14:textFill>
        </w:rPr>
      </w:pPr>
      <w:r>
        <w:rPr>
          <w:rFonts w:hint="eastAsia"/>
          <w:b/>
          <w:color w:val="000000" w:themeColor="text1"/>
          <w:sz w:val="24"/>
          <w14:textFill>
            <w14:solidFill>
              <w14:schemeClr w14:val="tx1"/>
            </w14:solidFill>
          </w14:textFill>
        </w:rPr>
        <w:t>发包人（全称）：</w:t>
      </w:r>
      <w:r>
        <w:rPr>
          <w:rFonts w:hint="eastAsia"/>
          <w:b/>
          <w:color w:val="000000" w:themeColor="text1"/>
          <w:sz w:val="24"/>
          <w:u w:val="single"/>
          <w14:textFill>
            <w14:solidFill>
              <w14:schemeClr w14:val="tx1"/>
            </w14:solidFill>
          </w14:textFill>
        </w:rPr>
        <w:t xml:space="preserve">昆明经济技术开发区规划建设局 </w:t>
      </w:r>
      <w:r>
        <w:rPr>
          <w:b/>
          <w:color w:val="000000" w:themeColor="text1"/>
          <w:sz w:val="24"/>
          <w:u w:val="single"/>
          <w14:textFill>
            <w14:solidFill>
              <w14:schemeClr w14:val="tx1"/>
            </w14:solidFill>
          </w14:textFill>
        </w:rPr>
        <w:t xml:space="preserve"> </w:t>
      </w:r>
    </w:p>
    <w:p>
      <w:pPr>
        <w:spacing w:line="360" w:lineRule="auto"/>
        <w:rPr>
          <w:b/>
          <w:color w:val="000000" w:themeColor="text1"/>
          <w:sz w:val="24"/>
          <w:u w:val="single"/>
          <w14:textFill>
            <w14:solidFill>
              <w14:schemeClr w14:val="tx1"/>
            </w14:solidFill>
          </w14:textFill>
        </w:rPr>
      </w:pPr>
      <w:r>
        <w:rPr>
          <w:rFonts w:hint="eastAsia"/>
          <w:b/>
          <w:color w:val="000000" w:themeColor="text1"/>
          <w:sz w:val="24"/>
          <w14:textFill>
            <w14:solidFill>
              <w14:schemeClr w14:val="tx1"/>
            </w14:solidFill>
          </w14:textFill>
        </w:rPr>
        <w:t>设计人（全称）：</w:t>
      </w:r>
      <w:r>
        <w:rPr>
          <w:rFonts w:hint="eastAsia"/>
          <w:b/>
          <w:color w:val="000000" w:themeColor="text1"/>
          <w:sz w:val="24"/>
          <w:u w:val="single"/>
          <w14:textFill>
            <w14:solidFill>
              <w14:schemeClr w14:val="tx1"/>
            </w14:solidFill>
          </w14:textFill>
        </w:rPr>
        <w:t xml:space="preserve"> </w:t>
      </w:r>
      <w:r>
        <w:rPr>
          <w:b/>
          <w:color w:val="000000" w:themeColor="text1"/>
          <w:sz w:val="24"/>
          <w:u w:val="single"/>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left="-1" w:firstLine="460" w:firstLineChars="200"/>
        <w:rPr>
          <w:rFonts w:ascii="宋体" w:hAnsi="宋体" w:cs="仿宋_GB2312"/>
          <w:color w:val="000000" w:themeColor="text1"/>
          <w:spacing w:val="-5"/>
          <w:sz w:val="24"/>
          <w14:textFill>
            <w14:solidFill>
              <w14:schemeClr w14:val="tx1"/>
            </w14:solidFill>
          </w14:textFill>
        </w:rPr>
      </w:pPr>
      <w:r>
        <w:rPr>
          <w:rFonts w:hint="eastAsia" w:ascii="宋体" w:hAnsi="宋体" w:cs="仿宋_GB2312"/>
          <w:color w:val="000000" w:themeColor="text1"/>
          <w:spacing w:val="-5"/>
          <w:sz w:val="24"/>
          <w14:textFill>
            <w14:solidFill>
              <w14:schemeClr w14:val="tx1"/>
            </w14:solidFill>
          </w14:textFill>
        </w:rPr>
        <w:t>本项目招标接受联合体投标,中标单位为联合体，分别是：</w:t>
      </w:r>
      <w:r>
        <w:rPr>
          <w:rFonts w:hint="eastAsia" w:ascii="宋体" w:hAnsi="宋体" w:cs="仿宋_GB2312"/>
          <w:b/>
          <w:bCs/>
          <w:color w:val="000000" w:themeColor="text1"/>
          <w:spacing w:val="-5"/>
          <w:sz w:val="24"/>
          <w14:textFill>
            <w14:solidFill>
              <w14:schemeClr w14:val="tx1"/>
            </w14:solidFill>
          </w14:textFill>
        </w:rPr>
        <w:t>设计单位</w:t>
      </w:r>
      <w:r>
        <w:rPr>
          <w:rFonts w:hint="eastAsia" w:ascii="宋体" w:hAnsi="宋体" w:cs="仿宋_GB2312"/>
          <w:color w:val="000000" w:themeColor="text1"/>
          <w:spacing w:val="-5"/>
          <w:sz w:val="24"/>
          <w14:textFill>
            <w14:solidFill>
              <w14:schemeClr w14:val="tx1"/>
            </w14:solidFill>
          </w14:textFill>
        </w:rPr>
        <w:t>(</w:t>
      </w:r>
      <w:r>
        <w:rPr>
          <w:rFonts w:ascii="宋体" w:hAnsi="宋体" w:cs="仿宋_GB2312"/>
          <w:color w:val="000000" w:themeColor="text1"/>
          <w:spacing w:val="-5"/>
          <w:sz w:val="24"/>
          <w:u w:val="single"/>
          <w14:textFill>
            <w14:solidFill>
              <w14:schemeClr w14:val="tx1"/>
            </w14:solidFill>
          </w14:textFill>
        </w:rPr>
        <w:t xml:space="preserve">                   </w:t>
      </w:r>
      <w:r>
        <w:rPr>
          <w:rFonts w:hint="eastAsia" w:ascii="宋体" w:hAnsi="宋体" w:cs="仿宋_GB2312"/>
          <w:color w:val="000000" w:themeColor="text1"/>
          <w:spacing w:val="-5"/>
          <w:sz w:val="24"/>
          <w14:textFill>
            <w14:solidFill>
              <w14:schemeClr w14:val="tx1"/>
            </w14:solidFill>
          </w14:textFill>
        </w:rPr>
        <w:t>)和</w:t>
      </w:r>
      <w:r>
        <w:rPr>
          <w:rFonts w:hint="eastAsia" w:ascii="宋体" w:hAnsi="宋体" w:cs="仿宋_GB2312"/>
          <w:b/>
          <w:bCs/>
          <w:color w:val="000000" w:themeColor="text1"/>
          <w:spacing w:val="-5"/>
          <w:sz w:val="24"/>
          <w14:textFill>
            <w14:solidFill>
              <w14:schemeClr w14:val="tx1"/>
            </w14:solidFill>
          </w14:textFill>
        </w:rPr>
        <w:t>施工单位</w:t>
      </w:r>
      <w:r>
        <w:rPr>
          <w:rFonts w:hint="eastAsia" w:ascii="宋体" w:hAnsi="宋体" w:cs="仿宋_GB2312"/>
          <w:color w:val="000000" w:themeColor="text1"/>
          <w:spacing w:val="-5"/>
          <w:sz w:val="24"/>
          <w14:textFill>
            <w14:solidFill>
              <w14:schemeClr w14:val="tx1"/>
            </w14:solidFill>
          </w14:textFill>
        </w:rPr>
        <w:t>（</w:t>
      </w:r>
      <w:r>
        <w:rPr>
          <w:rFonts w:ascii="宋体" w:hAnsi="宋体" w:cs="仿宋_GB2312"/>
          <w:color w:val="000000" w:themeColor="text1"/>
          <w:spacing w:val="-5"/>
          <w:sz w:val="24"/>
          <w:u w:val="single"/>
          <w14:textFill>
            <w14:solidFill>
              <w14:schemeClr w14:val="tx1"/>
            </w14:solidFill>
          </w14:textFill>
        </w:rPr>
        <w:t xml:space="preserve">                   </w:t>
      </w:r>
      <w:r>
        <w:rPr>
          <w:rFonts w:hint="eastAsia" w:ascii="宋体" w:hAnsi="宋体" w:cs="仿宋_GB2312"/>
          <w:color w:val="000000" w:themeColor="text1"/>
          <w:spacing w:val="-5"/>
          <w:sz w:val="24"/>
          <w14:textFill>
            <w14:solidFill>
              <w14:schemeClr w14:val="tx1"/>
            </w14:solidFill>
          </w14:textFill>
        </w:rPr>
        <w:t>）。</w:t>
      </w:r>
    </w:p>
    <w:p>
      <w:pPr>
        <w:adjustRightInd w:val="0"/>
        <w:snapToGrid w:val="0"/>
        <w:spacing w:line="360" w:lineRule="auto"/>
        <w:ind w:left="-1" w:firstLine="460" w:firstLineChars="200"/>
        <w:rPr>
          <w:rFonts w:ascii="宋体" w:hAnsi="宋体" w:cs="仿宋_GB2312"/>
          <w:color w:val="000000" w:themeColor="text1"/>
          <w:spacing w:val="-5"/>
          <w:sz w:val="24"/>
          <w14:textFill>
            <w14:solidFill>
              <w14:schemeClr w14:val="tx1"/>
            </w14:solidFill>
          </w14:textFill>
        </w:rPr>
      </w:pPr>
      <w:r>
        <w:rPr>
          <w:rFonts w:hint="eastAsia" w:ascii="宋体" w:hAnsi="宋体" w:cs="仿宋_GB2312"/>
          <w:color w:val="000000" w:themeColor="text1"/>
          <w:spacing w:val="-5"/>
          <w:sz w:val="24"/>
          <w14:textFill>
            <w14:solidFill>
              <w14:schemeClr w14:val="tx1"/>
            </w14:solidFill>
          </w14:textFill>
        </w:rPr>
        <w:t>中标人确定后，将依据招标文件及投标文件与发包人洽谈合同，根据合同谈判的情况，中标人（联合体各方）应针对合同谈判的要点，对联合体协议书进行细化并重新签订具有针对性的联合体协议书。此后，发包人分别与施工单位、设计单位签订合同，联合体各方对依据联合体协议及各专项合同对本项目整体承担连带责任，本合同为</w:t>
      </w:r>
      <w:r>
        <w:rPr>
          <w:rFonts w:hint="eastAsia" w:ascii="宋体" w:hAnsi="宋体" w:cs="仿宋_GB2312"/>
          <w:b/>
          <w:bCs/>
          <w:color w:val="000000" w:themeColor="text1"/>
          <w:spacing w:val="-5"/>
          <w:sz w:val="24"/>
          <w14:textFill>
            <w14:solidFill>
              <w14:schemeClr w14:val="tx1"/>
            </w14:solidFill>
          </w14:textFill>
        </w:rPr>
        <w:t>设计合同</w:t>
      </w:r>
      <w:r>
        <w:rPr>
          <w:rFonts w:hint="eastAsia" w:ascii="宋体" w:hAnsi="宋体" w:cs="仿宋_GB2312"/>
          <w:color w:val="000000" w:themeColor="text1"/>
          <w:spacing w:val="-5"/>
          <w:sz w:val="24"/>
          <w14:textFill>
            <w14:solidFill>
              <w14:schemeClr w14:val="tx1"/>
            </w14:solidFill>
          </w14:textFill>
        </w:rPr>
        <w:t>。</w:t>
      </w:r>
    </w:p>
    <w:p>
      <w:pPr>
        <w:adjustRightInd w:val="0"/>
        <w:snapToGrid w:val="0"/>
        <w:spacing w:line="360" w:lineRule="auto"/>
        <w:ind w:firstLine="345" w:firstLineChars="150"/>
        <w:rPr>
          <w:rFonts w:ascii="宋体" w:hAnsi="宋体" w:cs="仿宋_GB2312"/>
          <w:color w:val="000000" w:themeColor="text1"/>
          <w:spacing w:val="-5"/>
          <w:sz w:val="24"/>
          <w14:textFill>
            <w14:solidFill>
              <w14:schemeClr w14:val="tx1"/>
            </w14:solidFill>
          </w14:textFill>
        </w:rPr>
      </w:pPr>
      <w:r>
        <w:rPr>
          <w:rFonts w:hint="eastAsia" w:ascii="宋体" w:hAnsi="宋体" w:cs="仿宋_GB2312"/>
          <w:color w:val="000000" w:themeColor="text1"/>
          <w:spacing w:val="-5"/>
          <w:sz w:val="24"/>
          <w14:textFill>
            <w14:solidFill>
              <w14:schemeClr w14:val="tx1"/>
            </w14:solidFill>
          </w14:textFill>
        </w:rPr>
        <w:t xml:space="preserve"> 发包人委托设计人</w:t>
      </w:r>
      <w:r>
        <w:rPr>
          <w:rFonts w:hint="eastAsia" w:ascii="宋体" w:hAnsi="宋体" w:cs="仿宋_GB2312"/>
          <w:color w:val="000000" w:themeColor="text1"/>
          <w:spacing w:val="-5"/>
          <w:sz w:val="24"/>
          <w:u w:val="single"/>
          <w14:textFill>
            <w14:solidFill>
              <w14:schemeClr w14:val="tx1"/>
            </w14:solidFill>
          </w14:textFill>
        </w:rPr>
        <w:t xml:space="preserve"> </w:t>
      </w:r>
      <w:r>
        <w:rPr>
          <w:rFonts w:ascii="宋体" w:hAnsi="宋体" w:cs="仿宋_GB2312"/>
          <w:color w:val="000000" w:themeColor="text1"/>
          <w:spacing w:val="-5"/>
          <w:sz w:val="24"/>
          <w:u w:val="single"/>
          <w14:textFill>
            <w14:solidFill>
              <w14:schemeClr w14:val="tx1"/>
            </w14:solidFill>
          </w14:textFill>
        </w:rPr>
        <w:t xml:space="preserve">                    </w:t>
      </w:r>
      <w:r>
        <w:rPr>
          <w:rFonts w:hint="eastAsia" w:ascii="宋体" w:hAnsi="宋体" w:cs="仿宋_GB2312"/>
          <w:color w:val="000000" w:themeColor="text1"/>
          <w:spacing w:val="-5"/>
          <w:sz w:val="24"/>
          <w14:textFill>
            <w14:solidFill>
              <w14:schemeClr w14:val="tx1"/>
            </w14:solidFill>
          </w14:textFill>
        </w:rPr>
        <w:t>（以下简称设计人）承担</w:t>
      </w:r>
      <w:r>
        <w:rPr>
          <w:rFonts w:hint="eastAsia" w:ascii="宋体" w:hAnsi="宋体" w:cs="仿宋_GB2312"/>
          <w:color w:val="000000" w:themeColor="text1"/>
          <w:spacing w:val="-5"/>
          <w:sz w:val="24"/>
          <w:u w:val="single"/>
          <w14:textFill>
            <w14:solidFill>
              <w14:schemeClr w14:val="tx1"/>
            </w14:solidFill>
          </w14:textFill>
        </w:rPr>
        <w:t xml:space="preserve"> </w:t>
      </w:r>
      <w:r>
        <w:rPr>
          <w:rFonts w:hint="eastAsia" w:ascii="宋体" w:hAnsi="宋体"/>
          <w:snapToGrid w:val="0"/>
          <w:color w:val="000000" w:themeColor="text1"/>
          <w:sz w:val="24"/>
          <w:u w:val="single"/>
          <w14:textFill>
            <w14:solidFill>
              <w14:schemeClr w14:val="tx1"/>
            </w14:solidFill>
          </w14:textFill>
        </w:rPr>
        <w:t>经开区143号路设计施工总承包</w:t>
      </w:r>
      <w:r>
        <w:rPr>
          <w:rFonts w:hint="eastAsia" w:ascii="宋体" w:hAnsi="宋体"/>
          <w:snapToGrid w:val="0"/>
          <w:color w:val="000000" w:themeColor="text1"/>
          <w:sz w:val="24"/>
          <w14:textFill>
            <w14:solidFill>
              <w14:schemeClr w14:val="tx1"/>
            </w14:solidFill>
          </w14:textFill>
        </w:rPr>
        <w:t>项目的</w:t>
      </w:r>
      <w:r>
        <w:rPr>
          <w:rFonts w:hint="eastAsia" w:ascii="宋体" w:hAnsi="宋体" w:cs="仿宋_GB2312"/>
          <w:color w:val="000000" w:themeColor="text1"/>
          <w:spacing w:val="-5"/>
          <w:sz w:val="24"/>
          <w:u w:val="single"/>
          <w14:textFill>
            <w14:solidFill>
              <w14:schemeClr w14:val="tx1"/>
            </w14:solidFill>
          </w14:textFill>
        </w:rPr>
        <w:t>设计工作</w:t>
      </w:r>
      <w:r>
        <w:rPr>
          <w:rFonts w:hint="eastAsia" w:ascii="宋体" w:hAnsi="宋体" w:cs="仿宋_GB2312"/>
          <w:color w:val="000000" w:themeColor="text1"/>
          <w:spacing w:val="-5"/>
          <w:sz w:val="24"/>
          <w14:textFill>
            <w14:solidFill>
              <w14:schemeClr w14:val="tx1"/>
            </w14:solidFill>
          </w14:textFill>
        </w:rPr>
        <w:t>，工程地点位于</w:t>
      </w:r>
      <w:r>
        <w:rPr>
          <w:rFonts w:hint="eastAsia" w:ascii="宋体" w:hAnsi="宋体" w:cs="仿宋_GB2312"/>
          <w:color w:val="000000" w:themeColor="text1"/>
          <w:spacing w:val="-5"/>
          <w:sz w:val="24"/>
          <w:u w:val="single"/>
          <w14:textFill>
            <w14:solidFill>
              <w14:schemeClr w14:val="tx1"/>
            </w14:solidFill>
          </w14:textFill>
        </w:rPr>
        <w:t xml:space="preserve"> 昆明经济技术开发区黄土坡片区</w:t>
      </w:r>
      <w:r>
        <w:rPr>
          <w:rFonts w:ascii="宋体" w:hAnsi="宋体" w:cs="仿宋_GB2312"/>
          <w:color w:val="000000" w:themeColor="text1"/>
          <w:spacing w:val="-5"/>
          <w:sz w:val="24"/>
          <w:u w:val="single"/>
          <w14:textFill>
            <w14:solidFill>
              <w14:schemeClr w14:val="tx1"/>
            </w14:solidFill>
          </w14:textFill>
        </w:rPr>
        <w:t xml:space="preserve"> </w:t>
      </w:r>
      <w:r>
        <w:rPr>
          <w:rFonts w:hint="eastAsia" w:ascii="宋体" w:hAnsi="宋体" w:cs="仿宋_GB2312"/>
          <w:color w:val="000000" w:themeColor="text1"/>
          <w:spacing w:val="-5"/>
          <w:sz w:val="24"/>
          <w14:textFill>
            <w14:solidFill>
              <w14:schemeClr w14:val="tx1"/>
            </w14:solidFill>
          </w14:textFill>
        </w:rPr>
        <w:t>。经双方协商一致，签订本合同，共同执行。</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一、工程概况</w:t>
      </w:r>
    </w:p>
    <w:p>
      <w:pPr>
        <w:spacing w:line="360" w:lineRule="auto"/>
        <w:ind w:firstLine="470" w:firstLineChars="196"/>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1.工程名称</w:t>
      </w:r>
      <w:r>
        <w:rPr>
          <w:rFonts w:hint="eastAsia"/>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经开区143号路设计施工总承包</w:t>
      </w:r>
      <w:r>
        <w:rPr>
          <w:rFonts w:hint="eastAsia"/>
          <w:color w:val="000000" w:themeColor="text1"/>
          <w:sz w:val="24"/>
          <w14:textFill>
            <w14:solidFill>
              <w14:schemeClr w14:val="tx1"/>
            </w14:solidFill>
          </w14:textFill>
        </w:rPr>
        <w:t>。</w:t>
      </w:r>
    </w:p>
    <w:p>
      <w:pPr>
        <w:spacing w:line="360" w:lineRule="auto"/>
        <w:ind w:firstLine="470" w:firstLineChars="196"/>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2.工程批准、核准或备案文号：</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项目概况：</w:t>
      </w:r>
    </w:p>
    <w:p>
      <w:pPr>
        <w:autoSpaceDE w:val="0"/>
        <w:autoSpaceDN w:val="0"/>
        <w:adjustRightInd w:val="0"/>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4．投资估算</w:t>
      </w:r>
      <w:r>
        <w:rPr>
          <w:rFonts w:hint="eastAsia" w:ascii="宋体" w:hAnsi="宋体"/>
          <w:color w:val="000000" w:themeColor="text1"/>
          <w:sz w:val="24"/>
          <w14:textFill>
            <w14:solidFill>
              <w14:schemeClr w14:val="tx1"/>
            </w14:solidFill>
          </w14:textFill>
        </w:rPr>
        <w:t>：</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二、工程范围与服务内容</w:t>
      </w:r>
    </w:p>
    <w:p>
      <w:pPr>
        <w:spacing w:line="360" w:lineRule="auto"/>
        <w:ind w:firstLine="470" w:firstLineChars="196"/>
        <w:rPr>
          <w:color w:val="000000" w:themeColor="text1"/>
          <w:sz w:val="24"/>
          <w:u w:val="single"/>
          <w14:textFill>
            <w14:solidFill>
              <w14:schemeClr w14:val="tx1"/>
            </w14:solidFill>
          </w14:textFill>
        </w:rPr>
      </w:pPr>
      <w:r>
        <w:rPr>
          <w:rFonts w:hint="eastAsia"/>
          <w:bCs/>
          <w:color w:val="000000" w:themeColor="text1"/>
          <w:sz w:val="24"/>
          <w14:textFill>
            <w14:solidFill>
              <w14:schemeClr w14:val="tx1"/>
            </w14:solidFill>
          </w14:textFill>
        </w:rPr>
        <w:t>工程设计服务内容：</w:t>
      </w:r>
      <w:r>
        <w:rPr>
          <w:rFonts w:hint="eastAsia"/>
          <w:color w:val="000000" w:themeColor="text1"/>
          <w:sz w:val="24"/>
          <w:u w:val="single"/>
          <w14:textFill>
            <w14:solidFill>
              <w14:schemeClr w14:val="tx1"/>
            </w14:solidFill>
          </w14:textFill>
        </w:rPr>
        <w:t>包括但不限于本项目的方案设计、初步设计（含概算编制）、施工图设计（含预算编制）等满足施工要求的设计内容，并配合完成工程设计有关报批、审批工作，完成初步设计和施工图设计阶段专项技术方案审查，完成全套设计成果资料制作，配合审图公司完成施工图审查，配合发包人报批报建、专家咨询、资料收集等相关工作，以及施工过程中的全过程设计服务及协调工作，工程质量缺陷责任期内的设计等后续跟踪服务。</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三、工程设计周期</w:t>
      </w:r>
    </w:p>
    <w:p>
      <w:pPr>
        <w:spacing w:line="360" w:lineRule="auto"/>
        <w:ind w:firstLine="470" w:firstLineChars="196"/>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计划开始设计日期：</w:t>
      </w:r>
    </w:p>
    <w:p>
      <w:pPr>
        <w:spacing w:line="360" w:lineRule="auto"/>
        <w:rPr>
          <w:rFonts w:ascii="宋体" w:hAnsi="宋体"/>
          <w:bCs/>
          <w:color w:val="000000" w:themeColor="text1"/>
          <w:sz w:val="24"/>
          <w14:textFill>
            <w14:solidFill>
              <w14:schemeClr w14:val="tx1"/>
            </w14:solidFill>
          </w14:textFill>
        </w:rPr>
      </w:pPr>
      <w:r>
        <w:rPr>
          <w:rFonts w:hint="eastAsia"/>
          <w:b/>
          <w:color w:val="000000" w:themeColor="text1"/>
          <w:sz w:val="30"/>
          <w:szCs w:val="30"/>
          <w14:textFill>
            <w14:solidFill>
              <w14:schemeClr w14:val="tx1"/>
            </w14:solidFill>
          </w14:textFill>
        </w:rPr>
        <w:t>四、合同价格形式与签约合同价</w:t>
      </w:r>
      <w:r>
        <w:rPr>
          <w:rFonts w:hint="eastAsia"/>
          <w:b/>
          <w:color w:val="000000" w:themeColor="text1"/>
          <w:sz w:val="30"/>
          <w:szCs w:val="30"/>
          <w14:textFill>
            <w14:solidFill>
              <w14:schemeClr w14:val="tx1"/>
            </w14:solidFill>
          </w14:textFill>
        </w:rPr>
        <w:tab/>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1.合同价格形式：</w:t>
      </w:r>
      <w:r>
        <w:rPr>
          <w:rFonts w:hint="eastAsia" w:ascii="宋体" w:hAnsi="宋体"/>
          <w:b/>
          <w:snapToGrid w:val="0"/>
          <w:color w:val="000000" w:themeColor="text1"/>
          <w:sz w:val="24"/>
          <w:u w:val="single"/>
          <w14:textFill>
            <w14:solidFill>
              <w14:schemeClr w14:val="tx1"/>
            </w14:solidFill>
          </w14:textFill>
        </w:rPr>
        <w:t>设计费（含税）为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暂定建安工程费（即暂定计费基数）</w:t>
      </w:r>
      <w:r>
        <w:rPr>
          <w:rFonts w:hint="eastAsia"/>
          <w:color w:val="000000" w:themeColor="text1"/>
          <w:sz w:val="24"/>
          <w14:textFill>
            <w14:solidFill>
              <w14:schemeClr w14:val="tx1"/>
            </w14:solidFill>
          </w14:textFill>
        </w:rPr>
        <w:t xml:space="preserve">：   </w:t>
      </w:r>
      <w:r>
        <w:rPr>
          <w:rFonts w:hint="eastAsia" w:ascii="宋体" w:hAnsi="宋体"/>
          <w:snapToGrid w:val="0"/>
          <w:color w:val="000000" w:themeColor="text1"/>
          <w:sz w:val="24"/>
          <w14:textFill>
            <w14:solidFill>
              <w14:schemeClr w14:val="tx1"/>
            </w14:solidFill>
          </w14:textFill>
        </w:rPr>
        <w:t>万元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设计费</w:t>
      </w:r>
      <w:r>
        <w:rPr>
          <w:rFonts w:hint="eastAsia" w:ascii="宋体" w:hAnsi="宋体"/>
          <w:color w:val="000000" w:themeColor="text1"/>
          <w:sz w:val="24"/>
          <w14:textFill>
            <w14:solidFill>
              <w14:schemeClr w14:val="tx1"/>
            </w14:solidFill>
          </w14:textFill>
        </w:rPr>
        <w:t>包含但不限于前期现场踏勘、初步设计（含概算编制）、施工图设计（含预算编制）及有关报批、审批手续及组织专家论证并通过专家评审、配合施工图审图公司审查、初设专家评审费、配合发包人报批报建、专家咨询费、资料收集、现场指导与监督等相关工作，以及项目施工过程中的全过程设计服务及协调工作，施工阶段设计人员驻场服务等（根据发包人所委托项目情况决定），</w:t>
      </w:r>
      <w:r>
        <w:rPr>
          <w:rFonts w:hint="eastAsia" w:ascii="宋体" w:hAnsi="宋体"/>
          <w:snapToGrid w:val="0"/>
          <w:color w:val="000000" w:themeColor="text1"/>
          <w:sz w:val="24"/>
          <w14:textFill>
            <w14:solidFill>
              <w14:schemeClr w14:val="tx1"/>
            </w14:solidFill>
          </w14:textFill>
        </w:rPr>
        <w:t>且</w:t>
      </w:r>
      <w:r>
        <w:rPr>
          <w:rFonts w:hint="eastAsia" w:ascii="宋体" w:hAnsi="宋体"/>
          <w:color w:val="000000" w:themeColor="text1"/>
          <w:sz w:val="24"/>
          <w14:textFill>
            <w14:solidFill>
              <w14:schemeClr w14:val="tx1"/>
            </w14:solidFill>
          </w14:textFill>
        </w:rPr>
        <w:t>包含本合同工作所需缴纳的一切税费。</w:t>
      </w:r>
      <w:r>
        <w:rPr>
          <w:rFonts w:hint="eastAsia" w:ascii="宋体" w:hAnsi="宋体"/>
          <w:snapToGrid w:val="0"/>
          <w:color w:val="000000" w:themeColor="text1"/>
          <w:sz w:val="24"/>
          <w14:textFill>
            <w14:solidFill>
              <w14:schemeClr w14:val="tx1"/>
            </w14:solidFill>
          </w14:textFill>
        </w:rPr>
        <w:t>合同履行期间，设计费综合费率不因项目规模调整、服务周期延长等任何因素而调整。</w:t>
      </w:r>
      <w:r>
        <w:rPr>
          <w:rFonts w:hint="eastAsia" w:ascii="宋体" w:hAnsi="宋体"/>
          <w:color w:val="000000" w:themeColor="text1"/>
          <w:sz w:val="24"/>
          <w14:textFill>
            <w14:solidFill>
              <w14:schemeClr w14:val="tx1"/>
            </w14:solidFill>
          </w14:textFill>
        </w:rPr>
        <w:t>除合同明示发包人应承担的费用外，发包人不再支付任何费用。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2.签约暂估合同价为：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人民币（大写）</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元）。</w:t>
      </w:r>
    </w:p>
    <w:p>
      <w:pPr>
        <w:spacing w:line="360" w:lineRule="auto"/>
        <w:rPr>
          <w:rFonts w:ascii="宋体" w:hAnsi="宋体"/>
          <w:b/>
          <w:color w:val="000000" w:themeColor="text1"/>
          <w:sz w:val="24"/>
          <w14:textFill>
            <w14:solidFill>
              <w14:schemeClr w14:val="tx1"/>
            </w14:solidFill>
          </w14:textFill>
        </w:rPr>
      </w:pPr>
      <w:r>
        <w:rPr>
          <w:rFonts w:hint="eastAsia"/>
          <w:b/>
          <w:color w:val="000000" w:themeColor="text1"/>
          <w:sz w:val="30"/>
          <w:szCs w:val="30"/>
          <w14:textFill>
            <w14:solidFill>
              <w14:schemeClr w14:val="tx1"/>
            </w14:solidFill>
          </w14:textFill>
        </w:rPr>
        <w:t>五、发包人代表与设计人项目负责人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发包人代表：</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设计人项目负责人：</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六、履约担保</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履约担保的形式：</w:t>
      </w:r>
      <w:r>
        <w:rPr>
          <w:rFonts w:hint="eastAsia" w:ascii="宋体" w:hAnsi="宋体"/>
          <w:color w:val="000000" w:themeColor="text1"/>
          <w:sz w:val="24"/>
          <w:u w:val="single"/>
          <w14:textFill>
            <w14:solidFill>
              <w14:schemeClr w14:val="tx1"/>
            </w14:solidFill>
          </w14:textFill>
        </w:rPr>
        <w:t>现金</w:t>
      </w:r>
      <w:r>
        <w:rPr>
          <w:rFonts w:ascii="宋体" w:hAnsi="宋体"/>
          <w:color w:val="000000" w:themeColor="text1"/>
          <w:sz w:val="24"/>
          <w:u w:val="single"/>
          <w14:textFill>
            <w14:solidFill>
              <w14:schemeClr w14:val="tx1"/>
            </w14:solidFill>
          </w14:textFill>
        </w:rPr>
        <w:t>/转账/支票/银行保函/保证保险</w:t>
      </w:r>
      <w:r>
        <w:rPr>
          <w:rFonts w:hint="eastAsia" w:ascii="宋体" w:hAnsi="宋体"/>
          <w:color w:val="000000" w:themeColor="text1"/>
          <w:sz w:val="24"/>
          <w:u w:val="single"/>
          <w14:textFill>
            <w14:solidFill>
              <w14:schemeClr w14:val="tx1"/>
            </w14:solidFill>
          </w14:textFill>
        </w:rPr>
        <w:t>，由设计人自主选择其中一种支付形式</w:t>
      </w:r>
      <w:r>
        <w:rPr>
          <w:rFonts w:ascii="宋体" w:hAnsi="宋体"/>
          <w:color w:val="000000" w:themeColor="text1"/>
          <w:sz w:val="24"/>
          <w:u w:val="single"/>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履约担保的金额：</w:t>
      </w:r>
      <w:r>
        <w:rPr>
          <w:rFonts w:hint="eastAsia" w:ascii="宋体" w:hAnsi="宋体"/>
          <w:color w:val="000000" w:themeColor="text1"/>
          <w:sz w:val="24"/>
          <w14:textFill>
            <w14:solidFill>
              <w14:schemeClr w14:val="tx1"/>
            </w14:solidFill>
          </w14:textFill>
        </w:rPr>
        <w:t>本合同签订后15个工作日内缴纳工程设计暂估合同价款累计金额的5%；</w:t>
      </w:r>
    </w:p>
    <w:p>
      <w:pPr>
        <w:spacing w:line="360" w:lineRule="auto"/>
        <w:rPr>
          <w:rFonts w:ascii="宋体" w:hAnsi="宋体"/>
          <w:bCs/>
          <w:color w:val="000000" w:themeColor="text1"/>
          <w:sz w:val="24"/>
          <w14:textFill>
            <w14:solidFill>
              <w14:schemeClr w14:val="tx1"/>
            </w14:solidFill>
          </w14:textFill>
        </w:rPr>
      </w:pPr>
      <w:r>
        <w:rPr>
          <w:rFonts w:hint="eastAsia"/>
          <w:b/>
          <w:color w:val="000000" w:themeColor="text1"/>
          <w:sz w:val="30"/>
          <w:szCs w:val="30"/>
          <w14:textFill>
            <w14:solidFill>
              <w14:schemeClr w14:val="tx1"/>
            </w14:solidFill>
          </w14:textFill>
        </w:rPr>
        <w:t>七、合同文件构成</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本协议书与下列文件一起构成合同文件：</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（1）专用合同条款及其附件；</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（2）通用合同条款；</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（3）中标通知书；</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（4）投标函及其附录（如有）；</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（5）发包人要求；</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（6）技术标准；</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（7）发包人提供的上一阶段图纸（如果有）；</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）其他合同文件。</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在合同履行过程中形成的与合同有关的文件均构成合同文件组成部分。</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上述各项合同文件包括合同当事人就该项合同文件所作出的补充和修改，属于同一类内容的文件，应以最新签署的为准。</w:t>
      </w:r>
    </w:p>
    <w:p>
      <w:pPr>
        <w:spacing w:line="360" w:lineRule="auto"/>
        <w:rPr>
          <w:rFonts w:ascii="宋体" w:hAnsi="宋体"/>
          <w:b/>
          <w:bCs/>
          <w:color w:val="000000" w:themeColor="text1"/>
          <w:sz w:val="24"/>
          <w14:textFill>
            <w14:solidFill>
              <w14:schemeClr w14:val="tx1"/>
            </w14:solidFill>
          </w14:textFill>
        </w:rPr>
      </w:pPr>
      <w:r>
        <w:rPr>
          <w:rFonts w:hint="eastAsia"/>
          <w:b/>
          <w:color w:val="000000" w:themeColor="text1"/>
          <w:sz w:val="30"/>
          <w:szCs w:val="30"/>
          <w14:textFill>
            <w14:solidFill>
              <w14:schemeClr w14:val="tx1"/>
            </w14:solidFill>
          </w14:textFill>
        </w:rPr>
        <w:t>八、承诺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1.发包人承诺按照法律规定履行项目审批手续，按照合同约定提供设计依据，并按合同约定的期限和方式支付合同价款。</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2.设计人承诺按照法律和技术标准规定及合同约定提供工程设计服务。</w:t>
      </w:r>
    </w:p>
    <w:p>
      <w:pPr>
        <w:spacing w:line="360" w:lineRule="auto"/>
        <w:rPr>
          <w:bCs/>
          <w:color w:val="000000" w:themeColor="text1"/>
          <w:sz w:val="24"/>
          <w14:textFill>
            <w14:solidFill>
              <w14:schemeClr w14:val="tx1"/>
            </w14:solidFill>
          </w14:textFill>
        </w:rPr>
      </w:pPr>
      <w:r>
        <w:rPr>
          <w:rFonts w:hint="eastAsia"/>
          <w:b/>
          <w:color w:val="000000" w:themeColor="text1"/>
          <w:sz w:val="30"/>
          <w:szCs w:val="30"/>
          <w14:textFill>
            <w14:solidFill>
              <w14:schemeClr w14:val="tx1"/>
            </w14:solidFill>
          </w14:textFill>
        </w:rPr>
        <w:t>九、词语含义</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本协议书中词语含义与第二部分通用合同条款中赋予的含义相同。</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十、签订地点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本合同在</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签订。</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十一、补充协议</w:t>
      </w:r>
    </w:p>
    <w:p>
      <w:pPr>
        <w:spacing w:line="360" w:lineRule="auto"/>
        <w:ind w:firstLine="480" w:firstLineChars="200"/>
        <w:rPr>
          <w:b/>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本合同如有未尽事宜，由双方协商达成补充协议，作为本合同的附件，与本合同有同等的效力。</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十二、合同生效</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本合同自</w:t>
      </w:r>
      <w:r>
        <w:rPr>
          <w:rFonts w:hint="eastAsia" w:ascii="宋体" w:hAnsi="宋体"/>
          <w:bCs/>
          <w:color w:val="000000" w:themeColor="text1"/>
          <w:sz w:val="24"/>
          <w:u w:val="single"/>
          <w14:textFill>
            <w14:solidFill>
              <w14:schemeClr w14:val="tx1"/>
            </w14:solidFill>
          </w14:textFill>
        </w:rPr>
        <w:t>发包人及设计人双方法定代表人或其委托代理人签字盖章，且设计人按要求缴纳履约担保后</w:t>
      </w:r>
      <w:r>
        <w:rPr>
          <w:rFonts w:hint="eastAsia"/>
          <w:bCs/>
          <w:color w:val="000000" w:themeColor="text1"/>
          <w:sz w:val="24"/>
          <w14:textFill>
            <w14:solidFill>
              <w14:schemeClr w14:val="tx1"/>
            </w14:solidFill>
          </w14:textFill>
        </w:rPr>
        <w:t>生效。</w:t>
      </w:r>
    </w:p>
    <w:p>
      <w:pPr>
        <w:spacing w:line="360" w:lineRule="auto"/>
        <w:rPr>
          <w:rFonts w:ascii="宋体" w:hAnsi="宋体"/>
          <w:bCs/>
          <w:color w:val="000000" w:themeColor="text1"/>
          <w:sz w:val="24"/>
          <w14:textFill>
            <w14:solidFill>
              <w14:schemeClr w14:val="tx1"/>
            </w14:solidFill>
          </w14:textFill>
        </w:rPr>
      </w:pPr>
      <w:r>
        <w:rPr>
          <w:rFonts w:hint="eastAsia"/>
          <w:b/>
          <w:color w:val="000000" w:themeColor="text1"/>
          <w:sz w:val="30"/>
          <w:szCs w:val="30"/>
          <w14:textFill>
            <w14:solidFill>
              <w14:schemeClr w14:val="tx1"/>
            </w14:solidFill>
          </w14:textFill>
        </w:rPr>
        <w:t>十三、合同份数</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本合同正本一式</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份、副本一式</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份，均具有同等法律效力，发包人执正本</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份、副本</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份，设计人执正本</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份、副本</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份。</w:t>
      </w:r>
    </w:p>
    <w:p>
      <w:pPr>
        <w:spacing w:line="360" w:lineRule="auto"/>
        <w:ind w:firstLine="602"/>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十四、其他</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本合同最终解释权归发包人所有。</w:t>
      </w: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left="447" w:leftChars="21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发包人：（盖章）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设计人：（盖章）</w:t>
      </w:r>
    </w:p>
    <w:p>
      <w:pPr>
        <w:spacing w:line="360" w:lineRule="auto"/>
        <w:ind w:left="447" w:leftChars="21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法定代表人或其委托代理人：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法定代表人或其委托代理人：</w:t>
      </w:r>
    </w:p>
    <w:p>
      <w:pPr>
        <w:spacing w:line="360" w:lineRule="auto"/>
        <w:ind w:left="447" w:leftChars="21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（签字）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（签字）</w:t>
      </w:r>
    </w:p>
    <w:p>
      <w:pPr>
        <w:tabs>
          <w:tab w:val="left" w:pos="4410"/>
        </w:tabs>
        <w:spacing w:line="360" w:lineRule="auto"/>
        <w:ind w:left="447" w:leftChars="21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组织机构代码：</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组织机构代码：</w:t>
      </w:r>
    </w:p>
    <w:p>
      <w:pPr>
        <w:tabs>
          <w:tab w:val="left" w:pos="4410"/>
        </w:tabs>
        <w:spacing w:line="360" w:lineRule="auto"/>
        <w:ind w:left="447" w:leftChars="213"/>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纳税人识别码：</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纳税人识别码：</w:t>
      </w:r>
    </w:p>
    <w:p>
      <w:pPr>
        <w:spacing w:line="360" w:lineRule="auto"/>
        <w:ind w:left="447" w:leftChars="21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地址：</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地址：</w:t>
      </w:r>
    </w:p>
    <w:p>
      <w:pPr>
        <w:spacing w:line="360" w:lineRule="auto"/>
        <w:ind w:left="447" w:leftChars="21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邮政编码：</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邮政编码：</w:t>
      </w:r>
    </w:p>
    <w:p>
      <w:pPr>
        <w:spacing w:line="360" w:lineRule="auto"/>
        <w:ind w:left="447" w:leftChars="21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 xml:space="preserve"> </w:t>
      </w:r>
    </w:p>
    <w:p>
      <w:pPr>
        <w:spacing w:line="360" w:lineRule="auto"/>
        <w:ind w:left="447" w:leftChars="21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委托代理人：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委托代理人：</w:t>
      </w:r>
      <w:r>
        <w:rPr>
          <w:color w:val="000000" w:themeColor="text1"/>
          <w:sz w:val="24"/>
          <w14:textFill>
            <w14:solidFill>
              <w14:schemeClr w14:val="tx1"/>
            </w14:solidFill>
          </w14:textFill>
        </w:rPr>
        <w:t xml:space="preserve"> </w:t>
      </w:r>
    </w:p>
    <w:p>
      <w:pPr>
        <w:spacing w:line="360" w:lineRule="auto"/>
        <w:ind w:left="447" w:leftChars="21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电话：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电话：</w:t>
      </w:r>
      <w:r>
        <w:rPr>
          <w:color w:val="000000" w:themeColor="text1"/>
          <w:sz w:val="24"/>
          <w14:textFill>
            <w14:solidFill>
              <w14:schemeClr w14:val="tx1"/>
            </w14:solidFill>
          </w14:textFill>
        </w:rPr>
        <w:t xml:space="preserve"> </w:t>
      </w:r>
    </w:p>
    <w:p>
      <w:pPr>
        <w:spacing w:line="360" w:lineRule="auto"/>
        <w:ind w:left="447" w:leftChars="21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传真：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电子信箱：</w:t>
      </w:r>
      <w:r>
        <w:rPr>
          <w:color w:val="000000" w:themeColor="text1"/>
          <w:sz w:val="24"/>
          <w14:textFill>
            <w14:solidFill>
              <w14:schemeClr w14:val="tx1"/>
            </w14:solidFill>
          </w14:textFill>
        </w:rPr>
        <w:t xml:space="preserve"> </w:t>
      </w:r>
    </w:p>
    <w:p>
      <w:pPr>
        <w:spacing w:line="360" w:lineRule="auto"/>
        <w:ind w:left="447" w:leftChars="213"/>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 xml:space="preserve">开户银行：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开户银行：</w:t>
      </w:r>
    </w:p>
    <w:p>
      <w:pPr>
        <w:spacing w:line="360" w:lineRule="auto"/>
        <w:ind w:left="447" w:leftChars="21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账号：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账号：</w:t>
      </w:r>
      <w:r>
        <w:rPr>
          <w:color w:val="000000" w:themeColor="text1"/>
          <w:sz w:val="24"/>
          <w14:textFill>
            <w14:solidFill>
              <w14:schemeClr w14:val="tx1"/>
            </w14:solidFill>
          </w14:textFill>
        </w:rPr>
        <w:t xml:space="preserve"> </w:t>
      </w:r>
    </w:p>
    <w:p>
      <w:pPr>
        <w:tabs>
          <w:tab w:val="left" w:pos="4111"/>
        </w:tabs>
        <w:spacing w:line="360" w:lineRule="auto"/>
        <w:ind w:left="447" w:leftChars="213"/>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时间：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年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月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日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时间：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年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月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jc w:val="center"/>
        <w:rPr>
          <w:rFonts w:ascii="宋体" w:hAnsi="宋体"/>
          <w:color w:val="000000" w:themeColor="text1"/>
          <w:sz w:val="32"/>
          <w:szCs w:val="28"/>
          <w14:textFill>
            <w14:solidFill>
              <w14:schemeClr w14:val="tx1"/>
            </w14:solidFill>
          </w14:textFill>
        </w:rPr>
      </w:pPr>
      <w:bookmarkStart w:id="531" w:name="_Toc117339998"/>
      <w:bookmarkStart w:id="532" w:name="_Toc5622475"/>
      <w:bookmarkStart w:id="533" w:name="_Toc524280137"/>
      <w:bookmarkStart w:id="534" w:name="_Toc116261080"/>
      <w:bookmarkStart w:id="535" w:name="_Toc136956351"/>
      <w:r>
        <w:rPr>
          <w:rFonts w:hint="eastAsia" w:ascii="宋体" w:hAnsi="宋体"/>
          <w:color w:val="000000" w:themeColor="text1"/>
          <w:sz w:val="32"/>
          <w:szCs w:val="28"/>
          <w14:textFill>
            <w14:solidFill>
              <w14:schemeClr w14:val="tx1"/>
            </w14:solidFill>
          </w14:textFill>
        </w:rPr>
        <w:t>第二部分 通用合同条款</w:t>
      </w:r>
      <w:bookmarkEnd w:id="531"/>
      <w:bookmarkEnd w:id="532"/>
      <w:bookmarkEnd w:id="533"/>
      <w:bookmarkEnd w:id="534"/>
      <w:bookmarkEnd w:id="535"/>
    </w:p>
    <w:p>
      <w:pPr>
        <w:spacing w:line="360" w:lineRule="auto"/>
        <w:ind w:firstLine="480" w:firstLineChars="200"/>
        <w:rPr>
          <w:color w:val="000000" w:themeColor="text1"/>
          <w:szCs w:val="21"/>
          <w14:textFill>
            <w14:solidFill>
              <w14:schemeClr w14:val="tx1"/>
            </w14:solidFill>
          </w14:textFill>
        </w:rPr>
      </w:pPr>
      <w:r>
        <w:rPr>
          <w:rFonts w:hint="eastAsia" w:ascii="宋体" w:hAnsi="宋体"/>
          <w:color w:val="000000" w:themeColor="text1"/>
          <w:sz w:val="24"/>
          <w:szCs w:val="30"/>
          <w14:textFill>
            <w14:solidFill>
              <w14:schemeClr w14:val="tx1"/>
            </w14:solidFill>
          </w14:textFill>
        </w:rPr>
        <w:t>执行《建设工程设计合同（示范文本）》(</w:t>
      </w:r>
      <w:r>
        <w:rPr>
          <w:rFonts w:ascii="宋体" w:hAnsi="宋体"/>
          <w:color w:val="000000" w:themeColor="text1"/>
          <w:sz w:val="24"/>
          <w:szCs w:val="30"/>
          <w14:textFill>
            <w14:solidFill>
              <w14:schemeClr w14:val="tx1"/>
            </w14:solidFill>
          </w14:textFill>
        </w:rPr>
        <w:t>GF—2015—0209</w:t>
      </w:r>
      <w:r>
        <w:rPr>
          <w:rFonts w:hint="eastAsia" w:ascii="宋体" w:hAnsi="宋体"/>
          <w:color w:val="000000" w:themeColor="text1"/>
          <w:sz w:val="24"/>
          <w:szCs w:val="30"/>
          <w14:textFill>
            <w14:solidFill>
              <w14:schemeClr w14:val="tx1"/>
            </w14:solidFill>
          </w14:textFill>
        </w:rPr>
        <w:t>)通用合同条款部分。</w:t>
      </w:r>
      <w:bookmarkStart w:id="536" w:name="_Toc5622476"/>
      <w:bookmarkStart w:id="537" w:name="_Toc524280138"/>
    </w:p>
    <w:p>
      <w:pPr>
        <w:spacing w:line="360" w:lineRule="auto"/>
        <w:ind w:firstLine="420" w:firstLineChars="200"/>
        <w:rPr>
          <w:color w:val="000000" w:themeColor="text1"/>
          <w:szCs w:val="21"/>
          <w14:textFill>
            <w14:solidFill>
              <w14:schemeClr w14:val="tx1"/>
            </w14:solidFill>
          </w14:textFill>
        </w:rPr>
      </w:pPr>
    </w:p>
    <w:p>
      <w:pPr>
        <w:pStyle w:val="6"/>
        <w:jc w:val="center"/>
        <w:rPr>
          <w:rFonts w:ascii="宋体" w:hAnsi="宋体"/>
          <w:color w:val="000000" w:themeColor="text1"/>
          <w:sz w:val="32"/>
          <w:szCs w:val="28"/>
          <w14:textFill>
            <w14:solidFill>
              <w14:schemeClr w14:val="tx1"/>
            </w14:solidFill>
          </w14:textFill>
        </w:rPr>
      </w:pPr>
      <w:bookmarkStart w:id="538" w:name="_Toc117339999"/>
      <w:bookmarkStart w:id="539" w:name="_Toc116261081"/>
      <w:bookmarkStart w:id="540" w:name="_Toc136956352"/>
      <w:r>
        <w:rPr>
          <w:rFonts w:hint="eastAsia" w:ascii="宋体" w:hAnsi="宋体"/>
          <w:color w:val="000000" w:themeColor="text1"/>
          <w:sz w:val="32"/>
          <w:szCs w:val="28"/>
          <w14:textFill>
            <w14:solidFill>
              <w14:schemeClr w14:val="tx1"/>
            </w14:solidFill>
          </w14:textFill>
        </w:rPr>
        <w:t>第三部分 专用合同条款</w:t>
      </w:r>
      <w:bookmarkEnd w:id="536"/>
      <w:bookmarkEnd w:id="537"/>
      <w:bookmarkEnd w:id="538"/>
      <w:bookmarkEnd w:id="539"/>
      <w:bookmarkEnd w:id="540"/>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1. 一般约定</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1.1 词语定义与解释</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1.1.1合同</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1.1.1.8 其他合同文件包括：</w:t>
      </w:r>
      <w:r>
        <w:rPr>
          <w:rFonts w:hint="eastAsia"/>
          <w:color w:val="000000" w:themeColor="text1"/>
          <w:sz w:val="24"/>
          <w:u w:val="single"/>
          <w14:textFill>
            <w14:solidFill>
              <w14:schemeClr w14:val="tx1"/>
            </w14:solidFill>
          </w14:textFill>
        </w:rPr>
        <w:t xml:space="preserve">（由发包人自行确定） </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1.3 法律</w:t>
      </w:r>
    </w:p>
    <w:p>
      <w:pPr>
        <w:autoSpaceDE w:val="0"/>
        <w:autoSpaceDN w:val="0"/>
        <w:adjustRightInd w:val="0"/>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适用于合同的其他规范性文件：</w:t>
      </w:r>
      <w:r>
        <w:rPr>
          <w:rFonts w:hint="eastAsia"/>
          <w:color w:val="000000" w:themeColor="text1"/>
          <w:sz w:val="24"/>
          <w:u w:val="single"/>
          <w14:textFill>
            <w14:solidFill>
              <w14:schemeClr w14:val="tx1"/>
            </w14:solidFill>
          </w14:textFill>
        </w:rPr>
        <w:t>设计图纸符合国家及云南省现行建设标准，验收规范及质量标准、技术规范及设计图纸深度要求，执行中华人民共和国建设部《中华人民共和国行政许可法》等国家及地方现行标准及规范</w:t>
      </w:r>
      <w:r>
        <w:rPr>
          <w:rFonts w:hint="eastAsia"/>
          <w:color w:val="000000" w:themeColor="text1"/>
          <w:sz w:val="24"/>
          <w14:textFill>
            <w14:solidFill>
              <w14:schemeClr w14:val="tx1"/>
            </w14:solidFill>
          </w14:textFill>
        </w:rPr>
        <w:t>。</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1.4 技术标准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1.4.1适用于工程的技术标准包括：</w:t>
      </w:r>
      <w:r>
        <w:rPr>
          <w:rFonts w:hint="eastAsia"/>
          <w:color w:val="000000" w:themeColor="text1"/>
          <w:sz w:val="24"/>
          <w:u w:val="single"/>
          <w14:textFill>
            <w14:solidFill>
              <w14:schemeClr w14:val="tx1"/>
            </w14:solidFill>
          </w14:textFill>
        </w:rPr>
        <w:t>工程设计的现行有效的国家标准、行业标准、工程所在地的地方性标准，以及相应的规范、规程等</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1.4.2 国外技术标准原文版本和中文译本的提供方：</w:t>
      </w:r>
      <w:r>
        <w:rPr>
          <w:rFonts w:hint="eastAsia"/>
          <w:color w:val="000000" w:themeColor="text1"/>
          <w:sz w:val="24"/>
          <w:u w:val="single"/>
          <w14:textFill>
            <w14:solidFill>
              <w14:schemeClr w14:val="tx1"/>
            </w14:solidFill>
          </w14:textFill>
        </w:rPr>
        <w:t>设计人</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提供国外技术标准的名称：</w:t>
      </w:r>
      <w:r>
        <w:rPr>
          <w:rFonts w:hint="eastAsia"/>
          <w:color w:val="000000" w:themeColor="text1"/>
          <w:sz w:val="24"/>
          <w:u w:val="single"/>
          <w14:textFill>
            <w14:solidFill>
              <w14:schemeClr w14:val="tx1"/>
            </w14:solidFill>
          </w14:textFill>
        </w:rPr>
        <w:t>按设计需要</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提供国外技术标准的份数：</w:t>
      </w:r>
      <w:r>
        <w:rPr>
          <w:rFonts w:hint="eastAsia"/>
          <w:color w:val="000000" w:themeColor="text1"/>
          <w:sz w:val="24"/>
          <w:u w:val="single"/>
          <w14:textFill>
            <w14:solidFill>
              <w14:schemeClr w14:val="tx1"/>
            </w14:solidFill>
          </w14:textFill>
        </w:rPr>
        <w:t>按设计需要</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提供国外技术标准的时间：</w:t>
      </w:r>
      <w:r>
        <w:rPr>
          <w:rFonts w:hint="eastAsia"/>
          <w:color w:val="000000" w:themeColor="text1"/>
          <w:sz w:val="24"/>
          <w:u w:val="single"/>
          <w14:textFill>
            <w14:solidFill>
              <w14:schemeClr w14:val="tx1"/>
            </w14:solidFill>
          </w14:textFill>
        </w:rPr>
        <w:t>按设计需要</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提供国外技术标准的费用承担：</w:t>
      </w:r>
      <w:r>
        <w:rPr>
          <w:rFonts w:hint="eastAsia"/>
          <w:color w:val="000000" w:themeColor="text1"/>
          <w:sz w:val="24"/>
          <w:u w:val="single"/>
          <w14:textFill>
            <w14:solidFill>
              <w14:schemeClr w14:val="tx1"/>
            </w14:solidFill>
          </w14:textFill>
        </w:rPr>
        <w:t>设计人自行承担</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1.4.3 发包人对工程的技术标准和功能要求的特殊要求：</w:t>
      </w:r>
      <w:r>
        <w:rPr>
          <w:rFonts w:hint="eastAsia"/>
          <w:color w:val="000000" w:themeColor="text1"/>
          <w:sz w:val="24"/>
          <w:u w:val="single"/>
          <w14:textFill>
            <w14:solidFill>
              <w14:schemeClr w14:val="tx1"/>
            </w14:solidFill>
          </w14:textFill>
        </w:rPr>
        <w:t>无</w:t>
      </w:r>
      <w:r>
        <w:rPr>
          <w:rFonts w:hint="eastAsia"/>
          <w:color w:val="000000" w:themeColor="text1"/>
          <w:sz w:val="24"/>
          <w14:textFill>
            <w14:solidFill>
              <w14:schemeClr w14:val="tx1"/>
            </w14:solidFill>
          </w14:textFill>
        </w:rPr>
        <w:t>。</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1.5 合同文件的优先顺序</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合同文件组成及优先顺序为：</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（1）本合同协议书；</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（2）中标通知书；</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（3）本合同专用条款及合同补充文件；</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（4）招标文件及其附件；</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（5）投标文件及其附件；</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（6）本合同通用条款；</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（7）标准、规范及有关技术文件；</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（8）其他合同文件</w:t>
      </w:r>
      <w:r>
        <w:rPr>
          <w:rFonts w:hint="eastAsia"/>
          <w:color w:val="000000" w:themeColor="text1"/>
          <w:sz w:val="24"/>
          <w14:textFill>
            <w14:solidFill>
              <w14:schemeClr w14:val="tx1"/>
            </w14:solidFill>
          </w14:textFill>
        </w:rPr>
        <w:t>。</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1.6 联络</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1.6.1 发包人和设计人应当在</w:t>
      </w:r>
      <w:r>
        <w:rPr>
          <w:rFonts w:hint="eastAsia"/>
          <w:color w:val="000000" w:themeColor="text1"/>
          <w:sz w:val="24"/>
          <w:u w:val="single"/>
          <w14:textFill>
            <w14:solidFill>
              <w14:schemeClr w14:val="tx1"/>
            </w14:solidFill>
          </w14:textFill>
        </w:rPr>
        <w:t xml:space="preserve">  7  </w:t>
      </w:r>
      <w:r>
        <w:rPr>
          <w:rFonts w:hint="eastAsia"/>
          <w:color w:val="000000" w:themeColor="text1"/>
          <w:sz w:val="24"/>
          <w14:textFill>
            <w14:solidFill>
              <w14:schemeClr w14:val="tx1"/>
            </w14:solidFill>
          </w14:textFill>
        </w:rPr>
        <w:t>天内将与合同有关的通知、批准、证明、证书、指示、指令、要求、请求、同意、确定和决定等书面函件送达对方当事人。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1.6.2 发包人和设计人联系信息</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发包人接收文件的地点：</w:t>
      </w:r>
      <w:r>
        <w:rPr>
          <w:rFonts w:hint="eastAsia"/>
          <w:color w:val="000000" w:themeColor="text1"/>
          <w:sz w:val="24"/>
          <w:u w:val="single"/>
          <w14:textFill>
            <w14:solidFill>
              <w14:schemeClr w14:val="tx1"/>
            </w14:solidFill>
          </w14:textFill>
        </w:rPr>
        <w:t xml:space="preserve">工地现场 </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发包人指定的接收人为：</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发包人指定的联系电话及传真号码：</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发包人指定的电子邮箱：</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设计人接收文件的地点：</w:t>
      </w:r>
      <w:r>
        <w:rPr>
          <w:rFonts w:hint="eastAsia"/>
          <w:color w:val="000000" w:themeColor="text1"/>
          <w:sz w:val="24"/>
          <w:u w:val="single"/>
          <w14:textFill>
            <w14:solidFill>
              <w14:schemeClr w14:val="tx1"/>
            </w14:solidFill>
          </w14:textFill>
        </w:rPr>
        <w:t xml:space="preserve">工地现场 </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设计人指定的接收人为：</w:t>
      </w:r>
      <w:r>
        <w:rPr>
          <w:rFonts w:hint="eastAsia"/>
          <w:color w:val="000000" w:themeColor="text1"/>
          <w:sz w:val="24"/>
          <w:u w:val="single"/>
          <w14:textFill>
            <w14:solidFill>
              <w14:schemeClr w14:val="tx1"/>
            </w14:solidFill>
          </w14:textFill>
        </w:rPr>
        <w:t>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设计人指定的联系电话及传真号码：</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设计人指定的电子邮箱：</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1.8 保密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保密期限：</w:t>
      </w:r>
      <w:r>
        <w:rPr>
          <w:rFonts w:hint="eastAsia"/>
          <w:color w:val="000000" w:themeColor="text1"/>
          <w:sz w:val="24"/>
          <w:u w:val="single"/>
          <w14:textFill>
            <w14:solidFill>
              <w14:schemeClr w14:val="tx1"/>
            </w14:solidFill>
          </w14:textFill>
        </w:rPr>
        <w:t>符合国家、地方及公司等相关规定</w:t>
      </w:r>
      <w:r>
        <w:rPr>
          <w:rFonts w:hint="eastAsia"/>
          <w:color w:val="000000" w:themeColor="text1"/>
          <w:sz w:val="24"/>
          <w14:textFill>
            <w14:solidFill>
              <w14:schemeClr w14:val="tx1"/>
            </w14:solidFill>
          </w14:textFill>
        </w:rPr>
        <w:t>。</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2. 发包人</w:t>
      </w:r>
    </w:p>
    <w:p>
      <w:pPr>
        <w:spacing w:line="360" w:lineRule="auto"/>
        <w:ind w:firstLine="480"/>
        <w:rPr>
          <w:color w:val="000000" w:themeColor="text1"/>
          <w:sz w:val="24"/>
          <w:u w:val="single"/>
          <w14:textFill>
            <w14:solidFill>
              <w14:schemeClr w14:val="tx1"/>
            </w14:solidFill>
          </w14:textFill>
        </w:rPr>
      </w:pPr>
      <w:r>
        <w:rPr>
          <w:rFonts w:hint="eastAsia"/>
          <w:b/>
          <w:color w:val="000000" w:themeColor="text1"/>
          <w:sz w:val="24"/>
          <w14:textFill>
            <w14:solidFill>
              <w14:schemeClr w14:val="tx1"/>
            </w14:solidFill>
          </w14:textFill>
        </w:rPr>
        <w:t>2.1发包人的一般义务：</w:t>
      </w:r>
      <w:r>
        <w:rPr>
          <w:rFonts w:hint="eastAsia"/>
          <w:color w:val="000000" w:themeColor="text1"/>
          <w:sz w:val="24"/>
          <w:u w:val="single"/>
          <w14:textFill>
            <w14:solidFill>
              <w14:schemeClr w14:val="tx1"/>
            </w14:solidFill>
          </w14:textFill>
        </w:rPr>
        <w:t xml:space="preserve">     /   。</w:t>
      </w:r>
    </w:p>
    <w:p>
      <w:pPr>
        <w:spacing w:line="360" w:lineRule="auto"/>
        <w:ind w:firstLine="48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2.1.3 发包人其他义务：</w:t>
      </w:r>
      <w:r>
        <w:rPr>
          <w:rFonts w:hint="eastAsia"/>
          <w:color w:val="000000" w:themeColor="text1"/>
          <w:sz w:val="24"/>
          <w:u w:val="single"/>
          <w14:textFill>
            <w14:solidFill>
              <w14:schemeClr w14:val="tx1"/>
            </w14:solidFill>
          </w14:textFill>
        </w:rPr>
        <w:t xml:space="preserve">     /   。</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2.2 发包人代表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发包人代表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姓名：</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职务：</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电子信箱：</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通信地址：</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发包人对发包人代表的授权范围如下：</w:t>
      </w:r>
      <w:r>
        <w:rPr>
          <w:rFonts w:hint="eastAsia"/>
          <w:color w:val="000000" w:themeColor="text1"/>
          <w:sz w:val="24"/>
          <w:u w:val="single"/>
          <w14:textFill>
            <w14:solidFill>
              <w14:schemeClr w14:val="tx1"/>
            </w14:solidFill>
          </w14:textFill>
        </w:rPr>
        <w:t>①解决设计人在设计中遇到的问题；②协调设计、施工各方关系。</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发包人更换发包人代表的，应当提前</w:t>
      </w:r>
      <w:r>
        <w:rPr>
          <w:rFonts w:hint="eastAsia"/>
          <w:color w:val="000000" w:themeColor="text1"/>
          <w:sz w:val="24"/>
          <w:u w:val="single"/>
          <w14:textFill>
            <w14:solidFill>
              <w14:schemeClr w14:val="tx1"/>
            </w14:solidFill>
          </w14:textFill>
        </w:rPr>
        <w:t xml:space="preserve">  7  </w:t>
      </w:r>
      <w:r>
        <w:rPr>
          <w:rFonts w:hint="eastAsia"/>
          <w:color w:val="000000" w:themeColor="text1"/>
          <w:sz w:val="24"/>
          <w14:textFill>
            <w14:solidFill>
              <w14:schemeClr w14:val="tx1"/>
            </w14:solidFill>
          </w14:textFill>
        </w:rPr>
        <w:t>天书面通知设计人。</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2.3 发包人决定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2.3.2 发包人应在</w:t>
      </w:r>
      <w:r>
        <w:rPr>
          <w:rFonts w:hint="eastAsia"/>
          <w:color w:val="000000" w:themeColor="text1"/>
          <w:sz w:val="24"/>
          <w:u w:val="single"/>
          <w14:textFill>
            <w14:solidFill>
              <w14:schemeClr w14:val="tx1"/>
            </w14:solidFill>
          </w14:textFill>
        </w:rPr>
        <w:t xml:space="preserve">  7  </w:t>
      </w:r>
      <w:r>
        <w:rPr>
          <w:rFonts w:hint="eastAsia"/>
          <w:color w:val="000000" w:themeColor="text1"/>
          <w:sz w:val="24"/>
          <w14:textFill>
            <w14:solidFill>
              <w14:schemeClr w14:val="tx1"/>
            </w14:solidFill>
          </w14:textFill>
        </w:rPr>
        <w:t>天内对设计人书面提出的事项作出书面决定。</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3. 设计人</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3.1 设计人一般义务</w:t>
      </w:r>
    </w:p>
    <w:p>
      <w:pPr>
        <w:spacing w:after="12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3.1.1 设计人</w:t>
      </w:r>
      <w:r>
        <w:rPr>
          <w:rFonts w:hint="eastAsia"/>
          <w:color w:val="000000" w:themeColor="text1"/>
          <w:sz w:val="24"/>
          <w:u w:val="single"/>
          <w14:textFill>
            <w14:solidFill>
              <w14:schemeClr w14:val="tx1"/>
            </w14:solidFill>
          </w14:textFill>
        </w:rPr>
        <w:t>需</w:t>
      </w:r>
      <w:r>
        <w:rPr>
          <w:rFonts w:hint="eastAsia"/>
          <w:color w:val="000000" w:themeColor="text1"/>
          <w:sz w:val="24"/>
          <w14:textFill>
            <w14:solidFill>
              <w14:schemeClr w14:val="tx1"/>
            </w14:solidFill>
          </w14:textFill>
        </w:rPr>
        <w:t>（需/不需）配合发包人办理有关许可、批准或备案手续。</w:t>
      </w:r>
    </w:p>
    <w:p>
      <w:pPr>
        <w:spacing w:after="12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3.1.3 设计人其他义务：</w:t>
      </w:r>
    </w:p>
    <w:p>
      <w:pPr>
        <w:spacing w:after="12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u w:val="single"/>
          <w14:textFill>
            <w14:solidFill>
              <w14:schemeClr w14:val="tx1"/>
            </w14:solidFill>
          </w14:textFill>
        </w:rPr>
        <w:t>设计人应按照国家技术规范、标准、规程及发包人提出的设计要求，进行工程设计，按合同规定的进度要求提交质量合格的设计资料，并对其负责。</w:t>
      </w:r>
    </w:p>
    <w:p>
      <w:pPr>
        <w:spacing w:after="12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color w:val="000000" w:themeColor="text1"/>
          <w:sz w:val="24"/>
          <w:u w:val="single"/>
          <w14:textFill>
            <w14:solidFill>
              <w14:schemeClr w14:val="tx1"/>
            </w14:solidFill>
          </w14:textFill>
        </w:rPr>
        <w:t>设计人交付设计资料及文件后，按规定参加有关的设计审查，并根据审查结论负责对不超出原定范围的内容做的调整补充。设计人按合同规定时限交付设计资料及文件，设计人须负责向发包人及施工单位进行设计交底、处理现场有关设计问题和参加竣工验收。</w:t>
      </w:r>
    </w:p>
    <w:p>
      <w:pPr>
        <w:spacing w:after="120"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（3）</w:t>
      </w:r>
      <w:r>
        <w:rPr>
          <w:rFonts w:hint="eastAsia"/>
          <w:color w:val="000000" w:themeColor="text1"/>
          <w:sz w:val="24"/>
          <w:u w:val="single"/>
          <w14:textFill>
            <w14:solidFill>
              <w14:schemeClr w14:val="tx1"/>
            </w14:solidFill>
          </w14:textFill>
        </w:rPr>
        <w:t>设计人在初步设计完成后，提交发包人全套初步设计成果文件（含概算）并协助发包人完成初步设计报批工作，设计人承担与此相关的费用。</w:t>
      </w:r>
    </w:p>
    <w:p>
      <w:pPr>
        <w:spacing w:after="120"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（4）设计人应负责工程的设计，并在除下列发包人应负责的部分外，对发包人要求（包括设计标准和计算）的其它内容的设计正确性负责。</w:t>
      </w:r>
    </w:p>
    <w:p>
      <w:pPr>
        <w:spacing w:after="120"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发包人应对由发包人提供的下列数据和资料的正确性负责。</w:t>
      </w:r>
    </w:p>
    <w:p>
      <w:pPr>
        <w:spacing w:after="120"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1）在合同中规定的由发包人负责的部分、数据和资料。</w:t>
      </w:r>
    </w:p>
    <w:p>
      <w:pPr>
        <w:spacing w:after="120"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2）对工程或其任何部分的预期目的的说明。</w:t>
      </w:r>
    </w:p>
    <w:p>
      <w:pPr>
        <w:spacing w:after="120"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3）竣工工程的验收标准。</w:t>
      </w:r>
    </w:p>
    <w:p>
      <w:pPr>
        <w:spacing w:after="120"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设计人应负责工程设计的组织、协调、进度控制等所有相关设计工作，对所有相关设计文件的正确性承担责任。并按合同中设计人文件的有关要求，提供全部的设计人设计文件最终版，并协助发包人完成施工图审查。</w:t>
      </w:r>
    </w:p>
    <w:p>
      <w:pPr>
        <w:spacing w:after="120"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6</w:t>
      </w:r>
      <w:r>
        <w:rPr>
          <w:rFonts w:hint="eastAsia"/>
          <w:color w:val="000000" w:themeColor="text1"/>
          <w:sz w:val="24"/>
          <w:u w:val="single"/>
          <w14:textFill>
            <w14:solidFill>
              <w14:schemeClr w14:val="tx1"/>
            </w14:solidFill>
          </w14:textFill>
        </w:rPr>
        <w:t>）设计人应当按照专用合同条款约定协助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spacing w:after="120"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（7）除专用合同条款对期限另有约定外，设计人应向发包人提交项目专业设计人员名单，其内容应包括建筑、结构、市政、园林景观、给排水、暖通、电气等专业负责人名单、专业、注册执业资格等。</w:t>
      </w:r>
    </w:p>
    <w:p>
      <w:pPr>
        <w:spacing w:after="120"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8）设计人委派到工程设计中的设计人员代表应相对稳定（驻现场时间不少于21天，设计人设计人员擅自离开施工现场的违约责任：承担1000元/次的违约金）。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pPr>
        <w:spacing w:after="120"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（9）发包人对于设计人主要设计人员的资格或能力有异议的，设计人应提供资料证明被质疑人员有能力完成其岗位工作或不存在发包人所质疑的情形。</w:t>
      </w:r>
    </w:p>
    <w:p>
      <w:pPr>
        <w:spacing w:after="120" w:line="360" w:lineRule="auto"/>
        <w:ind w:firstLine="480" w:firstLineChars="200"/>
        <w:rPr>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（10）</w:t>
      </w:r>
      <w:r>
        <w:rPr>
          <w:color w:val="000000" w:themeColor="text1"/>
          <w:sz w:val="24"/>
          <w:u w:val="single"/>
          <w14:textFill>
            <w14:solidFill>
              <w14:schemeClr w14:val="tx1"/>
            </w14:solidFill>
          </w14:textFill>
        </w:rPr>
        <w:t>设计人应保护发包人的知识产权，不得向第三人泄露、转让发包人提交的产品图纸等技术经济资料。如发生以上情况并给发包人造成经济损失，发包人有权向设计入索赔。</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3.2 项目负责人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3.2.1 项目负责人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姓名：</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执业资格及等级：</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注册证书号：</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电子信箱：</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通信地址：</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设计人对项目负责人的授权范围如下：</w:t>
      </w:r>
      <w:r>
        <w:rPr>
          <w:rFonts w:hint="eastAsia"/>
          <w:color w:val="000000" w:themeColor="text1"/>
          <w:sz w:val="24"/>
          <w:u w:val="single"/>
          <w14:textFill>
            <w14:solidFill>
              <w14:schemeClr w14:val="tx1"/>
            </w14:solidFill>
          </w14:textFill>
        </w:rPr>
        <w:t>代表设计单位负责履行合同，全权处理本项目中与设计有关的一切事宜</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3.2.2 设计人更换项目负责人的，应提前</w:t>
      </w:r>
      <w:r>
        <w:rPr>
          <w:rFonts w:hint="eastAsia"/>
          <w:color w:val="000000" w:themeColor="text1"/>
          <w:sz w:val="24"/>
          <w:u w:val="single"/>
          <w14:textFill>
            <w14:solidFill>
              <w14:schemeClr w14:val="tx1"/>
            </w14:solidFill>
          </w14:textFill>
        </w:rPr>
        <w:t xml:space="preserve">  7  </w:t>
      </w:r>
      <w:r>
        <w:rPr>
          <w:rFonts w:hint="eastAsia"/>
          <w:color w:val="000000" w:themeColor="text1"/>
          <w:sz w:val="24"/>
          <w14:textFill>
            <w14:solidFill>
              <w14:schemeClr w14:val="tx1"/>
            </w14:solidFill>
          </w14:textFill>
        </w:rPr>
        <w:t>天书面通知发包人。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设计人擅自更换项目负责人的违约责任：</w:t>
      </w:r>
      <w:r>
        <w:rPr>
          <w:rFonts w:hint="eastAsia"/>
          <w:color w:val="000000" w:themeColor="text1"/>
          <w:sz w:val="24"/>
          <w:u w:val="single"/>
          <w14:textFill>
            <w14:solidFill>
              <w14:schemeClr w14:val="tx1"/>
            </w14:solidFill>
          </w14:textFill>
        </w:rPr>
        <w:t>派驻本合同工程的项目负责人未经得发包人书面同意不得更换。擅自更换项目负责人及技术负责人的行为，视为违约，每人每次罚款人民币10万，并且发包人有权单方面终止合同</w:t>
      </w:r>
      <w:r>
        <w:rPr>
          <w:rFonts w:hint="eastAsia"/>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3.2.3 设计人应在收到书面更换通知后</w:t>
      </w:r>
      <w:r>
        <w:rPr>
          <w:rFonts w:hint="eastAsia"/>
          <w:color w:val="000000" w:themeColor="text1"/>
          <w:sz w:val="24"/>
          <w:u w:val="single"/>
          <w14:textFill>
            <w14:solidFill>
              <w14:schemeClr w14:val="tx1"/>
            </w14:solidFill>
          </w14:textFill>
        </w:rPr>
        <w:t xml:space="preserve">  7  </w:t>
      </w:r>
      <w:r>
        <w:rPr>
          <w:rFonts w:hint="eastAsia"/>
          <w:color w:val="000000" w:themeColor="text1"/>
          <w:sz w:val="24"/>
          <w14:textFill>
            <w14:solidFill>
              <w14:schemeClr w14:val="tx1"/>
            </w14:solidFill>
          </w14:textFill>
        </w:rPr>
        <w:t>天内更换项目负责人。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设计人无正当理由拒绝更换项目负责人的违约责任：</w:t>
      </w:r>
      <w:r>
        <w:rPr>
          <w:rFonts w:hint="eastAsia"/>
          <w:color w:val="000000" w:themeColor="text1"/>
          <w:sz w:val="24"/>
          <w:u w:val="single"/>
          <w14:textFill>
            <w14:solidFill>
              <w14:schemeClr w14:val="tx1"/>
            </w14:solidFill>
          </w14:textFill>
        </w:rPr>
        <w:t>设计人应于接到发包人通知后7天之内更换，否则承包人应按照10000元/天的标准向发包人支付违约金</w:t>
      </w:r>
      <w:r>
        <w:rPr>
          <w:rFonts w:hint="eastAsia"/>
          <w:color w:val="000000" w:themeColor="text1"/>
          <w:sz w:val="24"/>
          <w14:textFill>
            <w14:solidFill>
              <w14:schemeClr w14:val="tx1"/>
            </w14:solidFill>
          </w14:textFill>
        </w:rPr>
        <w:t>。</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3.3 设计人人员</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3.3.1 设计人提交项目管理机构及人员安排报告的期限：</w:t>
      </w:r>
      <w:r>
        <w:rPr>
          <w:rFonts w:hint="eastAsia"/>
          <w:color w:val="000000" w:themeColor="text1"/>
          <w:sz w:val="24"/>
          <w:u w:val="single"/>
          <w14:textFill>
            <w14:solidFill>
              <w14:schemeClr w14:val="tx1"/>
            </w14:solidFill>
          </w14:textFill>
        </w:rPr>
        <w:t>按照发包人要求</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3.3.3 设计人无正当理由拒绝撤换主要设计人员的违约责任：</w:t>
      </w:r>
      <w:r>
        <w:rPr>
          <w:rFonts w:hint="eastAsia"/>
          <w:color w:val="000000" w:themeColor="text1"/>
          <w:sz w:val="24"/>
          <w:u w:val="single"/>
          <w14:textFill>
            <w14:solidFill>
              <w14:schemeClr w14:val="tx1"/>
            </w14:solidFill>
          </w14:textFill>
        </w:rPr>
        <w:t>设计人应于接到发包人通知后7天之内更换，否则设计人应按照5000元/天的标准向发包人支付违约金</w:t>
      </w:r>
      <w:r>
        <w:rPr>
          <w:rFonts w:hint="eastAsia"/>
          <w:color w:val="000000" w:themeColor="text1"/>
          <w:sz w:val="24"/>
          <w14:textFill>
            <w14:solidFill>
              <w14:schemeClr w14:val="tx1"/>
            </w14:solidFill>
          </w14:textFill>
        </w:rPr>
        <w:t>。</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3.4 设计分包</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3.4.1 设计分包的一般约定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禁止设计分包的工程包括：</w:t>
      </w:r>
      <w:r>
        <w:rPr>
          <w:rFonts w:hint="eastAsia"/>
          <w:color w:val="000000" w:themeColor="text1"/>
          <w:sz w:val="24"/>
          <w:u w:val="single"/>
          <w14:textFill>
            <w14:solidFill>
              <w14:schemeClr w14:val="tx1"/>
            </w14:solidFill>
          </w14:textFill>
        </w:rPr>
        <w:t>主体及关键性工程禁止分包</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主体结构、关键性工作的范围：</w:t>
      </w:r>
      <w:r>
        <w:rPr>
          <w:rFonts w:hint="eastAsia"/>
          <w:color w:val="000000" w:themeColor="text1"/>
          <w:sz w:val="24"/>
          <w:u w:val="single"/>
          <w14:textFill>
            <w14:solidFill>
              <w14:schemeClr w14:val="tx1"/>
            </w14:solidFill>
          </w14:textFill>
        </w:rPr>
        <w:t>按照国家相关规定执行</w:t>
      </w:r>
      <w:r>
        <w:rPr>
          <w:rFonts w:hint="eastAsia"/>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3.4.2设计分包的确定</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允许分包的专业工程包括：</w:t>
      </w:r>
      <w:r>
        <w:rPr>
          <w:rFonts w:hint="eastAsia"/>
          <w:color w:val="000000" w:themeColor="text1"/>
          <w:sz w:val="24"/>
          <w:u w:val="single"/>
          <w14:textFill>
            <w14:solidFill>
              <w14:schemeClr w14:val="tx1"/>
            </w14:solidFill>
          </w14:textFill>
        </w:rPr>
        <w:t>按照国家相关规定执行</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其他关于分包的约定：</w:t>
      </w:r>
      <w:r>
        <w:rPr>
          <w:rFonts w:hint="eastAsia"/>
          <w:color w:val="000000" w:themeColor="text1"/>
          <w:sz w:val="24"/>
          <w:u w:val="single"/>
          <w14:textFill>
            <w14:solidFill>
              <w14:schemeClr w14:val="tx1"/>
            </w14:solidFill>
          </w14:textFill>
        </w:rPr>
        <w:t>接受分包的第三人资质要求：专业分包时，总包方应提前将分包单位的企业信息相关资料提交至发包人审核，经发包人审核确认并同意后，才能进行分包</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3.4.3 设计人向发包人提交有关分包人资料包括：</w:t>
      </w:r>
      <w:r>
        <w:rPr>
          <w:rFonts w:hint="eastAsia" w:ascii="宋体" w:hAnsi="宋体"/>
          <w:snapToGrid w:val="0"/>
          <w:color w:val="000000" w:themeColor="text1"/>
          <w:sz w:val="24"/>
          <w:u w:val="single"/>
          <w14:textFill>
            <w14:solidFill>
              <w14:schemeClr w14:val="tx1"/>
            </w14:solidFill>
          </w14:textFill>
        </w:rPr>
        <w:t>包含但不限于营业执照、资质证书、项目总负责人、各专业设计负责人；分包合同模板等资料</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3.4.4 分包工程设计费支付方式：</w:t>
      </w:r>
      <w:r>
        <w:rPr>
          <w:rFonts w:hint="eastAsia"/>
          <w:color w:val="000000" w:themeColor="text1"/>
          <w:sz w:val="24"/>
          <w:u w:val="single"/>
          <w14:textFill>
            <w14:solidFill>
              <w14:schemeClr w14:val="tx1"/>
            </w14:solidFill>
          </w14:textFill>
        </w:rPr>
        <w:t>由设计人自行负责</w:t>
      </w:r>
      <w:r>
        <w:rPr>
          <w:rFonts w:hint="eastAsia"/>
          <w:color w:val="000000" w:themeColor="text1"/>
          <w:sz w:val="24"/>
          <w14:textFill>
            <w14:solidFill>
              <w14:schemeClr w14:val="tx1"/>
            </w14:solidFill>
          </w14:textFill>
        </w:rPr>
        <w:t>。</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3.5 联合体</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3.5.4 发包人向联合体支付设计费用的方式：</w:t>
      </w:r>
      <w:r>
        <w:rPr>
          <w:rFonts w:hint="eastAsia"/>
          <w:color w:val="000000" w:themeColor="text1"/>
          <w:sz w:val="24"/>
          <w:u w:val="single"/>
          <w14:textFill>
            <w14:solidFill>
              <w14:schemeClr w14:val="tx1"/>
            </w14:solidFill>
          </w14:textFill>
        </w:rPr>
        <w:t>无</w:t>
      </w:r>
      <w:r>
        <w:rPr>
          <w:rFonts w:hint="eastAsia"/>
          <w:color w:val="000000" w:themeColor="text1"/>
          <w:sz w:val="24"/>
          <w14:textFill>
            <w14:solidFill>
              <w14:schemeClr w14:val="tx1"/>
            </w14:solidFill>
          </w14:textFill>
        </w:rPr>
        <w:t>。</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5. 工程设计要求</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5.1 工程设计一般要求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5.1.2.1工程设计的特殊标准或要求：</w:t>
      </w:r>
      <w:r>
        <w:rPr>
          <w:rFonts w:hint="eastAsia"/>
          <w:color w:val="000000" w:themeColor="text1"/>
          <w:sz w:val="24"/>
          <w:u w:val="single"/>
          <w14:textFill>
            <w14:solidFill>
              <w14:schemeClr w14:val="tx1"/>
            </w14:solidFill>
          </w14:textFill>
        </w:rPr>
        <w:t>执行通用条款，符合现行国家及行业相关规范及标准</w:t>
      </w:r>
      <w:r>
        <w:rPr>
          <w:rFonts w:hint="eastAsia"/>
          <w:color w:val="000000" w:themeColor="text1"/>
          <w:sz w:val="24"/>
          <w14:textFill>
            <w14:solidFill>
              <w14:schemeClr w14:val="tx1"/>
            </w14:solidFill>
          </w14:textFill>
        </w:rPr>
        <w:t>。</w:t>
      </w:r>
    </w:p>
    <w:p>
      <w:pPr>
        <w:spacing w:line="360" w:lineRule="auto"/>
        <w:ind w:firstLine="504" w:firstLineChars="21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5.1.2.2 工程设计适用的技术标准：</w:t>
      </w:r>
      <w:r>
        <w:rPr>
          <w:rFonts w:hint="eastAsia"/>
          <w:color w:val="000000" w:themeColor="text1"/>
          <w:sz w:val="24"/>
          <w:u w:val="single"/>
          <w14:textFill>
            <w14:solidFill>
              <w14:schemeClr w14:val="tx1"/>
            </w14:solidFill>
          </w14:textFill>
        </w:rPr>
        <w:t>工程的现行有效的国家标准、行业标准、工程所在地的地方性标准，以及相应的规范、规程等</w:t>
      </w:r>
      <w:r>
        <w:rPr>
          <w:rFonts w:hint="eastAsia"/>
          <w:color w:val="000000" w:themeColor="text1"/>
          <w:sz w:val="24"/>
          <w14:textFill>
            <w14:solidFill>
              <w14:schemeClr w14:val="tx1"/>
            </w14:solidFill>
          </w14:textFill>
        </w:rPr>
        <w:t>。</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5.3 工程设计文件的要求</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5.3.3 工程设计文件深度规定：</w:t>
      </w:r>
      <w:r>
        <w:rPr>
          <w:rFonts w:hint="eastAsia"/>
          <w:color w:val="000000" w:themeColor="text1"/>
          <w:sz w:val="24"/>
          <w:u w:val="single"/>
          <w14:textFill>
            <w14:solidFill>
              <w14:schemeClr w14:val="tx1"/>
            </w14:solidFill>
          </w14:textFill>
        </w:rPr>
        <w:t>满足相关的要求，并符合国家和行业现行有效的相关规定</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5.3.5 工程的合理使用寿命年限：</w:t>
      </w:r>
      <w:r>
        <w:rPr>
          <w:rFonts w:hint="eastAsia"/>
          <w:color w:val="000000" w:themeColor="text1"/>
          <w:sz w:val="24"/>
          <w:u w:val="single"/>
          <w14:textFill>
            <w14:solidFill>
              <w14:schemeClr w14:val="tx1"/>
            </w14:solidFill>
          </w14:textFill>
        </w:rPr>
        <w:t>满足国家标准</w:t>
      </w:r>
      <w:r>
        <w:rPr>
          <w:rFonts w:hint="eastAsia"/>
          <w:color w:val="000000" w:themeColor="text1"/>
          <w:sz w:val="24"/>
          <w14:textFill>
            <w14:solidFill>
              <w14:schemeClr w14:val="tx1"/>
            </w14:solidFill>
          </w14:textFill>
        </w:rPr>
        <w:t>。</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5.5</w:t>
      </w:r>
      <w:r>
        <w:rPr>
          <w:rFonts w:hint="eastAsia"/>
          <w:b/>
          <w:color w:val="000000" w:themeColor="text1"/>
          <w:sz w:val="24"/>
          <w14:textFill>
            <w14:solidFill>
              <w14:schemeClr w14:val="tx1"/>
            </w14:solidFill>
          </w14:textFill>
        </w:rPr>
        <w:t>其他要求</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5.5.1本项目采用限额设计，具体的设计标准及限额以发包人下发的书面设计任务单为准，设计人应通过价值工程分析，在优先满足功能品质和安全的情况下，降低成本提高价值，设计人提交的设计方案需符合项目实际要求，不得过度设计。因设计人的原因，造成设计方案对应的清单预算价超出经批准的项目可研批复中的相应费用，设计人应自行调整、优化设计方案，否则超出部分的设计费及相关工程费用均不予支付；且审核确认的施工图预算中的建安工程费不得超过经审核确认的初步设计概算中的建安工程费，经最终审计审定的结算建安工程费不得超过经审核确认施工图预算中的建安工程费，非设计人原因所致除外。</w:t>
      </w:r>
    </w:p>
    <w:p>
      <w:pPr>
        <w:spacing w:line="360" w:lineRule="auto"/>
        <w:ind w:firstLine="480" w:firstLineChars="200"/>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5.5.2</w:t>
      </w:r>
      <w:r>
        <w:rPr>
          <w:rFonts w:hint="eastAsia" w:ascii="宋体" w:hAnsi="宋体"/>
          <w:color w:val="000000" w:themeColor="text1"/>
          <w:sz w:val="24"/>
          <w:u w:val="single"/>
          <w14:textFill>
            <w14:solidFill>
              <w14:schemeClr w14:val="tx1"/>
            </w14:solidFill>
          </w14:textFill>
        </w:rPr>
        <w:t>设计人在项目施工图设计过程中，严格执行相关设计规范、标准，积极响应和服从发包人提出的限额设计、设计优化等要求开展设计工作，在施工过程中材料、设备的选型及材料价格确定等工作，接受发包人和发包人委托的第三方（监理、造价咨询单位）的监督与核实，严格控制项目工程造价。若因设计人原因造成最终结算审定金额超过经审核的施工图预算价中的建安工程费，超出限额的投资金额（含总建安费及综合单价限额）由设计人自行承担（施工图预算审核确认后，发包人另行委托增加的工作内容及因材料价格、人工费上涨引起的合同价增加除外）。</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 xml:space="preserve">   6. 工程设计进度与周期</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6.1 工程设计进度计划</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6.1.1 工程设计进度计划的编制</w:t>
      </w:r>
    </w:p>
    <w:p>
      <w:pPr>
        <w:autoSpaceDE w:val="0"/>
        <w:autoSpaceDN w:val="0"/>
        <w:adjustRightInd w:val="0"/>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合同当事人约定的工程设计进度计划提交的时间：</w:t>
      </w:r>
      <w:r>
        <w:rPr>
          <w:rFonts w:hint="eastAsia"/>
          <w:color w:val="000000" w:themeColor="text1"/>
          <w:sz w:val="24"/>
          <w:u w:val="single"/>
          <w14:textFill>
            <w14:solidFill>
              <w14:schemeClr w14:val="tx1"/>
            </w14:solidFill>
          </w14:textFill>
        </w:rPr>
        <w:t>按照发包人要求</w:t>
      </w:r>
      <w:r>
        <w:rPr>
          <w:rFonts w:hint="eastAsia"/>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合同当事人约定的工程设计进度计划应包括的内容：</w:t>
      </w:r>
      <w:r>
        <w:rPr>
          <w:rFonts w:hint="eastAsia"/>
          <w:color w:val="000000" w:themeColor="text1"/>
          <w:sz w:val="24"/>
          <w:u w:val="single"/>
          <w14:textFill>
            <w14:solidFill>
              <w14:schemeClr w14:val="tx1"/>
            </w14:solidFill>
          </w14:textFill>
        </w:rPr>
        <w:t>按照发包人要求</w:t>
      </w:r>
      <w:r>
        <w:rPr>
          <w:rFonts w:hint="eastAsia"/>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6.1.2工程设计进度计划的修订</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发包人在收到工程设计进度计划后确认或提出修改意见的期限：</w:t>
      </w:r>
      <w:r>
        <w:rPr>
          <w:rFonts w:hint="eastAsia"/>
          <w:color w:val="000000" w:themeColor="text1"/>
          <w:sz w:val="24"/>
          <w:u w:val="single"/>
          <w14:textFill>
            <w14:solidFill>
              <w14:schemeClr w14:val="tx1"/>
            </w14:solidFill>
          </w14:textFill>
        </w:rPr>
        <w:t xml:space="preserve"> 7天</w:t>
      </w:r>
      <w:r>
        <w:rPr>
          <w:rFonts w:hint="eastAsia"/>
          <w:color w:val="000000" w:themeColor="text1"/>
          <w:sz w:val="24"/>
          <w14:textFill>
            <w14:solidFill>
              <w14:schemeClr w14:val="tx1"/>
            </w14:solidFill>
          </w14:textFill>
        </w:rPr>
        <w:t>。</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6.3 工程设计进度延误</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6.3.1 因发包人原因导致工程设计进度延误</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（4）因发包人原因导致工程设计进度延误的其他情形：</w:t>
      </w:r>
      <w:r>
        <w:rPr>
          <w:rFonts w:hint="eastAsia"/>
          <w:color w:val="000000" w:themeColor="text1"/>
          <w:sz w:val="24"/>
          <w:u w:val="single"/>
          <w14:textFill>
            <w14:solidFill>
              <w14:schemeClr w14:val="tx1"/>
            </w14:solidFill>
          </w14:textFill>
        </w:rPr>
        <w:t>无</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设计人应在发生进度延误的情形后</w:t>
      </w:r>
      <w:r>
        <w:rPr>
          <w:rFonts w:hint="eastAsia"/>
          <w:color w:val="000000" w:themeColor="text1"/>
          <w:sz w:val="24"/>
          <w:u w:val="single"/>
          <w14:textFill>
            <w14:solidFill>
              <w14:schemeClr w14:val="tx1"/>
            </w14:solidFill>
          </w14:textFill>
        </w:rPr>
        <w:t xml:space="preserve"> 2 </w:t>
      </w:r>
      <w:r>
        <w:rPr>
          <w:rFonts w:hint="eastAsia"/>
          <w:color w:val="000000" w:themeColor="text1"/>
          <w:sz w:val="24"/>
          <w14:textFill>
            <w14:solidFill>
              <w14:schemeClr w14:val="tx1"/>
            </w14:solidFill>
          </w14:textFill>
        </w:rPr>
        <w:t>天内向发包人发出要求延期的书面通知，在发生该情形后</w:t>
      </w:r>
      <w:r>
        <w:rPr>
          <w:rFonts w:hint="eastAsia"/>
          <w:color w:val="000000" w:themeColor="text1"/>
          <w:sz w:val="24"/>
          <w:u w:val="single"/>
          <w14:textFill>
            <w14:solidFill>
              <w14:schemeClr w14:val="tx1"/>
            </w14:solidFill>
          </w14:textFill>
        </w:rPr>
        <w:t xml:space="preserve"> 1 </w:t>
      </w:r>
      <w:r>
        <w:rPr>
          <w:rFonts w:hint="eastAsia"/>
          <w:color w:val="000000" w:themeColor="text1"/>
          <w:sz w:val="24"/>
          <w14:textFill>
            <w14:solidFill>
              <w14:schemeClr w14:val="tx1"/>
            </w14:solidFill>
          </w14:textFill>
        </w:rPr>
        <w:t>天内提交要求延期的详细说明。</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发包人收到设计人要求延期的详细说明后，应在</w:t>
      </w:r>
      <w:r>
        <w:rPr>
          <w:rFonts w:hint="eastAsia"/>
          <w:color w:val="000000" w:themeColor="text1"/>
          <w:sz w:val="24"/>
          <w:u w:val="single"/>
          <w14:textFill>
            <w14:solidFill>
              <w14:schemeClr w14:val="tx1"/>
            </w14:solidFill>
          </w14:textFill>
        </w:rPr>
        <w:t xml:space="preserve"> 2 </w:t>
      </w:r>
      <w:r>
        <w:rPr>
          <w:rFonts w:hint="eastAsia"/>
          <w:color w:val="000000" w:themeColor="text1"/>
          <w:sz w:val="24"/>
          <w14:textFill>
            <w14:solidFill>
              <w14:schemeClr w14:val="tx1"/>
            </w14:solidFill>
          </w14:textFill>
        </w:rPr>
        <w:t>天内进行审查并书面答复。</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6.5 提前交付工程设计文件</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6.5.2 提前交付工程设计文件的奖励：</w:t>
      </w:r>
      <w:r>
        <w:rPr>
          <w:rFonts w:hint="eastAsia"/>
          <w:color w:val="000000" w:themeColor="text1"/>
          <w:sz w:val="24"/>
          <w:u w:val="single"/>
          <w14:textFill>
            <w14:solidFill>
              <w14:schemeClr w14:val="tx1"/>
            </w14:solidFill>
          </w14:textFill>
        </w:rPr>
        <w:t>无</w:t>
      </w:r>
      <w:r>
        <w:rPr>
          <w:rFonts w:hint="eastAsia"/>
          <w:color w:val="000000" w:themeColor="text1"/>
          <w:sz w:val="24"/>
          <w14:textFill>
            <w14:solidFill>
              <w14:schemeClr w14:val="tx1"/>
            </w14:solidFill>
          </w14:textFill>
        </w:rPr>
        <w:t>。</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7．工程设计文件交付</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7.1 工程设计文件交付的内容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7.1.2 发包人要求设计人提交电子版、纸质版设计文件的具体形式为：</w:t>
      </w:r>
      <w:r>
        <w:rPr>
          <w:rFonts w:hint="eastAsia"/>
          <w:color w:val="000000" w:themeColor="text1"/>
          <w:sz w:val="24"/>
          <w:u w:val="single"/>
          <w14:textFill>
            <w14:solidFill>
              <w14:schemeClr w14:val="tx1"/>
            </w14:solidFill>
          </w14:textFill>
        </w:rPr>
        <w:t>方案设计、初步设计（含概算）、施工图设计（含预算）成果资料电子版（CAD格式、PDF格式等），纸质版20</w:t>
      </w:r>
      <w:r>
        <w:rPr>
          <w:color w:val="000000" w:themeColor="text1"/>
          <w:sz w:val="24"/>
          <w:u w:val="single"/>
          <w14:textFill>
            <w14:solidFill>
              <w14:schemeClr w14:val="tx1"/>
            </w14:solidFill>
          </w14:textFill>
        </w:rPr>
        <w:t>套</w:t>
      </w:r>
      <w:r>
        <w:rPr>
          <w:rFonts w:hint="eastAsia"/>
          <w:color w:val="000000" w:themeColor="text1"/>
          <w:sz w:val="24"/>
          <w14:textFill>
            <w14:solidFill>
              <w14:schemeClr w14:val="tx1"/>
            </w14:solidFill>
          </w14:textFill>
        </w:rPr>
        <w:t>。</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8. 工程设计文件审查</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8.1 发包人对设计人的设计文件审查期限不超过</w:t>
      </w:r>
      <w:r>
        <w:rPr>
          <w:rFonts w:hint="eastAsia"/>
          <w:color w:val="000000" w:themeColor="text1"/>
          <w:sz w:val="24"/>
          <w:u w:val="single"/>
          <w14:textFill>
            <w14:solidFill>
              <w14:schemeClr w14:val="tx1"/>
            </w14:solidFill>
          </w14:textFill>
        </w:rPr>
        <w:t xml:space="preserve">  5  </w:t>
      </w:r>
      <w:r>
        <w:rPr>
          <w:rFonts w:hint="eastAsia"/>
          <w:color w:val="000000" w:themeColor="text1"/>
          <w:sz w:val="24"/>
          <w14:textFill>
            <w14:solidFill>
              <w14:schemeClr w14:val="tx1"/>
            </w14:solidFill>
          </w14:textFill>
        </w:rPr>
        <w:t>天。</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8.3发包人应在审查同意设计人的工程设计文件后在</w:t>
      </w:r>
      <w:r>
        <w:rPr>
          <w:rFonts w:hint="eastAsia"/>
          <w:color w:val="000000" w:themeColor="text1"/>
          <w:sz w:val="24"/>
          <w:u w:val="single"/>
          <w14:textFill>
            <w14:solidFill>
              <w14:schemeClr w14:val="tx1"/>
            </w14:solidFill>
          </w14:textFill>
        </w:rPr>
        <w:t xml:space="preserve"> 5 </w:t>
      </w:r>
      <w:r>
        <w:rPr>
          <w:rFonts w:hint="eastAsia"/>
          <w:color w:val="000000" w:themeColor="text1"/>
          <w:sz w:val="24"/>
          <w14:textFill>
            <w14:solidFill>
              <w14:schemeClr w14:val="tx1"/>
            </w14:solidFill>
          </w14:textFill>
        </w:rPr>
        <w:t>天内，向政府有关部门报送工程设计文件。</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8.4 工程设计审查形式及时间安排：</w:t>
      </w:r>
      <w:r>
        <w:rPr>
          <w:rFonts w:hint="eastAsia"/>
          <w:color w:val="000000" w:themeColor="text1"/>
          <w:sz w:val="24"/>
          <w:u w:val="single"/>
          <w14:textFill>
            <w14:solidFill>
              <w14:schemeClr w14:val="tx1"/>
            </w14:solidFill>
          </w14:textFill>
        </w:rPr>
        <w:t>按发包人要求，相关费用（会议费、专家评审费等）由设计人承担</w:t>
      </w:r>
      <w:r>
        <w:rPr>
          <w:rFonts w:hint="eastAsia"/>
          <w:color w:val="000000" w:themeColor="text1"/>
          <w:sz w:val="24"/>
          <w14:textFill>
            <w14:solidFill>
              <w14:schemeClr w14:val="tx1"/>
            </w14:solidFill>
          </w14:textFill>
        </w:rPr>
        <w:t>。</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9. 施工现场配合服务</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9.1 发包人为设计人派赴现场的工作人员提供便利条件的内容包括：</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 </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9.2 设计人应当在交付施工图设计文件并经审查合格后</w:t>
      </w:r>
      <w:r>
        <w:rPr>
          <w:rFonts w:hint="eastAsia"/>
          <w:color w:val="000000" w:themeColor="text1"/>
          <w:sz w:val="24"/>
          <w:u w:val="single"/>
          <w14:textFill>
            <w14:solidFill>
              <w14:schemeClr w14:val="tx1"/>
            </w14:solidFill>
          </w14:textFill>
        </w:rPr>
        <w:t xml:space="preserve"> 2</w:t>
      </w:r>
      <w:r>
        <w:rPr>
          <w:rFonts w:hint="eastAsia"/>
          <w:color w:val="000000" w:themeColor="text1"/>
          <w:sz w:val="24"/>
          <w14:textFill>
            <w14:solidFill>
              <w14:schemeClr w14:val="tx1"/>
            </w14:solidFill>
          </w14:textFill>
        </w:rPr>
        <w:t>天内提供施工现场配合服务。</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10. 合同价款与支付</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10.2 合同价格形式</w:t>
      </w:r>
    </w:p>
    <w:p>
      <w:pPr>
        <w:spacing w:before="120" w:after="120" w:line="360" w:lineRule="auto"/>
        <w:ind w:firstLine="482" w:firstLineChars="200"/>
        <w:rPr>
          <w:color w:val="000000" w:themeColor="text1"/>
          <w:sz w:val="24"/>
          <w14:textFill>
            <w14:solidFill>
              <w14:schemeClr w14:val="tx1"/>
            </w14:solidFill>
          </w14:textFill>
        </w:rPr>
      </w:pPr>
      <w:r>
        <w:rPr>
          <w:rFonts w:hint="eastAsia" w:ascii="宋体" w:hAnsi="宋体"/>
          <w:b/>
          <w:snapToGrid w:val="0"/>
          <w:color w:val="000000" w:themeColor="text1"/>
          <w:sz w:val="24"/>
          <w:u w:val="single"/>
          <w14:textFill>
            <w14:solidFill>
              <w14:schemeClr w14:val="tx1"/>
            </w14:solidFill>
          </w14:textFill>
        </w:rPr>
        <w:t>设计费（含税）为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before="120" w:after="12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签约暂估合同价为人民币</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（大写）</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元）。</w:t>
      </w:r>
    </w:p>
    <w:p>
      <w:pPr>
        <w:spacing w:before="120" w:after="120"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单个项目</w:t>
      </w:r>
      <w:r>
        <w:rPr>
          <w:rFonts w:hint="eastAsia" w:ascii="宋体" w:hAnsi="宋体"/>
          <w:snapToGrid w:val="0"/>
          <w:color w:val="000000" w:themeColor="text1"/>
          <w:sz w:val="24"/>
          <w14:textFill>
            <w14:solidFill>
              <w14:schemeClr w14:val="tx1"/>
            </w14:solidFill>
          </w14:textFill>
        </w:rPr>
        <w:t>设计费包括其设计全过程的一切费用，且包含所需缴纳的一切税费，不得以任何理由予以增加，合同履行期间，设计费综合费率不因项目规模调整、服务周期延长等任何因素而调整。</w:t>
      </w:r>
      <w:r>
        <w:rPr>
          <w:rFonts w:hint="eastAsia"/>
          <w:color w:val="000000" w:themeColor="text1"/>
          <w:sz w:val="24"/>
          <w14:textFill>
            <w14:solidFill>
              <w14:schemeClr w14:val="tx1"/>
            </w14:solidFill>
          </w14:textFill>
        </w:rPr>
        <w:t>除合同明示发包人应承担的费用外，发包人不再支付任何费用。</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10.3定金或预付款</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10.3.1定金或预付款的比例</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定金的比例</w:t>
      </w:r>
      <w:r>
        <w:rPr>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或预付款的比例</w:t>
      </w:r>
      <w:r>
        <w:rPr>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10.3.2定金或预付款的支付</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定金或预付款的支付时间：</w:t>
      </w:r>
      <w:r>
        <w:rPr>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，但最迟应在开始设计通知载明的开始设计日期</w:t>
      </w:r>
      <w:r>
        <w:rPr>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天前支付。</w:t>
      </w:r>
    </w:p>
    <w:p>
      <w:pPr>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10.4进度款支付</w:t>
      </w:r>
    </w:p>
    <w:p>
      <w:pPr>
        <w:pStyle w:val="2"/>
        <w:spacing w:line="360" w:lineRule="auto"/>
        <w:ind w:left="420"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本工程工程款和设计费由联合体牵头单位向发包人申请支付。发包人根据工程进度和设计进度向联合体牵头单位进行支付。</w:t>
      </w:r>
    </w:p>
    <w:p>
      <w:pPr>
        <w:spacing w:line="360" w:lineRule="auto"/>
        <w:ind w:firstLine="448" w:firstLineChars="18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10.4.1</w:t>
      </w:r>
      <w:r>
        <w:rPr>
          <w:rFonts w:hint="eastAsia" w:ascii="宋体" w:hAnsi="宋体" w:cs="宋体"/>
          <w:color w:val="000000" w:themeColor="text1"/>
          <w:sz w:val="24"/>
          <w14:textFill>
            <w14:solidFill>
              <w14:schemeClr w14:val="tx1"/>
            </w14:solidFill>
          </w14:textFill>
        </w:rPr>
        <w:t>初步设计完成后支付</w:t>
      </w:r>
      <w:r>
        <w:rPr>
          <w:rFonts w:ascii="宋体" w:hAnsi="宋体" w:cs="宋体"/>
          <w:color w:val="000000" w:themeColor="text1"/>
          <w:sz w:val="24"/>
          <w14:textFill>
            <w14:solidFill>
              <w14:schemeClr w14:val="tx1"/>
            </w14:solidFill>
          </w14:textFill>
        </w:rPr>
        <w:t>设计</w:t>
      </w:r>
      <w:r>
        <w:rPr>
          <w:rFonts w:hint="eastAsia" w:ascii="宋体" w:hAnsi="宋体" w:cs="宋体"/>
          <w:color w:val="000000" w:themeColor="text1"/>
          <w:sz w:val="24"/>
          <w14:textFill>
            <w14:solidFill>
              <w14:schemeClr w14:val="tx1"/>
            </w14:solidFill>
          </w14:textFill>
        </w:rPr>
        <w:t>结算</w:t>
      </w:r>
      <w:r>
        <w:rPr>
          <w:rFonts w:ascii="宋体" w:hAnsi="宋体" w:cs="宋体"/>
          <w:color w:val="000000" w:themeColor="text1"/>
          <w:sz w:val="24"/>
          <w14:textFill>
            <w14:solidFill>
              <w14:schemeClr w14:val="tx1"/>
            </w14:solidFill>
          </w14:textFill>
        </w:rPr>
        <w:t>费的</w:t>
      </w: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工程竣工验收合格后支付至设计结算费的80%；工程缺陷责任期满且无工程质量缺陷或按合同履行完相关质量缺陷责任后，支付剩余设计结算费</w:t>
      </w:r>
      <w:r>
        <w:rPr>
          <w:rFonts w:hint="eastAsia" w:ascii="宋体" w:hAnsi="宋体"/>
          <w:color w:val="000000" w:themeColor="text1"/>
          <w:sz w:val="24"/>
          <w14:textFill>
            <w14:solidFill>
              <w14:schemeClr w14:val="tx1"/>
            </w14:solidFill>
          </w14:textFill>
        </w:rPr>
        <w:t>。</w:t>
      </w:r>
    </w:p>
    <w:p>
      <w:pPr>
        <w:spacing w:line="360" w:lineRule="auto"/>
        <w:ind w:firstLine="424" w:firstLineChars="177"/>
        <w:rPr>
          <w:rFonts w:ascii="Times New Roman" w:hAnsi="Times New Roman"/>
          <w:color w:val="000000" w:themeColor="text1"/>
          <w:sz w:val="24"/>
          <w:szCs w:val="20"/>
          <w14:textFill>
            <w14:solidFill>
              <w14:schemeClr w14:val="tx1"/>
            </w14:solidFill>
          </w14:textFill>
        </w:rPr>
      </w:pPr>
      <w:r>
        <w:rPr>
          <w:rFonts w:ascii="Times New Roman" w:hAnsi="Times New Roman"/>
          <w:color w:val="000000" w:themeColor="text1"/>
          <w:sz w:val="24"/>
          <w:szCs w:val="20"/>
          <w14:textFill>
            <w14:solidFill>
              <w14:schemeClr w14:val="tx1"/>
            </w14:solidFill>
          </w14:textFill>
        </w:rPr>
        <w:t>10.5</w:t>
      </w:r>
      <w:r>
        <w:rPr>
          <w:rFonts w:hint="eastAsia" w:ascii="Times New Roman" w:hAnsi="Times New Roman"/>
          <w:color w:val="000000" w:themeColor="text1"/>
          <w:sz w:val="24"/>
          <w:szCs w:val="20"/>
          <w14:textFill>
            <w14:solidFill>
              <w14:schemeClr w14:val="tx1"/>
            </w14:solidFill>
          </w14:textFill>
        </w:rPr>
        <w:t>合同价款结算</w:t>
      </w:r>
    </w:p>
    <w:p>
      <w:pPr>
        <w:adjustRightInd w:val="0"/>
        <w:snapToGrid w:val="0"/>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本项目可以根据实际情况分阶段、分批次单独结算。</w:t>
      </w:r>
    </w:p>
    <w:p>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olor w:val="000000" w:themeColor="text1"/>
          <w:sz w:val="24"/>
          <w:u w:val="single"/>
          <w14:textFill>
            <w14:solidFill>
              <w14:schemeClr w14:val="tx1"/>
            </w14:solidFill>
          </w14:textFill>
        </w:rPr>
        <w:t>设计费用以</w:t>
      </w:r>
      <w:r>
        <w:rPr>
          <w:rFonts w:hint="eastAsia" w:ascii="宋体" w:hAnsi="宋体" w:cs="宋体"/>
          <w:color w:val="000000" w:themeColor="text1"/>
          <w:sz w:val="24"/>
          <w:u w:val="single"/>
          <w14:textFill>
            <w14:solidFill>
              <w14:schemeClr w14:val="tx1"/>
            </w14:solidFill>
          </w14:textFill>
        </w:rPr>
        <w:t>相关审计单位审定建安工程费</w:t>
      </w:r>
      <w:r>
        <w:rPr>
          <w:rFonts w:ascii="宋体" w:hAnsi="宋体"/>
          <w:color w:val="000000" w:themeColor="text1"/>
          <w:sz w:val="24"/>
          <w:u w:val="single"/>
          <w14:textFill>
            <w14:solidFill>
              <w14:schemeClr w14:val="tx1"/>
            </w14:solidFill>
          </w14:textFill>
        </w:rPr>
        <w:t>×综合费率进行计取结算</w:t>
      </w:r>
      <w:r>
        <w:rPr>
          <w:rFonts w:hint="eastAsia" w:ascii="宋体" w:hAnsi="宋体"/>
          <w:color w:val="000000" w:themeColor="text1"/>
          <w:sz w:val="24"/>
          <w:u w:val="single"/>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最终的设计费以相关审计单位审定后的为准。</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11. 工程设计变更与索赔</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11.5 设计人应于认为有理由提出增加合同价款或延长设计周期的要求事项发生后</w:t>
      </w:r>
      <w:r>
        <w:rPr>
          <w:rFonts w:hint="eastAsia"/>
          <w:color w:val="000000" w:themeColor="text1"/>
          <w:sz w:val="24"/>
          <w:u w:val="single"/>
          <w14:textFill>
            <w14:solidFill>
              <w14:schemeClr w14:val="tx1"/>
            </w14:solidFill>
          </w14:textFill>
        </w:rPr>
        <w:t xml:space="preserve"> 5 </w:t>
      </w:r>
      <w:r>
        <w:rPr>
          <w:rFonts w:hint="eastAsia"/>
          <w:color w:val="000000" w:themeColor="text1"/>
          <w:sz w:val="24"/>
          <w14:textFill>
            <w14:solidFill>
              <w14:schemeClr w14:val="tx1"/>
            </w14:solidFill>
          </w14:textFill>
        </w:rPr>
        <w:t>天内书面通知发包人。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设计人应在该事项发生后</w:t>
      </w:r>
      <w:r>
        <w:rPr>
          <w:rFonts w:hint="eastAsia"/>
          <w:color w:val="000000" w:themeColor="text1"/>
          <w:sz w:val="24"/>
          <w:u w:val="single"/>
          <w14:textFill>
            <w14:solidFill>
              <w14:schemeClr w14:val="tx1"/>
            </w14:solidFill>
          </w14:textFill>
        </w:rPr>
        <w:t xml:space="preserve"> 15 </w:t>
      </w:r>
      <w:r>
        <w:rPr>
          <w:rFonts w:hint="eastAsia"/>
          <w:color w:val="000000" w:themeColor="text1"/>
          <w:sz w:val="24"/>
          <w14:textFill>
            <w14:solidFill>
              <w14:schemeClr w14:val="tx1"/>
            </w14:solidFill>
          </w14:textFill>
        </w:rPr>
        <w:t>天内向发包人提供证明设计人要求的书面声明。</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发包人应在接到设计人书面声明后的</w:t>
      </w:r>
      <w:r>
        <w:rPr>
          <w:rFonts w:hint="eastAsia"/>
          <w:color w:val="000000" w:themeColor="text1"/>
          <w:sz w:val="24"/>
          <w:u w:val="single"/>
          <w14:textFill>
            <w14:solidFill>
              <w14:schemeClr w14:val="tx1"/>
            </w14:solidFill>
          </w14:textFill>
        </w:rPr>
        <w:t xml:space="preserve"> 15 </w:t>
      </w:r>
      <w:r>
        <w:rPr>
          <w:rFonts w:hint="eastAsia"/>
          <w:color w:val="000000" w:themeColor="text1"/>
          <w:sz w:val="24"/>
          <w14:textFill>
            <w14:solidFill>
              <w14:schemeClr w14:val="tx1"/>
            </w14:solidFill>
          </w14:textFill>
        </w:rPr>
        <w:t>天内，予以书面答复。</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12. 专业责任与保险</w:t>
      </w:r>
    </w:p>
    <w:p>
      <w:pPr>
        <w:spacing w:line="360" w:lineRule="auto"/>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12.2 设计人</w:t>
      </w:r>
      <w:r>
        <w:rPr>
          <w:rFonts w:hint="eastAsia"/>
          <w:color w:val="000000" w:themeColor="text1"/>
          <w:sz w:val="24"/>
          <w:u w:val="single"/>
          <w14:textFill>
            <w14:solidFill>
              <w14:schemeClr w14:val="tx1"/>
            </w14:solidFill>
          </w14:textFill>
        </w:rPr>
        <w:t>需</w:t>
      </w:r>
      <w:r>
        <w:rPr>
          <w:rFonts w:hint="eastAsia"/>
          <w:color w:val="000000" w:themeColor="text1"/>
          <w:sz w:val="24"/>
          <w14:textFill>
            <w14:solidFill>
              <w14:schemeClr w14:val="tx1"/>
            </w14:solidFill>
          </w14:textFill>
        </w:rPr>
        <w:t>（需/不需）有发包人认可的工程设计责任保险。</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13. 知识产权</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13.1关于发包人提供给设计人的图纸、发包人为实施工程自行编制或委托编制的技术规格以及反映发包人关于合同要求或其他类似性质的文件的著作权的归属：</w:t>
      </w:r>
      <w:r>
        <w:rPr>
          <w:rFonts w:hint="eastAsia"/>
          <w:color w:val="000000" w:themeColor="text1"/>
          <w:sz w:val="24"/>
          <w:u w:val="single"/>
          <w14:textFill>
            <w14:solidFill>
              <w14:schemeClr w14:val="tx1"/>
            </w14:solidFill>
          </w14:textFill>
        </w:rPr>
        <w:t>归属发包人</w:t>
      </w:r>
      <w:r>
        <w:rPr>
          <w:rFonts w:hint="eastAsia"/>
          <w:color w:val="000000" w:themeColor="text1"/>
          <w:sz w:val="24"/>
          <w14:textFill>
            <w14:solidFill>
              <w14:schemeClr w14:val="tx1"/>
            </w14:solidFill>
          </w14:textFill>
        </w:rPr>
        <w:t>。</w:t>
      </w:r>
    </w:p>
    <w:p>
      <w:pPr>
        <w:pStyle w:val="98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关于发包人提供的上述文件的使用限制的要求：</w:t>
      </w:r>
      <w:r>
        <w:rPr>
          <w:rFonts w:hint="eastAsia" w:ascii="宋体" w:hAnsi="宋体"/>
          <w:color w:val="000000" w:themeColor="text1"/>
          <w:sz w:val="24"/>
          <w:szCs w:val="24"/>
          <w:u w:val="single"/>
          <w14:textFill>
            <w14:solidFill>
              <w14:schemeClr w14:val="tx1"/>
            </w14:solidFill>
          </w14:textFill>
        </w:rPr>
        <w:t>设计人不能用于与合同无关的其他事项。未经发包人书面同意，设计人不得为了合同以外的目的而复制、使用上述文件或将之提供给任何第三方。</w:t>
      </w:r>
    </w:p>
    <w:p>
      <w:pPr>
        <w:pStyle w:val="980"/>
        <w:spacing w:line="360" w:lineRule="auto"/>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13.2 关于设计人为实施工程所编制文件的著作权的归属：</w:t>
      </w:r>
      <w:r>
        <w:rPr>
          <w:rFonts w:hint="eastAsia" w:ascii="宋体" w:hAnsi="宋体"/>
          <w:color w:val="000000" w:themeColor="text1"/>
          <w:sz w:val="24"/>
          <w:szCs w:val="24"/>
          <w:u w:val="single"/>
          <w14:textFill>
            <w14:solidFill>
              <w14:schemeClr w14:val="tx1"/>
            </w14:solidFill>
          </w14:textFill>
        </w:rPr>
        <w:t>归属发包人。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关于设计人提供的上述文件的使用限制的要求：</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13.5 设计人在设计过程中所采用的专利、专有技术的使用费的承担方式：</w:t>
      </w:r>
      <w:r>
        <w:rPr>
          <w:rFonts w:hint="eastAsia" w:cs="MingLiU_HKSCS"/>
          <w:color w:val="000000" w:themeColor="text1"/>
          <w:sz w:val="24"/>
          <w:u w:val="single"/>
          <w14:textFill>
            <w14:solidFill>
              <w14:schemeClr w14:val="tx1"/>
            </w14:solidFill>
          </w14:textFill>
        </w:rPr>
        <w:t>自行承担</w:t>
      </w:r>
      <w:r>
        <w:rPr>
          <w:rFonts w:hint="eastAsia"/>
          <w:color w:val="000000" w:themeColor="text1"/>
          <w:sz w:val="24"/>
          <w:u w:val="single"/>
          <w14:textFill>
            <w14:solidFill>
              <w14:schemeClr w14:val="tx1"/>
            </w14:solidFill>
          </w14:textFill>
        </w:rPr>
        <w:t>。</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14. 违约责任</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14.1 发包人违约责任</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14.1.1 发包人支付设计人违约金：</w:t>
      </w:r>
      <w:r>
        <w:rPr>
          <w:rFonts w:hint="eastAsia"/>
          <w:color w:val="000000" w:themeColor="text1"/>
          <w:sz w:val="24"/>
          <w:u w:val="single"/>
          <w14:textFill>
            <w14:solidFill>
              <w14:schemeClr w14:val="tx1"/>
            </w14:solidFill>
          </w14:textFill>
        </w:rPr>
        <w:t>在合同履行期间，发包人要求终止或解除合同，设计人已开始设计工作的，发包人应根据设计人已完成的实际工作量支付设计费</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14.1.2 发包人逾期支付设计费的违约金：</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14.2 设计人违约责任</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14.2.1 设计人支付发包人的违约金：</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u w:val="single"/>
          <w14:textFill>
            <w14:solidFill>
              <w14:schemeClr w14:val="tx1"/>
            </w14:solidFill>
          </w14:textFill>
        </w:rPr>
        <w:t>合同生效后，设计人因自身原因要求终止或解除合同，设计人应按发包人已支付的款项双倍返还给发包人，且因此给发包人造成的一切损失由设计人承担；</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2）设计人的设计负责人必须与投标文件上的人员一致，在整个工程设计期间，原则上不允许更换，如因不称职或其它特殊原因确需更换，须书面按程序报经发包人审核、同意后方可更换，且更换后人员资历不得低于投标时人员资历；未经发包人书面批准同意，擅自更换的，视为合同违约，发包人有权单方面终止合同，由此造成的后果由设计人承担，同时设计人承担</w:t>
      </w:r>
      <w:r>
        <w:rPr>
          <w:color w:val="000000" w:themeColor="text1"/>
          <w:sz w:val="24"/>
          <w:u w:val="single"/>
          <w14:textFill>
            <w14:solidFill>
              <w14:schemeClr w14:val="tx1"/>
            </w14:solidFill>
          </w14:textFill>
        </w:rPr>
        <w:t>5</w:t>
      </w:r>
      <w:r>
        <w:rPr>
          <w:rFonts w:hint="eastAsia"/>
          <w:color w:val="000000" w:themeColor="text1"/>
          <w:sz w:val="24"/>
          <w:u w:val="single"/>
          <w14:textFill>
            <w14:solidFill>
              <w14:schemeClr w14:val="tx1"/>
            </w14:solidFill>
          </w14:textFill>
        </w:rPr>
        <w:t>0000元/人次的违约金，如擅自更换投标文件上的其他人员，处以</w:t>
      </w:r>
      <w:r>
        <w:rPr>
          <w:color w:val="000000" w:themeColor="text1"/>
          <w:sz w:val="24"/>
          <w:u w:val="single"/>
          <w14:textFill>
            <w14:solidFill>
              <w14:schemeClr w14:val="tx1"/>
            </w14:solidFill>
          </w14:textFill>
        </w:rPr>
        <w:t>2</w:t>
      </w:r>
      <w:r>
        <w:rPr>
          <w:rFonts w:hint="eastAsia"/>
          <w:color w:val="000000" w:themeColor="text1"/>
          <w:sz w:val="24"/>
          <w:u w:val="single"/>
          <w14:textFill>
            <w14:solidFill>
              <w14:schemeClr w14:val="tx1"/>
            </w14:solidFill>
          </w14:textFill>
        </w:rPr>
        <w:t>0000元/人次的违约金；</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3</w:t>
      </w:r>
      <w:r>
        <w:rPr>
          <w:rFonts w:hint="eastAsia"/>
          <w:color w:val="000000" w:themeColor="text1"/>
          <w:sz w:val="24"/>
          <w:u w:val="single"/>
          <w14:textFill>
            <w14:solidFill>
              <w14:schemeClr w14:val="tx1"/>
            </w14:solidFill>
          </w14:textFill>
        </w:rPr>
        <w:t>）</w:t>
      </w:r>
      <w:r>
        <w:rPr>
          <w:rFonts w:ascii="宋体" w:hAnsi="宋体" w:cs="宋体"/>
          <w:color w:val="000000" w:themeColor="text1"/>
          <w:sz w:val="24"/>
          <w:u w:val="single"/>
          <w14:textFill>
            <w14:solidFill>
              <w14:schemeClr w14:val="tx1"/>
            </w14:solidFill>
          </w14:textFill>
        </w:rPr>
        <w:t>设计人员必须常驻项目现场进行技术跟踪服务，否则，发包人有权解除合同，承包人承担由此造成的全部损失，并向发包人支付违约金10000元/人/天</w:t>
      </w:r>
      <w:r>
        <w:rPr>
          <w:rFonts w:hint="eastAsia" w:ascii="宋体" w:hAnsi="宋体" w:cs="宋体"/>
          <w:color w:val="000000" w:themeColor="text1"/>
          <w:sz w:val="24"/>
          <w:u w:val="single"/>
          <w14:textFill>
            <w14:solidFill>
              <w14:schemeClr w14:val="tx1"/>
            </w14:solidFill>
          </w14:textFill>
        </w:rPr>
        <w:t>；</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4</w:t>
      </w:r>
      <w:r>
        <w:rPr>
          <w:rFonts w:hint="eastAsia"/>
          <w:color w:val="000000" w:themeColor="text1"/>
          <w:sz w:val="24"/>
          <w:u w:val="single"/>
          <w14:textFill>
            <w14:solidFill>
              <w14:schemeClr w14:val="tx1"/>
            </w14:solidFill>
          </w14:textFill>
        </w:rPr>
        <w:t>）</w:t>
      </w:r>
      <w:r>
        <w:rPr>
          <w:rFonts w:ascii="宋体" w:hAnsi="宋体" w:cs="宋体"/>
          <w:color w:val="000000" w:themeColor="text1"/>
          <w:sz w:val="24"/>
          <w:u w:val="single"/>
          <w14:textFill>
            <w14:solidFill>
              <w14:schemeClr w14:val="tx1"/>
            </w14:solidFill>
          </w14:textFill>
        </w:rPr>
        <w:t>发包人有权要求撤换不能胜任本职工作、行为不端或玩忽职守的</w:t>
      </w:r>
      <w:r>
        <w:rPr>
          <w:rFonts w:hint="eastAsia" w:ascii="宋体" w:hAnsi="宋体" w:cs="宋体"/>
          <w:color w:val="000000" w:themeColor="text1"/>
          <w:sz w:val="24"/>
          <w:u w:val="single"/>
          <w14:textFill>
            <w14:solidFill>
              <w14:schemeClr w14:val="tx1"/>
            </w14:solidFill>
          </w14:textFill>
        </w:rPr>
        <w:t>设计</w:t>
      </w:r>
      <w:r>
        <w:rPr>
          <w:rFonts w:ascii="宋体" w:hAnsi="宋体" w:cs="宋体"/>
          <w:color w:val="000000" w:themeColor="text1"/>
          <w:sz w:val="24"/>
          <w:u w:val="single"/>
          <w14:textFill>
            <w14:solidFill>
              <w14:schemeClr w14:val="tx1"/>
            </w14:solidFill>
          </w14:textFill>
        </w:rPr>
        <w:t>人项目</w:t>
      </w:r>
      <w:r>
        <w:rPr>
          <w:rFonts w:hint="eastAsia" w:ascii="宋体" w:hAnsi="宋体" w:cs="宋体"/>
          <w:color w:val="000000" w:themeColor="text1"/>
          <w:sz w:val="24"/>
          <w:u w:val="single"/>
          <w14:textFill>
            <w14:solidFill>
              <w14:schemeClr w14:val="tx1"/>
            </w14:solidFill>
          </w14:textFill>
        </w:rPr>
        <w:t>负责人</w:t>
      </w:r>
      <w:r>
        <w:rPr>
          <w:rFonts w:ascii="宋体" w:hAnsi="宋体" w:cs="宋体"/>
          <w:color w:val="000000" w:themeColor="text1"/>
          <w:sz w:val="24"/>
          <w:u w:val="single"/>
          <w14:textFill>
            <w14:solidFill>
              <w14:schemeClr w14:val="tx1"/>
            </w14:solidFill>
          </w14:textFill>
        </w:rPr>
        <w:t>和其他人员，</w:t>
      </w:r>
      <w:r>
        <w:rPr>
          <w:rFonts w:hint="eastAsia" w:ascii="宋体" w:hAnsi="宋体" w:cs="宋体"/>
          <w:color w:val="000000" w:themeColor="text1"/>
          <w:sz w:val="24"/>
          <w:u w:val="single"/>
          <w14:textFill>
            <w14:solidFill>
              <w14:schemeClr w14:val="tx1"/>
            </w14:solidFill>
          </w14:textFill>
        </w:rPr>
        <w:t>设计</w:t>
      </w:r>
      <w:r>
        <w:rPr>
          <w:rFonts w:ascii="宋体" w:hAnsi="宋体" w:cs="宋体"/>
          <w:color w:val="000000" w:themeColor="text1"/>
          <w:sz w:val="24"/>
          <w:u w:val="single"/>
          <w14:textFill>
            <w14:solidFill>
              <w14:schemeClr w14:val="tx1"/>
            </w14:solidFill>
          </w14:textFill>
        </w:rPr>
        <w:t>人应在发包人要求的时间撤换直至发包人满意为止。若撤换每延误一天，</w:t>
      </w:r>
      <w:r>
        <w:rPr>
          <w:rFonts w:hint="eastAsia" w:ascii="宋体" w:hAnsi="宋体" w:cs="宋体"/>
          <w:color w:val="000000" w:themeColor="text1"/>
          <w:sz w:val="24"/>
          <w:u w:val="single"/>
          <w14:textFill>
            <w14:solidFill>
              <w14:schemeClr w14:val="tx1"/>
            </w14:solidFill>
          </w14:textFill>
        </w:rPr>
        <w:t>设计</w:t>
      </w:r>
      <w:r>
        <w:rPr>
          <w:rFonts w:ascii="宋体" w:hAnsi="宋体" w:cs="宋体"/>
          <w:color w:val="000000" w:themeColor="text1"/>
          <w:sz w:val="24"/>
          <w:u w:val="single"/>
          <w14:textFill>
            <w14:solidFill>
              <w14:schemeClr w14:val="tx1"/>
            </w14:solidFill>
          </w14:textFill>
        </w:rPr>
        <w:t>人向发包人支付人民币10000元的违约金</w:t>
      </w:r>
      <w:r>
        <w:rPr>
          <w:rFonts w:hint="eastAsia" w:ascii="宋体" w:hAnsi="宋体" w:cs="宋体"/>
          <w:color w:val="000000" w:themeColor="text1"/>
          <w:sz w:val="24"/>
          <w:u w:val="single"/>
          <w14:textFill>
            <w14:solidFill>
              <w14:schemeClr w14:val="tx1"/>
            </w14:solidFill>
          </w14:textFill>
        </w:rPr>
        <w:t>；</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5</w:t>
      </w:r>
      <w:r>
        <w:rPr>
          <w:rFonts w:hint="eastAsia"/>
          <w:color w:val="000000" w:themeColor="text1"/>
          <w:sz w:val="24"/>
          <w:u w:val="single"/>
          <w14:textFill>
            <w14:solidFill>
              <w14:schemeClr w14:val="tx1"/>
            </w14:solidFill>
          </w14:textFill>
        </w:rPr>
        <w:t>）设计</w:t>
      </w:r>
      <w:r>
        <w:rPr>
          <w:rFonts w:hint="eastAsia" w:ascii="宋体" w:hAnsi="宋体"/>
          <w:color w:val="000000" w:themeColor="text1"/>
          <w:sz w:val="24"/>
          <w:u w:val="single"/>
          <w14:textFill>
            <w14:solidFill>
              <w14:schemeClr w14:val="tx1"/>
            </w14:solidFill>
          </w14:textFill>
        </w:rPr>
        <w:t>人须按合同工期要求出具设计成果文件，否则因设计人原因每延迟一天，</w:t>
      </w:r>
      <w:r>
        <w:rPr>
          <w:rFonts w:hint="eastAsia" w:ascii="宋体" w:hAnsi="宋体" w:cs="宋体"/>
          <w:color w:val="000000" w:themeColor="text1"/>
          <w:sz w:val="24"/>
          <w:u w:val="single"/>
          <w14:textFill>
            <w14:solidFill>
              <w14:schemeClr w14:val="tx1"/>
            </w14:solidFill>
          </w14:textFill>
        </w:rPr>
        <w:t>须承担</w:t>
      </w:r>
      <w:r>
        <w:rPr>
          <w:rFonts w:ascii="宋体" w:hAnsi="宋体" w:cs="宋体"/>
          <w:color w:val="000000" w:themeColor="text1"/>
          <w:sz w:val="24"/>
          <w:u w:val="single"/>
          <w14:textFill>
            <w14:solidFill>
              <w14:schemeClr w14:val="tx1"/>
            </w14:solidFill>
          </w14:textFill>
        </w:rPr>
        <w:t>1000元/天的违约金；</w:t>
      </w:r>
      <w:r>
        <w:rPr>
          <w:rFonts w:hint="eastAsia" w:ascii="宋体" w:hAnsi="宋体"/>
          <w:color w:val="000000" w:themeColor="text1"/>
          <w:sz w:val="24"/>
          <w:u w:val="single"/>
          <w14:textFill>
            <w14:solidFill>
              <w14:schemeClr w14:val="tx1"/>
            </w14:solidFill>
          </w14:textFill>
        </w:rPr>
        <w:t>在设计成果文件出具后的</w:t>
      </w:r>
      <w:r>
        <w:rPr>
          <w:rFonts w:ascii="宋体" w:hAnsi="宋体"/>
          <w:color w:val="000000" w:themeColor="text1"/>
          <w:sz w:val="24"/>
          <w:u w:val="single"/>
          <w14:textFill>
            <w14:solidFill>
              <w14:schemeClr w14:val="tx1"/>
            </w14:solidFill>
          </w14:textFill>
        </w:rPr>
        <w:t>天内完成施工图预算的编制上报，否则每延迟一天，</w:t>
      </w:r>
      <w:r>
        <w:rPr>
          <w:rFonts w:hint="eastAsia" w:ascii="宋体" w:hAnsi="宋体" w:cs="宋体"/>
          <w:color w:val="000000" w:themeColor="text1"/>
          <w:sz w:val="24"/>
          <w:u w:val="single"/>
          <w14:textFill>
            <w14:solidFill>
              <w14:schemeClr w14:val="tx1"/>
            </w14:solidFill>
          </w14:textFill>
        </w:rPr>
        <w:t>须承担</w:t>
      </w:r>
      <w:r>
        <w:rPr>
          <w:rFonts w:ascii="宋体" w:hAnsi="宋体" w:cs="宋体"/>
          <w:color w:val="000000" w:themeColor="text1"/>
          <w:sz w:val="24"/>
          <w:u w:val="single"/>
          <w14:textFill>
            <w14:solidFill>
              <w14:schemeClr w14:val="tx1"/>
            </w14:solidFill>
          </w14:textFill>
        </w:rPr>
        <w:t>1000元/天的违约金</w:t>
      </w:r>
      <w:r>
        <w:rPr>
          <w:rFonts w:hint="eastAsia" w:ascii="宋体" w:hAnsi="宋体" w:cs="宋体"/>
          <w:color w:val="000000" w:themeColor="text1"/>
          <w:sz w:val="24"/>
          <w:u w:val="single"/>
          <w14:textFill>
            <w14:solidFill>
              <w14:schemeClr w14:val="tx1"/>
            </w14:solidFill>
          </w14:textFill>
        </w:rPr>
        <w:t>；</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14.2.2设计人逾期交付工程设计文件的违约金：</w:t>
      </w:r>
      <w:r>
        <w:rPr>
          <w:rFonts w:hint="eastAsia"/>
          <w:color w:val="000000" w:themeColor="text1"/>
          <w:sz w:val="24"/>
          <w:u w:val="single"/>
          <w14:textFill>
            <w14:solidFill>
              <w14:schemeClr w14:val="tx1"/>
            </w14:solidFill>
          </w14:textFill>
        </w:rPr>
        <w:t xml:space="preserve">由于设计人自身原因，延误了按本合同第四条规定的设计资料及设计文件交付时间，每延误一天，应扣减该项目单个应收设计费的0.5%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设计人逾期交付工程设计文件的违约金的上限：</w:t>
      </w:r>
      <w:r>
        <w:rPr>
          <w:rFonts w:hint="eastAsia"/>
          <w:color w:val="000000" w:themeColor="text1"/>
          <w:sz w:val="24"/>
          <w:u w:val="single"/>
          <w14:textFill>
            <w14:solidFill>
              <w14:schemeClr w14:val="tx1"/>
            </w14:solidFill>
          </w14:textFill>
        </w:rPr>
        <w:t xml:space="preserve">合同暂定价款单个的10%  </w:t>
      </w:r>
      <w:r>
        <w:rPr>
          <w:rFonts w:hint="eastAsia"/>
          <w:color w:val="000000" w:themeColor="text1"/>
          <w:sz w:val="24"/>
          <w14:textFill>
            <w14:solidFill>
              <w14:schemeClr w14:val="tx1"/>
            </w14:solidFill>
          </w14:textFill>
        </w:rPr>
        <w:t>。</w:t>
      </w:r>
    </w:p>
    <w:p>
      <w:pPr>
        <w:pStyle w:val="980"/>
        <w:spacing w:line="360" w:lineRule="auto"/>
        <w:ind w:firstLine="480" w:firstLineChars="200"/>
        <w:rPr>
          <w:rFonts w:ascii="宋体" w:hAnsi="宋体"/>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14.2.</w:t>
      </w:r>
      <w:r>
        <w:rPr>
          <w:color w:val="000000" w:themeColor="text1"/>
          <w:sz w:val="24"/>
          <w14:textFill>
            <w14:solidFill>
              <w14:schemeClr w14:val="tx1"/>
            </w14:solidFill>
          </w14:textFill>
        </w:rPr>
        <w:t>3</w:t>
      </w:r>
      <w:r>
        <w:rPr>
          <w:rFonts w:hint="eastAsia" w:ascii="宋体" w:hAnsi="宋体"/>
          <w:color w:val="000000" w:themeColor="text1"/>
          <w:kern w:val="0"/>
          <w:sz w:val="24"/>
          <w:szCs w:val="24"/>
          <w14:textFill>
            <w14:solidFill>
              <w14:schemeClr w14:val="tx1"/>
            </w14:solidFill>
          </w14:textFill>
        </w:rPr>
        <w:t>设计人设计文件不合格的损失赔偿金的上限：</w:t>
      </w:r>
      <w:r>
        <w:rPr>
          <w:rFonts w:hint="eastAsia" w:ascii="宋体" w:hAnsi="宋体"/>
          <w:color w:val="000000" w:themeColor="text1"/>
          <w:kern w:val="0"/>
          <w:sz w:val="24"/>
          <w:szCs w:val="24"/>
          <w:u w:val="single"/>
          <w14:textFill>
            <w14:solidFill>
              <w14:schemeClr w14:val="tx1"/>
            </w14:solidFill>
          </w14:textFill>
        </w:rPr>
        <w:t>设计人对设计资料及文件出现的遗漏和错误负责修改或补充。由于设计人员错误造成工程质量事故损失，设计人除负责采取补救措施外，还应免收直接受损失部份的设计费。损失严重的根据损失的程度和设计人责任大小向发包人支付赔偿金，赔偿金为实际已收设计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14.2.4 设计人未经发包人同意擅自对工程设计进行分包的违约责任：</w:t>
      </w:r>
      <w:r>
        <w:rPr>
          <w:rFonts w:hint="eastAsia"/>
          <w:color w:val="000000" w:themeColor="text1"/>
          <w:sz w:val="24"/>
          <w:u w:val="single"/>
          <w14:textFill>
            <w14:solidFill>
              <w14:schemeClr w14:val="tx1"/>
            </w14:solidFill>
          </w14:textFill>
        </w:rPr>
        <w:t>设计人未经发包人同意擅自对工程设计进行分包的，发包人有权要求设计人解除未经发包人同意的设计分包合同，同时设计人应当按照专用合同条款的约定承担违约责任</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14.2.5设计人后续服务不满足要求的违约责任：</w:t>
      </w:r>
      <w:r>
        <w:rPr>
          <w:rFonts w:hint="eastAsia"/>
          <w:color w:val="000000" w:themeColor="text1"/>
          <w:sz w:val="24"/>
          <w:u w:val="single"/>
          <w14:textFill>
            <w14:solidFill>
              <w14:schemeClr w14:val="tx1"/>
            </w14:solidFill>
          </w14:textFill>
        </w:rPr>
        <w:t>在施工过程中设计人派专人对本项目进行跟踪服务，在施工过程中，符合合同范围内的设计修改及设计完善工作设计人积极配合。对于设计修改调整，双方确定设计人完成时间，每延迟一天罚款5000元/天累计罚款。</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15. 不可抗力</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15.1 不可抗力的确认</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除通用合同条款约定的不可抗力事件之外，视为不可抗力的其他情形：</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16. 合同解除</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16.2 </w:t>
      </w:r>
      <w:r>
        <w:rPr>
          <w:rFonts w:hint="eastAsia" w:cs="Courier New"/>
          <w:color w:val="000000" w:themeColor="text1"/>
          <w:sz w:val="24"/>
          <w14:textFill>
            <w14:solidFill>
              <w14:schemeClr w14:val="tx1"/>
            </w14:solidFill>
          </w14:textFill>
        </w:rPr>
        <w:t>有下列情形之一的，可以解除合同：</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16.4 </w:t>
      </w:r>
      <w:r>
        <w:rPr>
          <w:rFonts w:hint="eastAsia" w:cs="Courier New"/>
          <w:color w:val="000000" w:themeColor="text1"/>
          <w:sz w:val="24"/>
          <w14:textFill>
            <w14:solidFill>
              <w14:schemeClr w14:val="tx1"/>
            </w14:solidFill>
          </w14:textFill>
        </w:rPr>
        <w:t>发包人向设计人支付已完工作设计费的期限为</w:t>
      </w:r>
      <w:r>
        <w:rPr>
          <w:rFonts w:hint="eastAsia" w:cs="Courier New"/>
          <w:color w:val="000000" w:themeColor="text1"/>
          <w:sz w:val="24"/>
          <w:u w:val="single"/>
          <w14:textFill>
            <w14:solidFill>
              <w14:schemeClr w14:val="tx1"/>
            </w14:solidFill>
          </w14:textFill>
        </w:rPr>
        <w:t xml:space="preserve"> / </w:t>
      </w:r>
      <w:r>
        <w:rPr>
          <w:rFonts w:hint="eastAsia" w:cs="Courier New"/>
          <w:color w:val="000000" w:themeColor="text1"/>
          <w:sz w:val="24"/>
          <w14:textFill>
            <w14:solidFill>
              <w14:schemeClr w14:val="tx1"/>
            </w14:solidFill>
          </w14:textFill>
        </w:rPr>
        <w:t>天内。</w:t>
      </w:r>
    </w:p>
    <w:p>
      <w:pPr>
        <w:spacing w:line="360" w:lineRule="auto"/>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17. 争议解决</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17.3 争议评审</w:t>
      </w:r>
    </w:p>
    <w:p>
      <w:pPr>
        <w:spacing w:line="360" w:lineRule="auto"/>
        <w:ind w:left="149" w:leftChars="71" w:firstLine="360" w:firstLine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合同当事人是否同意将工程争议提交争议评审小组决定：</w:t>
      </w:r>
      <w:r>
        <w:rPr>
          <w:rFonts w:hint="eastAsia"/>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17.3.1 争议评审小组的确定</w:t>
      </w: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争议评审小组成员的确定：</w:t>
      </w:r>
      <w:r>
        <w:rPr>
          <w:rFonts w:hint="eastAsia"/>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选定争议评审员的期限：</w:t>
      </w:r>
      <w:r>
        <w:rPr>
          <w:rFonts w:hint="eastAsia"/>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评审所发生的费用承担方式：</w:t>
      </w:r>
      <w:r>
        <w:rPr>
          <w:rFonts w:hint="eastAsia"/>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其他事项的约定：</w:t>
      </w:r>
      <w:r>
        <w:rPr>
          <w:rFonts w:hint="eastAsia"/>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17.3.2 争议评审小组的决定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合同当事人关于本事项的约定：</w:t>
      </w:r>
      <w:r>
        <w:rPr>
          <w:rFonts w:hint="eastAsia"/>
          <w:color w:val="000000" w:themeColor="text1"/>
          <w:sz w:val="24"/>
          <w:u w:val="single"/>
          <w14:textFill>
            <w14:solidFill>
              <w14:schemeClr w14:val="tx1"/>
            </w14:solidFill>
          </w14:textFill>
        </w:rPr>
        <w:t xml:space="preserve">     /      </w:t>
      </w:r>
      <w:r>
        <w:rPr>
          <w:rFonts w:hint="eastAsia"/>
          <w:color w:val="000000" w:themeColor="text1"/>
          <w:sz w:val="24"/>
          <w14:textFill>
            <w14:solidFill>
              <w14:schemeClr w14:val="tx1"/>
            </w14:solidFill>
          </w14:textFill>
        </w:rPr>
        <w:t>。</w:t>
      </w:r>
    </w:p>
    <w:p>
      <w:pPr>
        <w:spacing w:before="120" w:after="12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17.4仲裁或诉讼</w:t>
      </w:r>
    </w:p>
    <w:p>
      <w:pPr>
        <w:spacing w:after="12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因合同及合同有关事项发生的争议，按下列第</w:t>
      </w:r>
      <w:r>
        <w:rPr>
          <w:rFonts w:hint="eastAsia"/>
          <w:color w:val="000000" w:themeColor="text1"/>
          <w:sz w:val="24"/>
          <w:u w:val="single"/>
          <w14:textFill>
            <w14:solidFill>
              <w14:schemeClr w14:val="tx1"/>
            </w14:solidFill>
          </w14:textFill>
        </w:rPr>
        <w:t>（2）</w:t>
      </w:r>
      <w:r>
        <w:rPr>
          <w:rFonts w:hint="eastAsia"/>
          <w:color w:val="000000" w:themeColor="text1"/>
          <w:sz w:val="24"/>
          <w14:textFill>
            <w14:solidFill>
              <w14:schemeClr w14:val="tx1"/>
            </w14:solidFill>
          </w14:textFill>
        </w:rPr>
        <w:t>种方式解决：</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（1）向仲裁委员会申请仲裁；</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（2）向</w:t>
      </w:r>
      <w:r>
        <w:rPr>
          <w:rFonts w:hint="eastAsia"/>
          <w:color w:val="000000" w:themeColor="text1"/>
          <w:sz w:val="24"/>
          <w:u w:val="single"/>
          <w14:textFill>
            <w14:solidFill>
              <w14:schemeClr w14:val="tx1"/>
            </w14:solidFill>
          </w14:textFill>
        </w:rPr>
        <w:t>发包人所在地</w:t>
      </w:r>
      <w:r>
        <w:rPr>
          <w:rFonts w:hint="eastAsia"/>
          <w:color w:val="000000" w:themeColor="text1"/>
          <w:sz w:val="24"/>
          <w14:textFill>
            <w14:solidFill>
              <w14:schemeClr w14:val="tx1"/>
            </w14:solidFill>
          </w14:textFill>
        </w:rPr>
        <w:t>人民法院起诉。</w:t>
      </w:r>
    </w:p>
    <w:p>
      <w:pPr>
        <w:spacing w:line="360" w:lineRule="auto"/>
        <w:rPr>
          <w:rFonts w:ascii="宋体" w:hAnsi="宋体"/>
          <w:b/>
          <w:color w:val="000000" w:themeColor="text1"/>
          <w:sz w:val="24"/>
          <w14:textFill>
            <w14:solidFill>
              <w14:schemeClr w14:val="tx1"/>
            </w14:solidFill>
          </w14:textFill>
        </w:rPr>
      </w:pPr>
      <w:r>
        <w:rPr>
          <w:rFonts w:hint="eastAsia"/>
          <w:b/>
          <w:color w:val="000000" w:themeColor="text1"/>
          <w:sz w:val="30"/>
          <w:szCs w:val="30"/>
          <w14:textFill>
            <w14:solidFill>
              <w14:schemeClr w14:val="tx1"/>
            </w14:solidFill>
          </w14:textFill>
        </w:rPr>
        <w:t xml:space="preserve"> 18. 其他（如果没有，填“无”）</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无</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p>
    <w:p>
      <w:pPr>
        <w:spacing w:line="360" w:lineRule="auto"/>
        <w:jc w:val="center"/>
        <w:rPr>
          <w:color w:val="000000" w:themeColor="text1"/>
          <w:szCs w:val="21"/>
          <w14:textFill>
            <w14:solidFill>
              <w14:schemeClr w14:val="tx1"/>
            </w14:solidFill>
          </w14:textFill>
        </w:rPr>
      </w:pPr>
    </w:p>
    <w:p>
      <w:pPr>
        <w:rPr>
          <w:rFonts w:ascii="宋体" w:hAnsi="宋体"/>
          <w:b/>
          <w:color w:val="000000" w:themeColor="text1"/>
          <w:sz w:val="24"/>
          <w14:textFill>
            <w14:solidFill>
              <w14:schemeClr w14:val="tx1"/>
            </w14:solidFill>
          </w14:textFill>
        </w:rPr>
      </w:pPr>
    </w:p>
    <w:p>
      <w:pPr>
        <w:rPr>
          <w:rFonts w:ascii="宋体" w:hAnsi="宋体"/>
          <w:b/>
          <w:color w:val="000000" w:themeColor="text1"/>
          <w:sz w:val="28"/>
          <w:szCs w:val="28"/>
          <w14:textFill>
            <w14:solidFill>
              <w14:schemeClr w14:val="tx1"/>
            </w14:solidFill>
          </w14:textFill>
        </w:rPr>
      </w:pPr>
      <w:bookmarkStart w:id="541" w:name="_Toc278309716"/>
      <w:bookmarkStart w:id="542" w:name="_Toc278231956"/>
      <w:r>
        <w:rPr>
          <w:rFonts w:eastAsia="仿宋_GB2312"/>
          <w:b/>
          <w:color w:val="000000" w:themeColor="text1"/>
          <w:sz w:val="30"/>
          <w:szCs w:val="32"/>
          <w14:textFill>
            <w14:solidFill>
              <w14:schemeClr w14:val="tx1"/>
            </w14:solidFill>
          </w14:textFill>
        </w:rPr>
        <w:br w:type="page"/>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附件一：</w:t>
      </w:r>
    </w:p>
    <w:p>
      <w:pPr>
        <w:ind w:firstLine="3253" w:firstLineChars="900"/>
        <w:rPr>
          <w:rFonts w:ascii="宋体" w:hAnsi="宋体"/>
          <w:b/>
          <w:color w:val="000000" w:themeColor="text1"/>
          <w:sz w:val="28"/>
          <w:szCs w:val="21"/>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廉政承诺书</w:t>
      </w:r>
    </w:p>
    <w:p>
      <w:pPr>
        <w:spacing w:line="360" w:lineRule="exact"/>
        <w:rPr>
          <w:rFonts w:ascii="宋体" w:hAnsi="宋体"/>
          <w:b/>
          <w:color w:val="000000" w:themeColor="text1"/>
          <w:szCs w:val="21"/>
          <w14:textFill>
            <w14:solidFill>
              <w14:schemeClr w14:val="tx1"/>
            </w14:solidFill>
          </w14:textFill>
        </w:rPr>
      </w:pP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发包人（甲方）：</w:t>
      </w:r>
      <w:r>
        <w:rPr>
          <w:rFonts w:hint="eastAsia" w:ascii="宋体" w:hAnsi="宋体"/>
          <w:color w:val="000000" w:themeColor="text1"/>
          <w:sz w:val="24"/>
          <w:u w:val="single"/>
          <w14:textFill>
            <w14:solidFill>
              <w14:schemeClr w14:val="tx1"/>
            </w14:solidFill>
          </w14:textFill>
        </w:rPr>
        <w:t>昆明经济技术开发区规划建设局</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承包人（乙方）：</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为坚决执行《中华人民共和国反不正当竞争法》、《中华人民共和国建筑法》、《中华人民共和国招标投标法》和《中华人民共和国刑法》、《最高人民法院　最高人民检察院&lt;关于办理商业贿赂刑事案件适用法律若干问题的意见》等有关法律法规和政策，为确保经开区143号路设计施工总承包实施过程中的公平、公正、公开的原则、争优创优、干部廉洁，甲乙双方签订廉政承诺书。</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一、甲乙双方都清楚并愿意严格遵守相关法律规定，双方都清楚任何形式的贿赂和贪渎行为都将触犯法律，并将受到法律的严惩。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二、甲方或乙方均不得向对方或对方经办人或其他相关人员索要、收受、提供、给予合同约定外的任何利益，包括但不限于明扣、暗扣、现金、购物卡、实物、有价证券、旅游或其他非物质性利益等。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甲乙双方严格禁止对方经办人员的任何商业贿赂行为。经办人发生本条第二款所列示的任何一种行为，都是违反甲乙双方公司制度及国家、地方规定的行为，都将受到该公司制度和国家及地方法律、法规的惩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甲乙双方郑重提示：一方反对另一方或其经办人员为了本合同之目的与本合同以外的任何第三方发生本条款第二条所列示的任何一种行为，该等行为都是违反国家有关规定的行为，并将受到国家法律及地方法规的惩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六、甲方工作人员的配偶、子女，不参与项目整个活动过程；不得推荐项目实施单位。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甲方人员向乙方索贿，经乙方或其他线索检举，被纪检监察机关立案查处认定的，由此产生的办案费用由甲方（索贿方单位或个人）承担。举报甲方或乙方的贿赂行为的举报人，经查证属实，可由查办案件的机关（单位）依照规定给予奖励。</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乙方不得以任何形式邀请甲方人员吃、玩或向甲方赠送礼品、礼金、各种有价证券、信用卡及其他支付凭证或物品。如有违反，由有关行政主管部门对乙方给予扣减合同总价款的1%—1.5%，或者中止合同。并视情节轻重，对乙方决策人和经办人以及甲方接受人员给予批评教育、党纪政纪处分、依法追究刑事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九、乙方在项目实施过程中贿赂甲方人员、中介方人员，被纪检监察机关或司法机关立案查处的，甲方有权中止合同。由此给甲方造成的损失以及发生的一切费用均由乙方承担。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或依法追究刑事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十一、如乙方有违反本廉政承诺书任一约定情形的，甲方有权单方解除与乙方之间签订的合同，同时，启动对乙方的清退程序，乙方自愿退出并积极配合甲方的清退。</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十二、本承诺书自双方签字盖章后即生效，并由双方单位的纪检监察部门和监证的纪检监察机关、部门监督执行。</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发包人（公章或合同专用章）：</w:t>
      </w:r>
      <w:r>
        <w:rPr>
          <w:rFonts w:ascii="宋体" w:hAnsi="宋体"/>
          <w:color w:val="000000" w:themeColor="text1"/>
          <w:sz w:val="24"/>
          <w14:textFill>
            <w14:solidFill>
              <w14:schemeClr w14:val="tx1"/>
            </w14:solidFill>
          </w14:textFill>
        </w:rPr>
        <w:t xml:space="preserve">            承包人（公章或合同专用章）：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法定代表人或委托代理人（签字）：</w:t>
      </w:r>
      <w:r>
        <w:rPr>
          <w:rFonts w:ascii="宋体" w:hAnsi="宋体"/>
          <w:color w:val="000000" w:themeColor="text1"/>
          <w:sz w:val="24"/>
          <w14:textFill>
            <w14:solidFill>
              <w14:schemeClr w14:val="tx1"/>
            </w14:solidFill>
          </w14:textFill>
        </w:rPr>
        <w:t xml:space="preserve">        法定代表人或委托代理人（签字）： </w:t>
      </w:r>
    </w:p>
    <w:p>
      <w:pPr>
        <w:spacing w:line="360" w:lineRule="auto"/>
        <w:rPr>
          <w:rFonts w:ascii="宋体" w:hAnsi="宋体"/>
          <w:color w:val="000000" w:themeColor="text1"/>
          <w:sz w:val="24"/>
          <w14:textFill>
            <w14:solidFill>
              <w14:schemeClr w14:val="tx1"/>
            </w14:solidFill>
          </w14:textFill>
        </w:rPr>
      </w:pPr>
    </w:p>
    <w:p>
      <w:pPr>
        <w:spacing w:line="360" w:lineRule="auto"/>
        <w:ind w:firstLine="2640" w:firstLineChars="1100"/>
        <w:rPr>
          <w:rFonts w:ascii="宋体" w:hAnsi="宋体"/>
          <w:color w:val="000000" w:themeColor="text1"/>
          <w:sz w:val="24"/>
          <w14:textFill>
            <w14:solidFill>
              <w14:schemeClr w14:val="tx1"/>
            </w14:solidFill>
          </w14:textFill>
        </w:rPr>
      </w:pPr>
    </w:p>
    <w:p>
      <w:pPr>
        <w:spacing w:line="360" w:lineRule="auto"/>
        <w:ind w:firstLine="2640" w:firstLineChars="11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合同订立时间：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  日</w:t>
      </w:r>
    </w:p>
    <w:p>
      <w:pPr>
        <w:rPr>
          <w:rFonts w:ascii="宋体" w:hAnsi="宋体"/>
          <w:b/>
          <w:color w:val="000000" w:themeColor="text1"/>
          <w:sz w:val="36"/>
          <w:szCs w:val="36"/>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 w:val="36"/>
          <w:szCs w:val="36"/>
          <w14:textFill>
            <w14:solidFill>
              <w14:schemeClr w14:val="tx1"/>
            </w14:solidFill>
          </w14:textFill>
        </w:rPr>
        <w:br w:type="page"/>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附件二：</w:t>
      </w: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安全生产协议</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发包人（以下简称“甲方”）：</w:t>
      </w:r>
      <w:r>
        <w:rPr>
          <w:rFonts w:hint="eastAsia" w:ascii="宋体" w:hAnsi="宋体"/>
          <w:color w:val="000000" w:themeColor="text1"/>
          <w:sz w:val="24"/>
          <w:u w:val="single"/>
          <w14:textFill>
            <w14:solidFill>
              <w14:schemeClr w14:val="tx1"/>
            </w14:solidFill>
          </w14:textFill>
        </w:rPr>
        <w:t>昆明经济技术开发区规划建设局</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承包人（以下简称“乙方”）：</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为了加强</w:t>
      </w:r>
      <w:r>
        <w:rPr>
          <w:rFonts w:hint="eastAsia" w:ascii="宋体" w:hAnsi="宋体"/>
          <w:snapToGrid w:val="0"/>
          <w:color w:val="000000" w:themeColor="text1"/>
          <w:sz w:val="24"/>
          <w:u w:val="single"/>
          <w14:textFill>
            <w14:solidFill>
              <w14:schemeClr w14:val="tx1"/>
            </w14:solidFill>
          </w14:textFill>
        </w:rPr>
        <w:t>经开区143号路设计施工总承包</w:t>
      </w:r>
      <w:r>
        <w:rPr>
          <w:rFonts w:hint="eastAsia" w:ascii="宋体" w:hAnsi="宋体"/>
          <w:color w:val="000000" w:themeColor="text1"/>
          <w:sz w:val="24"/>
          <w14:textFill>
            <w14:solidFill>
              <w14:schemeClr w14:val="tx1"/>
            </w14:solidFill>
          </w14:textFill>
        </w:rPr>
        <w:t>安全生产管理，深入贯彻“安全第一，预防为主、综合治理”安全生产方针，保证人身、设备安全，根据《中华人民共和国安全生产法》、《中华人民共和国消防法》、《云南省安全生产条例》、《中华人民共和国建筑法》等有关法律规定，经甲乙双方平等协商、意见一致，自愿签订本协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第一条：甲方的责任和义务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1.严格遵守国家有关安全生产的法律法规，认真贯彻执行国家相关安全法律法规的规定要求。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2.按照“安全第一、预防为主、综合治理”和坚持“管生产必须管安全”的原则进行安全生产管理，做到生产与安全工作同时计划、布置、检查、总结。</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3.重要的安全设施、职业病防护设施、消防设施必须坚持与主体工程“三同时”的原则，即：同时设计、审批，同时施工，同时验收、投产和使用，做到责任、管理、投入、培训、和应急救援“五到位”。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4.甲方指定安全与环保管理部作为安全生产监督管理部门，对乙方的安全生产工作进行监督管理。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5.甲方有权对乙方执行有关安全生产的法律法规和国家标准、行业标准的情况进行监督检查，督促乙方依法履行安全生产管理职责。</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6.甲方有权要求乙方提交和现场调阅有关安全资质、安全规章制度、安全技术措施、安全宣传教育、安全事故应急救援预案等安全资料。</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7.甲方不得对乙方提出不符合安全生产法律、法规和强制性标准规定的要求，不得要求乙方在不具备安全生产条件下强行开展工作。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第二条：乙方的责任和义务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1.严格遵守国家有关安全生产的法律法规和有关安全生产的规定，认真执行经开区143号路设计施工总承包合同中的有关安全要求。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2.乙方应遵守和服从甲方制定的有关安全生产的规章制度。</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应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技术人员、生产管理人员和具体实施人员，必须熟悉和遵守各项规定，做到生产与安全工作同时计划、布置、检查、总结。</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4.乙方必须为施工作业人员参加人身意外保险。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5.乙方应根据项目规模配备专职安全员，并确保安全文明措施费用发挥有限作用，专款专用。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建立健全各项安全生产责任制度，并上报《生产安全事故应急救援预案》。从派往项目实施的负责人到生产工人(包括临时雇请的专家、顾问、民工)的安全生产管理系统必须做到纵向到底，一环不漏；各职能部门、人员的安全生产责任制做到横向到边，人人有责。项目负责人是安全生产的第一责任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7.乙方应当依法做好从业人员的安全教育培训工作，增强员工的法制观念，提高员工的安全生产意识和自我保护的能力，督促员工自觉遵守安全制度；员工应当持证上岗工作。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8.乙方必须自行提供本单位员工必备的个人劳动防护用品。（进入施工现场必须正确佩戴劳动防护用品）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9.乙方应做好生产经营范围内和提供服务期间临时办公场所内的定期和日常的安全检查，防止伤亡事故、火灾事故及其他事故的发生。</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10.乙方在开展服务工作需进入项目施工现场的，应熟悉施工现场、遵守施工现场的安全管理规定，根据项目施工现场安全防护要求，做好必要的安全防护措施，避免安全事故的发生。</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11.乙方应自觉接受并无条件配合甲方各级管理人员的监督检查，对查出的不合格项和隐患及时进行整改；对甲方违章指挥、强令乙方冒险作业的，乙方有权拒绝执行。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12.按《中华人民共和国劳动法》等法律、法规、规定用工。严禁使用未成年工和有职业禁忌的人员作业。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对工作区域内的安全技术措施、工作人员状态以的安全责任负责；如因乙方采取的安全措施不当、违反有关安全规程、规定及本协议所列安全事项而造成的一切事故或对第二方造成损失的，均由乙方承担所造成的经济损失及法律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特种作业人员必须持证上岗方可进行工作。乙方在施工时，各种作业必须按本工种《安全操作规程》执行，特种作业人员必须持证上岗，不得违章操作。对因违章造成甲方或第三方的财产损失和人身伤害，由乙方承担全部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15.乙方必须保证施工现场符合项目所在地建设工程安全监督管理、公安消防、环境、治安、卫生防疫、劳动监察等部门及甲方提出的各项具体相关安全文明施工管理要求。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乙方在合同期间所发生的一切安全事故由乙方负全责，一旦发生安全事故立马报告相关部门，严禁迟报、瞒报。在施工中如发生安全事故，乙方要迅速采取有效措施，组织抢救，防止事故扩大，减少人员伤亡和财产损失。</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乙方施工人员只能在甲方规定的施工区域内进行施工作业，并装设临时围栏或警告标志，禁止无关人员进入检维修及施工现场。未经甲方同意，严禁进入甲方其它区域从事与施工作业无关的作业及其他任何活动。乙方不得擅自使用与施工无关的甲方设施、设备；不得擅自拆除、变更甲方防护设施及标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18.乙方使用甲方提供的设施设备、工器具等造成损坏的，应照价赔偿。</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19.乙方负责本施工区域内及已安装设备及零部件的安全保卫工作。如：防火、防盗、内部治安、人员出入等。因安装的设备及零部件丢失其责任乙方自负。</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第三条：期限</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本协议有效期与经开区143号路设计施工总承包合同期限一致，在乙方为甲方提供服务、从事与合同约定的业务期间有效。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第四条：违约责任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如因甲方或乙方违约造成安全事故，将依法追究责任。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由双方法定代表人或其授权的代理人签署与加盖章后生效。</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发包人（公章或合同专用章）：</w:t>
      </w:r>
      <w:r>
        <w:rPr>
          <w:rFonts w:ascii="宋体" w:hAnsi="宋体"/>
          <w:color w:val="000000" w:themeColor="text1"/>
          <w:sz w:val="24"/>
          <w14:textFill>
            <w14:solidFill>
              <w14:schemeClr w14:val="tx1"/>
            </w14:solidFill>
          </w14:textFill>
        </w:rPr>
        <w:t xml:space="preserve">            承包人（公章或合同专用章）：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法定代表人或委托代理人（签字）：</w:t>
      </w:r>
      <w:r>
        <w:rPr>
          <w:rFonts w:ascii="宋体" w:hAnsi="宋体"/>
          <w:color w:val="000000" w:themeColor="text1"/>
          <w:sz w:val="24"/>
          <w14:textFill>
            <w14:solidFill>
              <w14:schemeClr w14:val="tx1"/>
            </w14:solidFill>
          </w14:textFill>
        </w:rPr>
        <w:t xml:space="preserve">        法定代表人或委托代理人（签字）： </w:t>
      </w:r>
    </w:p>
    <w:p>
      <w:pPr>
        <w:spacing w:line="360" w:lineRule="auto"/>
        <w:rPr>
          <w:rFonts w:ascii="宋体" w:hAnsi="宋体"/>
          <w:color w:val="000000" w:themeColor="text1"/>
          <w:sz w:val="24"/>
          <w14:textFill>
            <w14:solidFill>
              <w14:schemeClr w14:val="tx1"/>
            </w14:solidFill>
          </w14:textFill>
        </w:rPr>
      </w:pPr>
    </w:p>
    <w:p>
      <w:pPr>
        <w:spacing w:line="360" w:lineRule="auto"/>
        <w:ind w:firstLine="2640" w:firstLineChars="1100"/>
        <w:rPr>
          <w:rFonts w:ascii="宋体" w:hAnsi="宋体"/>
          <w:color w:val="000000" w:themeColor="text1"/>
          <w:sz w:val="24"/>
          <w14:textFill>
            <w14:solidFill>
              <w14:schemeClr w14:val="tx1"/>
            </w14:solidFill>
          </w14:textFill>
        </w:rPr>
      </w:pPr>
    </w:p>
    <w:p>
      <w:pPr>
        <w:spacing w:line="360" w:lineRule="auto"/>
        <w:ind w:firstLine="2640" w:firstLineChars="11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合同订立时间：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月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after="120" w:line="320" w:lineRule="exact"/>
        <w:rPr>
          <w:rFonts w:ascii="宋体" w:hAnsi="宋体"/>
          <w:color w:val="000000" w:themeColor="text1"/>
          <w14:textFill>
            <w14:solidFill>
              <w14:schemeClr w14:val="tx1"/>
            </w14:solidFill>
          </w14:textFill>
        </w:rPr>
      </w:pPr>
    </w:p>
    <w:p>
      <w:pPr>
        <w:rPr>
          <w:rFonts w:eastAsia="仿宋_GB2312"/>
          <w:b/>
          <w:color w:val="000000" w:themeColor="text1"/>
          <w:sz w:val="30"/>
          <w:szCs w:val="32"/>
          <w14:textFill>
            <w14:solidFill>
              <w14:schemeClr w14:val="tx1"/>
            </w14:solidFill>
          </w14:textFill>
        </w:rPr>
      </w:pPr>
    </w:p>
    <w:bookmarkEnd w:id="541"/>
    <w:bookmarkEnd w:id="542"/>
    <w:p>
      <w:pPr>
        <w:rPr>
          <w:rFonts w:ascii="仿宋_GB2312" w:hAnsi="仿宋_GB2312" w:eastAsia="仿宋_GB2312"/>
          <w:b/>
          <w:color w:val="000000" w:themeColor="text1"/>
          <w:sz w:val="30"/>
          <w:szCs w:val="28"/>
          <w14:textFill>
            <w14:solidFill>
              <w14:schemeClr w14:val="tx1"/>
            </w14:solidFill>
          </w14:textFill>
        </w:rPr>
      </w:pPr>
    </w:p>
    <w:p>
      <w:pPr>
        <w:widowControl/>
        <w:jc w:val="left"/>
        <w:rPr>
          <w:rFonts w:eastAsia="黑体"/>
          <w:b/>
          <w:color w:val="000000" w:themeColor="text1"/>
          <w:sz w:val="30"/>
          <w:szCs w:val="30"/>
          <w14:textFill>
            <w14:solidFill>
              <w14:schemeClr w14:val="tx1"/>
            </w14:solidFill>
          </w14:textFill>
        </w:rPr>
      </w:pPr>
      <w:r>
        <w:rPr>
          <w:rFonts w:eastAsia="仿宋_GB2312"/>
          <w:b/>
          <w:color w:val="000000" w:themeColor="text1"/>
          <w:sz w:val="30"/>
          <w:szCs w:val="32"/>
          <w14:textFill>
            <w14:solidFill>
              <w14:schemeClr w14:val="tx1"/>
            </w14:solidFill>
          </w14:textFill>
        </w:rPr>
        <w:br w:type="page"/>
      </w:r>
      <w:r>
        <w:rPr>
          <w:rFonts w:eastAsia="仿宋_GB2312"/>
          <w:b/>
          <w:color w:val="000000" w:themeColor="text1"/>
          <w:sz w:val="30"/>
          <w:szCs w:val="32"/>
          <w14:textFill>
            <w14:solidFill>
              <w14:schemeClr w14:val="tx1"/>
            </w14:solidFill>
          </w14:textFill>
        </w:rPr>
        <w:t>附件三</w:t>
      </w:r>
      <w:r>
        <w:rPr>
          <w:rFonts w:hint="eastAsia" w:eastAsia="仿宋_GB2312"/>
          <w:b/>
          <w:color w:val="000000" w:themeColor="text1"/>
          <w:sz w:val="30"/>
          <w:szCs w:val="32"/>
          <w14:textFill>
            <w14:solidFill>
              <w14:schemeClr w14:val="tx1"/>
            </w14:solidFill>
          </w14:textFill>
        </w:rPr>
        <w:t>：</w:t>
      </w:r>
    </w:p>
    <w:p>
      <w:pPr>
        <w:spacing w:line="440" w:lineRule="exact"/>
        <w:jc w:val="center"/>
        <w:rPr>
          <w:rFonts w:ascii="宋体" w:hAnsi="宋体"/>
          <w:b/>
          <w:color w:val="000000" w:themeColor="text1"/>
          <w:sz w:val="36"/>
          <w:szCs w:val="30"/>
          <w14:textFill>
            <w14:solidFill>
              <w14:schemeClr w14:val="tx1"/>
            </w14:solidFill>
          </w14:textFill>
        </w:rPr>
      </w:pPr>
      <w:r>
        <w:rPr>
          <w:rFonts w:hint="eastAsia" w:ascii="宋体" w:hAnsi="宋体"/>
          <w:b/>
          <w:color w:val="000000" w:themeColor="text1"/>
          <w:sz w:val="36"/>
          <w:szCs w:val="30"/>
          <w14:textFill>
            <w14:solidFill>
              <w14:schemeClr w14:val="tx1"/>
            </w14:solidFill>
          </w14:textFill>
        </w:rPr>
        <w:t>设计</w:t>
      </w:r>
      <w:r>
        <w:rPr>
          <w:rFonts w:ascii="宋体" w:hAnsi="宋体"/>
          <w:b/>
          <w:color w:val="000000" w:themeColor="text1"/>
          <w:sz w:val="36"/>
          <w:szCs w:val="30"/>
          <w14:textFill>
            <w14:solidFill>
              <w14:schemeClr w14:val="tx1"/>
            </w14:solidFill>
          </w14:textFill>
        </w:rPr>
        <w:t>人主要</w:t>
      </w:r>
      <w:r>
        <w:rPr>
          <w:rFonts w:hint="eastAsia" w:ascii="宋体" w:hAnsi="宋体"/>
          <w:b/>
          <w:color w:val="000000" w:themeColor="text1"/>
          <w:sz w:val="36"/>
          <w:szCs w:val="30"/>
          <w14:textFill>
            <w14:solidFill>
              <w14:schemeClr w14:val="tx1"/>
            </w14:solidFill>
          </w14:textFill>
        </w:rPr>
        <w:t>设计</w:t>
      </w:r>
      <w:r>
        <w:rPr>
          <w:rFonts w:ascii="宋体" w:hAnsi="宋体"/>
          <w:b/>
          <w:color w:val="000000" w:themeColor="text1"/>
          <w:sz w:val="36"/>
          <w:szCs w:val="30"/>
          <w14:textFill>
            <w14:solidFill>
              <w14:schemeClr w14:val="tx1"/>
            </w14:solidFill>
          </w14:textFill>
        </w:rPr>
        <w:t>人员表</w:t>
      </w:r>
    </w:p>
    <w:p>
      <w:pPr>
        <w:spacing w:line="440" w:lineRule="exact"/>
        <w:rPr>
          <w:rFonts w:eastAsia="黑体"/>
          <w:color w:val="000000" w:themeColor="text1"/>
          <w:sz w:val="30"/>
          <w:szCs w:val="30"/>
          <w14:textFill>
            <w14:solidFill>
              <w14:schemeClr w14:val="tx1"/>
            </w14:solidFill>
          </w14:textFill>
        </w:rPr>
      </w:pPr>
    </w:p>
    <w:tbl>
      <w:tblPr>
        <w:tblStyle w:val="62"/>
        <w:tblW w:w="94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00"/>
        <w:gridCol w:w="1154"/>
        <w:gridCol w:w="908"/>
        <w:gridCol w:w="1667"/>
        <w:gridCol w:w="2127"/>
        <w:gridCol w:w="16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2000" w:type="dxa"/>
            <w:tcBorders>
              <w:bottom w:val="doub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名    称</w:t>
            </w:r>
          </w:p>
        </w:tc>
        <w:tc>
          <w:tcPr>
            <w:tcW w:w="1154" w:type="dxa"/>
            <w:tcBorders>
              <w:bottom w:val="doub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姓名</w:t>
            </w:r>
          </w:p>
        </w:tc>
        <w:tc>
          <w:tcPr>
            <w:tcW w:w="908" w:type="dxa"/>
            <w:tcBorders>
              <w:bottom w:val="doub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职务</w:t>
            </w:r>
          </w:p>
        </w:tc>
        <w:tc>
          <w:tcPr>
            <w:tcW w:w="1667" w:type="dxa"/>
            <w:tcBorders>
              <w:bottom w:val="doub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注册执业资格</w:t>
            </w:r>
          </w:p>
        </w:tc>
        <w:tc>
          <w:tcPr>
            <w:tcW w:w="2127" w:type="dxa"/>
            <w:tcBorders>
              <w:bottom w:val="doub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承担过的主要项目</w:t>
            </w:r>
          </w:p>
        </w:tc>
        <w:tc>
          <w:tcPr>
            <w:tcW w:w="1643" w:type="dxa"/>
            <w:tcBorders>
              <w:bottom w:val="double" w:color="auto" w:sz="6" w:space="0"/>
            </w:tcBorders>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jc w:val="center"/>
        </w:trPr>
        <w:tc>
          <w:tcPr>
            <w:tcW w:w="7856" w:type="dxa"/>
            <w:gridSpan w:val="5"/>
            <w:tcBorders>
              <w:top w:val="double" w:color="auto" w:sz="6" w:space="0"/>
              <w:bottom w:val="sing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一、总部人员（具体根据投标人承诺补充）</w:t>
            </w:r>
          </w:p>
        </w:tc>
        <w:tc>
          <w:tcPr>
            <w:tcW w:w="1643" w:type="dxa"/>
            <w:tcBorders>
              <w:top w:val="double" w:color="auto" w:sz="6" w:space="0"/>
              <w:bottom w:val="single" w:color="auto" w:sz="6" w:space="0"/>
            </w:tcBorders>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jc w:val="center"/>
        </w:trPr>
        <w:tc>
          <w:tcPr>
            <w:tcW w:w="2000" w:type="dxa"/>
            <w:tcBorders>
              <w:top w:val="nil"/>
              <w:bottom w:val="single" w:color="auto" w:sz="4"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项目主管</w:t>
            </w:r>
          </w:p>
        </w:tc>
        <w:tc>
          <w:tcPr>
            <w:tcW w:w="1154" w:type="dxa"/>
            <w:tcBorders>
              <w:top w:val="nil"/>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908" w:type="dxa"/>
            <w:tcBorders>
              <w:top w:val="nil"/>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67" w:type="dxa"/>
            <w:tcBorders>
              <w:top w:val="nil"/>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2127" w:type="dxa"/>
            <w:tcBorders>
              <w:top w:val="nil"/>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43" w:type="dxa"/>
            <w:tcBorders>
              <w:top w:val="nil"/>
            </w:tcBorders>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2" w:hRule="atLeast"/>
          <w:jc w:val="center"/>
        </w:trPr>
        <w:tc>
          <w:tcPr>
            <w:tcW w:w="2000" w:type="dxa"/>
            <w:tcBorders>
              <w:top w:val="single" w:color="auto" w:sz="4" w:space="0"/>
              <w:bottom w:val="nil"/>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其他人员</w:t>
            </w:r>
          </w:p>
        </w:tc>
        <w:tc>
          <w:tcPr>
            <w:tcW w:w="1154"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908"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6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212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43" w:type="dxa"/>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jc w:val="center"/>
        </w:trPr>
        <w:tc>
          <w:tcPr>
            <w:tcW w:w="7856" w:type="dxa"/>
            <w:gridSpan w:val="5"/>
            <w:tcBorders>
              <w:top w:val="single" w:color="auto" w:sz="6" w:space="0"/>
              <w:bottom w:val="sing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二、项目组成员（具体根据投标人承诺补充）</w:t>
            </w:r>
          </w:p>
        </w:tc>
        <w:tc>
          <w:tcPr>
            <w:tcW w:w="1643" w:type="dxa"/>
            <w:tcBorders>
              <w:top w:val="single" w:color="auto" w:sz="6" w:space="0"/>
              <w:bottom w:val="single" w:color="auto" w:sz="6" w:space="0"/>
            </w:tcBorders>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jc w:val="center"/>
        </w:trPr>
        <w:tc>
          <w:tcPr>
            <w:tcW w:w="2000" w:type="dxa"/>
            <w:tcBorders>
              <w:top w:val="single" w:color="auto" w:sz="6" w:space="0"/>
              <w:bottom w:val="sing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项目负责人</w:t>
            </w:r>
          </w:p>
        </w:tc>
        <w:tc>
          <w:tcPr>
            <w:tcW w:w="1154"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908"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6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212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43" w:type="dxa"/>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jc w:val="center"/>
        </w:trPr>
        <w:tc>
          <w:tcPr>
            <w:tcW w:w="2000" w:type="dxa"/>
            <w:tcBorders>
              <w:top w:val="single" w:color="auto" w:sz="6" w:space="0"/>
              <w:bottom w:val="sing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项目副负责人</w:t>
            </w:r>
          </w:p>
        </w:tc>
        <w:tc>
          <w:tcPr>
            <w:tcW w:w="1154"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908"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6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212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43" w:type="dxa"/>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jc w:val="center"/>
        </w:trPr>
        <w:tc>
          <w:tcPr>
            <w:tcW w:w="2000" w:type="dxa"/>
            <w:tcBorders>
              <w:top w:val="single" w:color="auto" w:sz="6" w:space="0"/>
              <w:bottom w:val="sing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建筑专业负责人</w:t>
            </w:r>
          </w:p>
        </w:tc>
        <w:tc>
          <w:tcPr>
            <w:tcW w:w="1154"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908"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6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212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43" w:type="dxa"/>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jc w:val="center"/>
        </w:trPr>
        <w:tc>
          <w:tcPr>
            <w:tcW w:w="2000" w:type="dxa"/>
            <w:tcBorders>
              <w:top w:val="single" w:color="auto" w:sz="6" w:space="0"/>
              <w:bottom w:val="sing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结构专业负责人</w:t>
            </w:r>
          </w:p>
        </w:tc>
        <w:tc>
          <w:tcPr>
            <w:tcW w:w="1154"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908"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6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212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43" w:type="dxa"/>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jc w:val="center"/>
        </w:trPr>
        <w:tc>
          <w:tcPr>
            <w:tcW w:w="2000" w:type="dxa"/>
            <w:tcBorders>
              <w:top w:val="single" w:color="auto" w:sz="6" w:space="0"/>
              <w:bottom w:val="sing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道路专业负责人</w:t>
            </w:r>
          </w:p>
        </w:tc>
        <w:tc>
          <w:tcPr>
            <w:tcW w:w="1154"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908"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6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212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43" w:type="dxa"/>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jc w:val="center"/>
        </w:trPr>
        <w:tc>
          <w:tcPr>
            <w:tcW w:w="2000" w:type="dxa"/>
            <w:tcBorders>
              <w:top w:val="single" w:color="auto" w:sz="6" w:space="0"/>
              <w:bottom w:val="sing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桥梁专业负责人</w:t>
            </w:r>
          </w:p>
        </w:tc>
        <w:tc>
          <w:tcPr>
            <w:tcW w:w="1154"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908"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6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212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43" w:type="dxa"/>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2" w:hRule="atLeast"/>
          <w:jc w:val="center"/>
        </w:trPr>
        <w:tc>
          <w:tcPr>
            <w:tcW w:w="2000" w:type="dxa"/>
            <w:tcBorders>
              <w:top w:val="single" w:color="auto" w:sz="6" w:space="0"/>
              <w:bottom w:val="sing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城市隧道专业负责人</w:t>
            </w:r>
          </w:p>
        </w:tc>
        <w:tc>
          <w:tcPr>
            <w:tcW w:w="1154"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908"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6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212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43" w:type="dxa"/>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2" w:hRule="atLeast"/>
          <w:jc w:val="center"/>
        </w:trPr>
        <w:tc>
          <w:tcPr>
            <w:tcW w:w="2000" w:type="dxa"/>
            <w:tcBorders>
              <w:top w:val="single" w:color="auto" w:sz="6" w:space="0"/>
              <w:bottom w:val="sing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给水排水专业负责人</w:t>
            </w:r>
          </w:p>
        </w:tc>
        <w:tc>
          <w:tcPr>
            <w:tcW w:w="1154"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908"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6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212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43" w:type="dxa"/>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2" w:hRule="atLeast"/>
          <w:jc w:val="center"/>
        </w:trPr>
        <w:tc>
          <w:tcPr>
            <w:tcW w:w="2000" w:type="dxa"/>
            <w:tcBorders>
              <w:top w:val="single" w:color="auto" w:sz="6" w:space="0"/>
              <w:bottom w:val="sing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暖通空调专业负责人</w:t>
            </w:r>
          </w:p>
        </w:tc>
        <w:tc>
          <w:tcPr>
            <w:tcW w:w="1154"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908"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6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212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43" w:type="dxa"/>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2000" w:type="dxa"/>
            <w:tcBorders>
              <w:top w:val="single" w:color="auto" w:sz="6" w:space="0"/>
            </w:tcBorders>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电气专业负责人</w:t>
            </w:r>
          </w:p>
        </w:tc>
        <w:tc>
          <w:tcPr>
            <w:tcW w:w="1154"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908"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6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2127" w:type="dxa"/>
            <w:vAlign w:val="center"/>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c>
          <w:tcPr>
            <w:tcW w:w="1643" w:type="dxa"/>
          </w:tcPr>
          <w:p>
            <w:pPr>
              <w:pStyle w:val="23"/>
              <w:keepNext/>
              <w:spacing w:after="0" w:line="380" w:lineRule="exact"/>
              <w:ind w:left="63" w:right="63"/>
              <w:rPr>
                <w:rFonts w:asciiTheme="minorEastAsia" w:hAnsiTheme="minorEastAsia" w:eastAsiaTheme="minorEastAsia"/>
                <w:color w:val="000000" w:themeColor="text1"/>
                <w:sz w:val="21"/>
                <w:szCs w:val="21"/>
                <w14:textFill>
                  <w14:solidFill>
                    <w14:schemeClr w14:val="tx1"/>
                  </w14:solidFill>
                </w14:textFill>
              </w:rPr>
            </w:pPr>
          </w:p>
        </w:tc>
      </w:tr>
    </w:tbl>
    <w:p>
      <w:pPr>
        <w:spacing w:line="440" w:lineRule="exact"/>
        <w:rPr>
          <w:rFonts w:eastAsia="黑体"/>
          <w:color w:val="000000" w:themeColor="text1"/>
          <w:sz w:val="30"/>
          <w:szCs w:val="30"/>
          <w14:textFill>
            <w14:solidFill>
              <w14:schemeClr w14:val="tx1"/>
            </w14:solidFill>
          </w14:textFill>
        </w:rPr>
      </w:pPr>
    </w:p>
    <w:p>
      <w:pPr>
        <w:widowControl/>
        <w:jc w:val="left"/>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6"/>
          <w:szCs w:val="30"/>
          <w:u w:val="single"/>
          <w14:textFill>
            <w14:solidFill>
              <w14:schemeClr w14:val="tx1"/>
            </w14:solidFill>
          </w14:textFill>
        </w:rPr>
        <w:br w:type="page"/>
      </w:r>
      <w:bookmarkStart w:id="543" w:name="_Toc117340062"/>
      <w:r>
        <w:rPr>
          <w:rFonts w:hint="eastAsia" w:ascii="宋体" w:hAnsi="宋体"/>
          <w:b/>
          <w:color w:val="000000" w:themeColor="text1"/>
          <w:sz w:val="36"/>
          <w:szCs w:val="30"/>
          <w14:textFill>
            <w14:solidFill>
              <w14:schemeClr w14:val="tx1"/>
            </w14:solidFill>
          </w14:textFill>
        </w:rPr>
        <w:t xml:space="preserve">                   三、分项合同--施工合同</w:t>
      </w:r>
      <w:bookmarkEnd w:id="543"/>
    </w:p>
    <w:p>
      <w:pPr>
        <w:widowControl/>
        <w:jc w:val="left"/>
        <w:rPr>
          <w:color w:val="000000" w:themeColor="text1"/>
          <w14:textFill>
            <w14:solidFill>
              <w14:schemeClr w14:val="tx1"/>
            </w14:solidFill>
          </w14:textFill>
        </w:rPr>
      </w:pPr>
    </w:p>
    <w:p>
      <w:pPr>
        <w:widowControl/>
        <w:spacing w:line="360" w:lineRule="auto"/>
        <w:ind w:firstLine="4560" w:firstLineChars="1900"/>
        <w:jc w:val="left"/>
        <w:rPr>
          <w:rFonts w:ascii="宋体" w:hAnsi="宋体"/>
          <w:color w:val="000000" w:themeColor="text1"/>
          <w:kern w:val="0"/>
          <w:sz w:val="20"/>
          <w:szCs w:val="21"/>
          <w14:textFill>
            <w14:solidFill>
              <w14:schemeClr w14:val="tx1"/>
            </w14:solidFill>
          </w14:textFill>
        </w:rPr>
      </w:pPr>
      <w:r>
        <w:rPr>
          <w:rFonts w:ascii="宋体" w:hAnsi="宋体"/>
          <w:bCs/>
          <w:color w:val="000000" w:themeColor="text1"/>
          <w:kern w:val="0"/>
          <w:sz w:val="24"/>
          <w:szCs w:val="20"/>
          <w14:textFill>
            <w14:solidFill>
              <w14:schemeClr w14:val="tx1"/>
            </w14:solidFill>
          </w14:textFill>
        </w:rPr>
        <w:t>（GF—201</w:t>
      </w:r>
      <w:r>
        <w:rPr>
          <w:rFonts w:hint="eastAsia" w:ascii="宋体" w:hAnsi="宋体"/>
          <w:bCs/>
          <w:color w:val="000000" w:themeColor="text1"/>
          <w:kern w:val="0"/>
          <w:sz w:val="24"/>
          <w:szCs w:val="20"/>
          <w14:textFill>
            <w14:solidFill>
              <w14:schemeClr w14:val="tx1"/>
            </w14:solidFill>
          </w14:textFill>
        </w:rPr>
        <w:t>7</w:t>
      </w:r>
      <w:r>
        <w:rPr>
          <w:rFonts w:ascii="宋体" w:hAnsi="宋体"/>
          <w:bCs/>
          <w:color w:val="000000" w:themeColor="text1"/>
          <w:kern w:val="0"/>
          <w:sz w:val="24"/>
          <w:szCs w:val="20"/>
          <w14:textFill>
            <w14:solidFill>
              <w14:schemeClr w14:val="tx1"/>
            </w14:solidFill>
          </w14:textFill>
        </w:rPr>
        <w:t>—</w:t>
      </w:r>
      <w:r>
        <w:rPr>
          <w:rFonts w:hint="eastAsia" w:ascii="宋体" w:hAnsi="宋体"/>
          <w:bCs/>
          <w:color w:val="000000" w:themeColor="text1"/>
          <w:kern w:val="0"/>
          <w:sz w:val="24"/>
          <w:szCs w:val="20"/>
          <w14:textFill>
            <w14:solidFill>
              <w14:schemeClr w14:val="tx1"/>
            </w14:solidFill>
          </w14:textFill>
        </w:rPr>
        <w:t>0201）</w:t>
      </w:r>
    </w:p>
    <w:p>
      <w:pPr>
        <w:widowControl/>
        <w:spacing w:line="360" w:lineRule="auto"/>
        <w:jc w:val="center"/>
        <w:rPr>
          <w:rFonts w:ascii="宋体" w:hAnsi="宋体"/>
          <w:color w:val="000000" w:themeColor="text1"/>
          <w:kern w:val="0"/>
          <w:sz w:val="20"/>
          <w:szCs w:val="21"/>
          <w14:textFill>
            <w14:solidFill>
              <w14:schemeClr w14:val="tx1"/>
            </w14:solidFill>
          </w14:textFill>
        </w:rPr>
      </w:pPr>
    </w:p>
    <w:p>
      <w:pPr>
        <w:widowControl/>
        <w:spacing w:line="360" w:lineRule="auto"/>
        <w:jc w:val="center"/>
        <w:rPr>
          <w:rFonts w:ascii="宋体" w:hAnsi="宋体"/>
          <w:color w:val="000000" w:themeColor="text1"/>
          <w:kern w:val="0"/>
          <w:sz w:val="20"/>
          <w:szCs w:val="21"/>
          <w14:textFill>
            <w14:solidFill>
              <w14:schemeClr w14:val="tx1"/>
            </w14:solidFill>
          </w14:textFill>
        </w:rPr>
      </w:pPr>
    </w:p>
    <w:p>
      <w:pPr>
        <w:widowControl/>
        <w:spacing w:line="360" w:lineRule="auto"/>
        <w:jc w:val="center"/>
        <w:rPr>
          <w:rFonts w:ascii="宋体" w:hAnsi="宋体"/>
          <w:color w:val="000000" w:themeColor="text1"/>
          <w:kern w:val="0"/>
          <w:sz w:val="20"/>
          <w:szCs w:val="21"/>
          <w14:textFill>
            <w14:solidFill>
              <w14:schemeClr w14:val="tx1"/>
            </w14:solidFill>
          </w14:textFill>
        </w:rPr>
      </w:pPr>
    </w:p>
    <w:p>
      <w:pPr>
        <w:widowControl/>
        <w:spacing w:line="360" w:lineRule="auto"/>
        <w:jc w:val="center"/>
        <w:rPr>
          <w:rFonts w:ascii="宋体" w:hAnsi="宋体"/>
          <w:color w:val="000000" w:themeColor="text1"/>
          <w:kern w:val="0"/>
          <w:sz w:val="20"/>
          <w:szCs w:val="21"/>
          <w14:textFill>
            <w14:solidFill>
              <w14:schemeClr w14:val="tx1"/>
            </w14:solidFill>
          </w14:textFill>
        </w:rPr>
      </w:pPr>
    </w:p>
    <w:p>
      <w:pPr>
        <w:widowControl/>
        <w:spacing w:line="360" w:lineRule="auto"/>
        <w:jc w:val="center"/>
        <w:rPr>
          <w:rFonts w:ascii="宋体" w:hAnsi="宋体"/>
          <w:b/>
          <w:color w:val="000000" w:themeColor="text1"/>
          <w:kern w:val="0"/>
          <w:sz w:val="72"/>
          <w:szCs w:val="72"/>
          <w14:textFill>
            <w14:solidFill>
              <w14:schemeClr w14:val="tx1"/>
            </w14:solidFill>
          </w14:textFill>
        </w:rPr>
      </w:pPr>
      <w:r>
        <w:rPr>
          <w:rFonts w:hint="eastAsia" w:ascii="宋体" w:hAnsi="宋体"/>
          <w:b/>
          <w:color w:val="000000" w:themeColor="text1"/>
          <w:kern w:val="0"/>
          <w:sz w:val="72"/>
          <w:szCs w:val="72"/>
          <w14:textFill>
            <w14:solidFill>
              <w14:schemeClr w14:val="tx1"/>
            </w14:solidFill>
          </w14:textFill>
        </w:rPr>
        <w:t>建设工程施工合同</w:t>
      </w:r>
    </w:p>
    <w:p>
      <w:pPr>
        <w:widowControl/>
        <w:spacing w:line="360" w:lineRule="auto"/>
        <w:jc w:val="left"/>
        <w:rPr>
          <w:rFonts w:ascii="宋体" w:hAnsi="宋体"/>
          <w:b/>
          <w:color w:val="000000" w:themeColor="text1"/>
          <w:kern w:val="0"/>
          <w:sz w:val="28"/>
          <w:szCs w:val="28"/>
          <w14:textFill>
            <w14:solidFill>
              <w14:schemeClr w14:val="tx1"/>
            </w14:solidFill>
          </w14:textFill>
        </w:rPr>
      </w:pPr>
    </w:p>
    <w:p>
      <w:pPr>
        <w:widowControl/>
        <w:spacing w:line="360" w:lineRule="auto"/>
        <w:jc w:val="left"/>
        <w:rPr>
          <w:rFonts w:ascii="宋体" w:hAnsi="宋体"/>
          <w:b/>
          <w:color w:val="000000" w:themeColor="text1"/>
          <w:kern w:val="0"/>
          <w:sz w:val="32"/>
          <w:szCs w:val="32"/>
          <w14:textFill>
            <w14:solidFill>
              <w14:schemeClr w14:val="tx1"/>
            </w14:solidFill>
          </w14:textFill>
        </w:rPr>
      </w:pPr>
    </w:p>
    <w:p>
      <w:pPr>
        <w:widowControl/>
        <w:spacing w:line="360" w:lineRule="auto"/>
        <w:jc w:val="left"/>
        <w:rPr>
          <w:rFonts w:ascii="宋体" w:hAnsi="宋体"/>
          <w:color w:val="000000" w:themeColor="text1"/>
          <w:kern w:val="0"/>
          <w:sz w:val="28"/>
          <w:szCs w:val="28"/>
          <w:u w:val="single"/>
          <w14:textFill>
            <w14:solidFill>
              <w14:schemeClr w14:val="tx1"/>
            </w14:solidFill>
          </w14:textFill>
        </w:rPr>
      </w:pPr>
    </w:p>
    <w:p>
      <w:pPr>
        <w:widowControl/>
        <w:spacing w:line="360" w:lineRule="auto"/>
        <w:jc w:val="left"/>
        <w:rPr>
          <w:rFonts w:ascii="宋体" w:hAnsi="宋体"/>
          <w:color w:val="000000" w:themeColor="text1"/>
          <w:kern w:val="0"/>
          <w:sz w:val="28"/>
          <w:szCs w:val="28"/>
          <w:u w:val="single"/>
          <w14:textFill>
            <w14:solidFill>
              <w14:schemeClr w14:val="tx1"/>
            </w14:solidFill>
          </w14:textFill>
        </w:rPr>
      </w:pPr>
    </w:p>
    <w:p>
      <w:pPr>
        <w:widowControl/>
        <w:spacing w:line="360" w:lineRule="auto"/>
        <w:jc w:val="left"/>
        <w:rPr>
          <w:rFonts w:ascii="宋体" w:hAnsi="宋体"/>
          <w:color w:val="000000" w:themeColor="text1"/>
          <w:kern w:val="0"/>
          <w:sz w:val="28"/>
          <w:szCs w:val="28"/>
          <w:u w:val="single"/>
          <w14:textFill>
            <w14:solidFill>
              <w14:schemeClr w14:val="tx1"/>
            </w14:solidFill>
          </w14:textFill>
        </w:rPr>
      </w:pPr>
    </w:p>
    <w:p>
      <w:pPr>
        <w:widowControl/>
        <w:spacing w:line="360" w:lineRule="auto"/>
        <w:jc w:val="left"/>
        <w:rPr>
          <w:rFonts w:ascii="宋体" w:hAnsi="宋体"/>
          <w:color w:val="000000" w:themeColor="text1"/>
          <w:kern w:val="0"/>
          <w:sz w:val="28"/>
          <w:szCs w:val="28"/>
          <w:u w:val="single"/>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widowControl/>
        <w:snapToGrid w:val="0"/>
        <w:spacing w:before="100" w:beforeAutospacing="1" w:after="100" w:afterAutospacing="1" w:line="280" w:lineRule="exact"/>
        <w:ind w:firstLine="2837" w:firstLineChars="883"/>
        <w:jc w:val="left"/>
        <w:rPr>
          <w:rFonts w:ascii="宋体" w:hAnsi="宋体" w:cs="宋体"/>
          <w:b/>
          <w:bCs/>
          <w:color w:val="000000" w:themeColor="text1"/>
          <w:kern w:val="0"/>
          <w:sz w:val="32"/>
          <w:szCs w:val="32"/>
          <w14:textFill>
            <w14:solidFill>
              <w14:schemeClr w14:val="tx1"/>
            </w14:solidFill>
          </w14:textFill>
        </w:rPr>
      </w:pPr>
      <w:r>
        <w:rPr>
          <w:rFonts w:ascii="宋体" w:hAnsi="宋体" w:cs="宋体"/>
          <w:b/>
          <w:bCs/>
          <w:color w:val="000000" w:themeColor="text1"/>
          <w:kern w:val="0"/>
          <w:sz w:val="32"/>
          <w:szCs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4024630</wp:posOffset>
                </wp:positionH>
                <wp:positionV relativeFrom="paragraph">
                  <wp:posOffset>220345</wp:posOffset>
                </wp:positionV>
                <wp:extent cx="835025" cy="360045"/>
                <wp:effectExtent l="0" t="0" r="0" b="0"/>
                <wp:wrapNone/>
                <wp:docPr id="1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35025" cy="360045"/>
                        </a:xfrm>
                        <a:prstGeom prst="rect">
                          <a:avLst/>
                        </a:prstGeom>
                        <a:solidFill>
                          <a:srgbClr val="FFFFFF"/>
                        </a:solidFill>
                        <a:ln>
                          <a:noFill/>
                        </a:ln>
                      </wps:spPr>
                      <wps:txbx>
                        <w:txbxContent>
                          <w:p>
                            <w:pPr>
                              <w:ind w:leftChars="-67" w:hanging="141" w:hangingChars="44"/>
                              <w:rPr>
                                <w:b/>
                                <w:bCs/>
                                <w:sz w:val="32"/>
                                <w:szCs w:val="32"/>
                              </w:rPr>
                            </w:pPr>
                            <w:r>
                              <w:rPr>
                                <w:rFonts w:hint="eastAsia"/>
                                <w:b/>
                                <w:bCs/>
                                <w:sz w:val="32"/>
                                <w:szCs w:val="32"/>
                              </w:rPr>
                              <w:t>制定</w:t>
                            </w:r>
                          </w:p>
                        </w:txbxContent>
                      </wps:txbx>
                      <wps:bodyPr rot="0" vert="horz" wrap="square" anchor="t" anchorCtr="0" upright="1"/>
                    </wps:wsp>
                  </a:graphicData>
                </a:graphic>
              </wp:anchor>
            </w:drawing>
          </mc:Choice>
          <mc:Fallback>
            <w:pict>
              <v:shape id="文本框 1" o:spid="_x0000_s1026" o:spt="202" type="#_x0000_t202" style="position:absolute;left:0pt;margin-left:316.9pt;margin-top:17.35pt;height:28.35pt;width:65.75pt;z-index:251665408;mso-width-relative:page;mso-height-relative:page;" fillcolor="#FFFFFF" filled="t" stroked="f" coordsize="21600,21600" o:gfxdata="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y3h8dcAAAAJAQAADwAAAAAAAAABACAAAAAiAAAAZHJz&#10;L2Rvd25yZXYueG1sUEsBAhQAFAAAAAgAh07iQBTz7ZYFAgAA8AMAAA4AAAAAAAAAAQAgAAAAJgEA&#10;AGRycy9lMm9Eb2MueG1sUEsFBgAAAAAGAAYAWQEAAJ0FAAAAAA==&#10;">
                <v:fill on="t" focussize="0,0"/>
                <v:stroke on="f"/>
                <v:imagedata o:title=""/>
                <o:lock v:ext="edit" aspectratio="f"/>
                <v:textbox>
                  <w:txbxContent>
                    <w:p>
                      <w:pPr>
                        <w:ind w:leftChars="-67" w:hanging="141" w:hangingChars="44"/>
                        <w:rPr>
                          <w:b/>
                          <w:bCs/>
                          <w:sz w:val="32"/>
                          <w:szCs w:val="32"/>
                        </w:rPr>
                      </w:pPr>
                      <w:r>
                        <w:rPr>
                          <w:rFonts w:hint="eastAsia"/>
                          <w:b/>
                          <w:bCs/>
                          <w:sz w:val="32"/>
                          <w:szCs w:val="32"/>
                        </w:rPr>
                        <w:t>制定</w:t>
                      </w:r>
                    </w:p>
                  </w:txbxContent>
                </v:textbox>
              </v:shape>
            </w:pict>
          </mc:Fallback>
        </mc:AlternateContent>
      </w:r>
      <w:r>
        <w:rPr>
          <w:rFonts w:ascii="宋体" w:hAnsi="宋体" w:cs="宋体"/>
          <w:b/>
          <w:bCs/>
          <w:color w:val="000000" w:themeColor="text1"/>
          <w:kern w:val="0"/>
          <w:sz w:val="32"/>
          <w:szCs w:val="32"/>
          <w14:textFill>
            <w14:solidFill>
              <w14:schemeClr w14:val="tx1"/>
            </w14:solidFill>
          </w14:textFill>
        </w:rPr>
        <w:t>中华人民共和国建设部</w:t>
      </w:r>
    </w:p>
    <w:p>
      <w:pPr>
        <w:widowControl/>
        <w:snapToGrid w:val="0"/>
        <w:spacing w:before="100" w:beforeAutospacing="1" w:after="100" w:afterAutospacing="1" w:line="360" w:lineRule="exact"/>
        <w:ind w:firstLine="2890" w:firstLineChars="800"/>
        <w:rPr>
          <w:rFonts w:ascii="宋体" w:hAnsi="宋体" w:cs="宋体"/>
          <w:b/>
          <w:bCs/>
          <w:color w:val="000000" w:themeColor="text1"/>
          <w:kern w:val="0"/>
          <w:sz w:val="32"/>
          <w:szCs w:val="32"/>
          <w14:textFill>
            <w14:solidFill>
              <w14:schemeClr w14:val="tx1"/>
            </w14:solidFill>
          </w14:textFill>
        </w:rPr>
      </w:pPr>
      <w:r>
        <w:rPr>
          <w:rFonts w:ascii="宋体" w:hAnsi="宋体" w:cs="宋体"/>
          <w:b/>
          <w:bCs/>
          <w:color w:val="000000" w:themeColor="text1"/>
          <w:spacing w:val="20"/>
          <w:kern w:val="0"/>
          <w:sz w:val="32"/>
          <w:szCs w:val="32"/>
          <w14:textFill>
            <w14:solidFill>
              <w14:schemeClr w14:val="tx1"/>
            </w14:solidFill>
          </w14:textFill>
        </w:rPr>
        <w:t>国家工商行政管理局</w:t>
      </w:r>
    </w:p>
    <w:p>
      <w:pPr>
        <w:widowControl/>
        <w:jc w:val="center"/>
        <w:rPr>
          <w:rFonts w:ascii="宋体" w:hAnsi="宋体"/>
          <w:color w:val="000000" w:themeColor="text1"/>
          <w:kern w:val="0"/>
          <w:sz w:val="32"/>
          <w:szCs w:val="32"/>
          <w14:textFill>
            <w14:solidFill>
              <w14:schemeClr w14:val="tx1"/>
            </w14:solidFill>
          </w14:textFill>
        </w:rPr>
      </w:pPr>
      <w:r>
        <w:rPr>
          <w:rFonts w:ascii="宋体" w:hAnsi="宋体"/>
          <w:b/>
          <w:color w:val="000000" w:themeColor="text1"/>
          <w:kern w:val="0"/>
          <w:sz w:val="32"/>
          <w:szCs w:val="32"/>
          <w14:textFill>
            <w14:solidFill>
              <w14:schemeClr w14:val="tx1"/>
            </w14:solidFill>
          </w14:textFill>
        </w:rPr>
        <w:br w:type="page"/>
      </w:r>
      <w:r>
        <w:rPr>
          <w:rFonts w:hint="eastAsia" w:ascii="宋体" w:hAnsi="宋体"/>
          <w:b/>
          <w:color w:val="000000" w:themeColor="text1"/>
          <w:kern w:val="0"/>
          <w:sz w:val="32"/>
          <w:szCs w:val="32"/>
          <w14:textFill>
            <w14:solidFill>
              <w14:schemeClr w14:val="tx1"/>
            </w14:solidFill>
          </w14:textFill>
        </w:rPr>
        <w:t>第一部分 合同协议书</w:t>
      </w:r>
    </w:p>
    <w:p>
      <w:pPr>
        <w:widowControl/>
        <w:spacing w:line="360" w:lineRule="auto"/>
        <w:jc w:val="left"/>
        <w:rPr>
          <w:rFonts w:ascii="宋体" w:hAnsi="宋体"/>
          <w:color w:val="000000" w:themeColor="text1"/>
          <w:kern w:val="0"/>
          <w:sz w:val="20"/>
          <w:szCs w:val="20"/>
          <w14:textFill>
            <w14:solidFill>
              <w14:schemeClr w14:val="tx1"/>
            </w14:solidFill>
          </w14:textFill>
        </w:rPr>
      </w:pPr>
    </w:p>
    <w:p>
      <w:pPr>
        <w:widowControl/>
        <w:spacing w:line="360" w:lineRule="auto"/>
        <w:jc w:val="left"/>
        <w:rPr>
          <w:rFonts w:ascii="宋体" w:hAnsi="宋体"/>
          <w:b/>
          <w:color w:val="000000" w:themeColor="text1"/>
          <w:kern w:val="0"/>
          <w:sz w:val="24"/>
          <w:u w:val="single"/>
          <w14:textFill>
            <w14:solidFill>
              <w14:schemeClr w14:val="tx1"/>
            </w14:solidFill>
          </w14:textFill>
        </w:rPr>
      </w:pPr>
      <w:r>
        <w:rPr>
          <w:rFonts w:ascii="宋体" w:hAnsi="宋体"/>
          <w:b/>
          <w:color w:val="000000" w:themeColor="text1"/>
          <w:kern w:val="0"/>
          <w:sz w:val="24"/>
          <w14:textFill>
            <w14:solidFill>
              <w14:schemeClr w14:val="tx1"/>
            </w14:solidFill>
          </w14:textFill>
        </w:rPr>
        <w:t>发包人（全称）：</w:t>
      </w:r>
      <w:r>
        <w:rPr>
          <w:rFonts w:hint="eastAsia" w:ascii="宋体" w:hAnsi="宋体"/>
          <w:b/>
          <w:bCs/>
          <w:color w:val="000000" w:themeColor="text1"/>
          <w:kern w:val="0"/>
          <w:sz w:val="24"/>
          <w:u w:val="single"/>
          <w14:textFill>
            <w14:solidFill>
              <w14:schemeClr w14:val="tx1"/>
            </w14:solidFill>
          </w14:textFill>
        </w:rPr>
        <w:t>昆明经济技术开发区规划建设局</w:t>
      </w:r>
    </w:p>
    <w:p>
      <w:pPr>
        <w:widowControl/>
        <w:spacing w:before="120" w:beforeLines="50" w:after="120" w:afterLines="50" w:line="360" w:lineRule="auto"/>
        <w:jc w:val="left"/>
        <w:rPr>
          <w:rFonts w:ascii="宋体" w:hAnsi="宋体"/>
          <w:color w:val="000000" w:themeColor="text1"/>
          <w:kern w:val="0"/>
          <w:sz w:val="32"/>
          <w:szCs w:val="32"/>
          <w:u w:val="single"/>
          <w14:textFill>
            <w14:solidFill>
              <w14:schemeClr w14:val="tx1"/>
            </w14:solidFill>
          </w14:textFill>
        </w:rPr>
      </w:pPr>
      <w:r>
        <w:rPr>
          <w:rFonts w:ascii="宋体" w:hAnsi="宋体"/>
          <w:b/>
          <w:color w:val="000000" w:themeColor="text1"/>
          <w:kern w:val="0"/>
          <w:sz w:val="24"/>
          <w14:textFill>
            <w14:solidFill>
              <w14:schemeClr w14:val="tx1"/>
            </w14:solidFill>
          </w14:textFill>
        </w:rPr>
        <w:t>承包人（全称）：</w:t>
      </w:r>
      <w:r>
        <w:rPr>
          <w:rFonts w:hint="eastAsia" w:ascii="宋体" w:hAnsi="宋体"/>
          <w:b/>
          <w:color w:val="000000" w:themeColor="text1"/>
          <w:kern w:val="0"/>
          <w:sz w:val="24"/>
          <w:u w:val="single"/>
          <w14:textFill>
            <w14:solidFill>
              <w14:schemeClr w14:val="tx1"/>
            </w14:solidFill>
          </w14:textFill>
        </w:rPr>
        <w:t xml:space="preserve"> </w:t>
      </w:r>
      <w:r>
        <w:rPr>
          <w:rFonts w:ascii="宋体" w:hAnsi="宋体"/>
          <w:b/>
          <w:color w:val="000000" w:themeColor="text1"/>
          <w:kern w:val="0"/>
          <w:sz w:val="24"/>
          <w:u w:val="single"/>
          <w14:textFill>
            <w14:solidFill>
              <w14:schemeClr w14:val="tx1"/>
            </w14:solidFill>
          </w14:textFill>
        </w:rPr>
        <w:t xml:space="preserve">                   </w:t>
      </w:r>
    </w:p>
    <w:p>
      <w:pPr>
        <w:adjustRightInd w:val="0"/>
        <w:snapToGrid w:val="0"/>
        <w:spacing w:line="360" w:lineRule="auto"/>
        <w:ind w:left="-1" w:firstLine="460" w:firstLineChars="200"/>
        <w:rPr>
          <w:rFonts w:ascii="宋体" w:hAnsi="宋体" w:cs="仿宋_GB2312"/>
          <w:color w:val="000000" w:themeColor="text1"/>
          <w:spacing w:val="-5"/>
          <w:sz w:val="24"/>
          <w14:textFill>
            <w14:solidFill>
              <w14:schemeClr w14:val="tx1"/>
            </w14:solidFill>
          </w14:textFill>
        </w:rPr>
      </w:pPr>
      <w:r>
        <w:rPr>
          <w:rFonts w:hint="eastAsia" w:ascii="宋体" w:hAnsi="宋体" w:cs="仿宋_GB2312"/>
          <w:color w:val="000000" w:themeColor="text1"/>
          <w:spacing w:val="-5"/>
          <w:sz w:val="24"/>
          <w14:textFill>
            <w14:solidFill>
              <w14:schemeClr w14:val="tx1"/>
            </w14:solidFill>
          </w14:textFill>
        </w:rPr>
        <w:t>本项目招标接受联合体投标,中标单位为联合体，分别是：</w:t>
      </w:r>
      <w:r>
        <w:rPr>
          <w:rFonts w:hint="eastAsia" w:ascii="宋体" w:hAnsi="宋体" w:cs="仿宋_GB2312"/>
          <w:b/>
          <w:bCs/>
          <w:color w:val="000000" w:themeColor="text1"/>
          <w:spacing w:val="-5"/>
          <w:sz w:val="24"/>
          <w14:textFill>
            <w14:solidFill>
              <w14:schemeClr w14:val="tx1"/>
            </w14:solidFill>
          </w14:textFill>
        </w:rPr>
        <w:t>施工单位</w:t>
      </w:r>
      <w:r>
        <w:rPr>
          <w:rFonts w:hint="eastAsia" w:ascii="宋体" w:hAnsi="宋体" w:cs="仿宋_GB2312"/>
          <w:color w:val="000000" w:themeColor="text1"/>
          <w:spacing w:val="-5"/>
          <w:sz w:val="24"/>
          <w14:textFill>
            <w14:solidFill>
              <w14:schemeClr w14:val="tx1"/>
            </w14:solidFill>
          </w14:textFill>
        </w:rPr>
        <w:t>(</w:t>
      </w:r>
      <w:r>
        <w:rPr>
          <w:rFonts w:ascii="宋体" w:hAnsi="宋体" w:cs="仿宋_GB2312"/>
          <w:color w:val="000000" w:themeColor="text1"/>
          <w:spacing w:val="-5"/>
          <w:sz w:val="24"/>
          <w:u w:val="single"/>
          <w14:textFill>
            <w14:solidFill>
              <w14:schemeClr w14:val="tx1"/>
            </w14:solidFill>
          </w14:textFill>
        </w:rPr>
        <w:t xml:space="preserve">               </w:t>
      </w:r>
      <w:r>
        <w:rPr>
          <w:rFonts w:hint="eastAsia" w:ascii="宋体" w:hAnsi="宋体" w:cs="仿宋_GB2312"/>
          <w:color w:val="000000" w:themeColor="text1"/>
          <w:spacing w:val="-5"/>
          <w:sz w:val="24"/>
          <w14:textFill>
            <w14:solidFill>
              <w14:schemeClr w14:val="tx1"/>
            </w14:solidFill>
          </w14:textFill>
        </w:rPr>
        <w:t>)和</w:t>
      </w:r>
      <w:r>
        <w:rPr>
          <w:rFonts w:hint="eastAsia" w:ascii="宋体" w:hAnsi="宋体" w:cs="仿宋_GB2312"/>
          <w:b/>
          <w:bCs/>
          <w:color w:val="000000" w:themeColor="text1"/>
          <w:spacing w:val="-5"/>
          <w:sz w:val="24"/>
          <w14:textFill>
            <w14:solidFill>
              <w14:schemeClr w14:val="tx1"/>
            </w14:solidFill>
          </w14:textFill>
        </w:rPr>
        <w:t>设计单位</w:t>
      </w:r>
      <w:r>
        <w:rPr>
          <w:rFonts w:hint="eastAsia" w:ascii="宋体" w:hAnsi="宋体" w:cs="仿宋_GB2312"/>
          <w:color w:val="000000" w:themeColor="text1"/>
          <w:spacing w:val="-5"/>
          <w:sz w:val="24"/>
          <w14:textFill>
            <w14:solidFill>
              <w14:schemeClr w14:val="tx1"/>
            </w14:solidFill>
          </w14:textFill>
        </w:rPr>
        <w:t>（</w:t>
      </w:r>
      <w:r>
        <w:rPr>
          <w:rFonts w:hint="eastAsia" w:ascii="宋体" w:hAnsi="宋体" w:cs="仿宋_GB2312"/>
          <w:color w:val="000000" w:themeColor="text1"/>
          <w:spacing w:val="-5"/>
          <w:sz w:val="24"/>
          <w:u w:val="single"/>
          <w14:textFill>
            <w14:solidFill>
              <w14:schemeClr w14:val="tx1"/>
            </w14:solidFill>
          </w14:textFill>
        </w:rPr>
        <w:t xml:space="preserve"> </w:t>
      </w:r>
      <w:r>
        <w:rPr>
          <w:rFonts w:ascii="宋体" w:hAnsi="宋体" w:cs="仿宋_GB2312"/>
          <w:color w:val="000000" w:themeColor="text1"/>
          <w:spacing w:val="-5"/>
          <w:sz w:val="24"/>
          <w:u w:val="single"/>
          <w14:textFill>
            <w14:solidFill>
              <w14:schemeClr w14:val="tx1"/>
            </w14:solidFill>
          </w14:textFill>
        </w:rPr>
        <w:t xml:space="preserve">                 </w:t>
      </w:r>
      <w:r>
        <w:rPr>
          <w:rFonts w:hint="eastAsia" w:ascii="宋体" w:hAnsi="宋体" w:cs="仿宋_GB2312"/>
          <w:color w:val="000000" w:themeColor="text1"/>
          <w:spacing w:val="-5"/>
          <w:sz w:val="24"/>
          <w14:textFill>
            <w14:solidFill>
              <w14:schemeClr w14:val="tx1"/>
            </w14:solidFill>
          </w14:textFill>
        </w:rPr>
        <w:t>）。</w:t>
      </w:r>
    </w:p>
    <w:p>
      <w:pPr>
        <w:adjustRightInd w:val="0"/>
        <w:snapToGrid w:val="0"/>
        <w:spacing w:line="360" w:lineRule="auto"/>
        <w:ind w:left="-1" w:firstLine="460" w:firstLineChars="200"/>
        <w:rPr>
          <w:rFonts w:ascii="宋体" w:hAnsi="宋体" w:cs="仿宋_GB2312"/>
          <w:color w:val="000000" w:themeColor="text1"/>
          <w:spacing w:val="-5"/>
          <w:sz w:val="24"/>
          <w14:textFill>
            <w14:solidFill>
              <w14:schemeClr w14:val="tx1"/>
            </w14:solidFill>
          </w14:textFill>
        </w:rPr>
      </w:pPr>
      <w:r>
        <w:rPr>
          <w:rFonts w:hint="eastAsia" w:ascii="宋体" w:hAnsi="宋体" w:cs="仿宋_GB2312"/>
          <w:color w:val="000000" w:themeColor="text1"/>
          <w:spacing w:val="-5"/>
          <w:sz w:val="24"/>
          <w14:textFill>
            <w14:solidFill>
              <w14:schemeClr w14:val="tx1"/>
            </w14:solidFill>
          </w14:textFill>
        </w:rPr>
        <w:t>中标人确定后，将依据招标文件及投标文件与发包人洽谈合同，根据合同谈判的情况，中标人（联合体各方）应针对合同谈判的要点，对联合体协议书进行细化并重新签订具有针对性的联合体协议书。此后，发包人分别与施工单位、设计单位签订合同，联合体各方对依据联合体协议及各专项合同对本项目整体承担连带责任，本合同为</w:t>
      </w:r>
      <w:r>
        <w:rPr>
          <w:rFonts w:hint="eastAsia" w:ascii="宋体" w:hAnsi="宋体" w:cs="仿宋_GB2312"/>
          <w:b/>
          <w:color w:val="000000" w:themeColor="text1"/>
          <w:spacing w:val="-5"/>
          <w:sz w:val="24"/>
          <w14:textFill>
            <w14:solidFill>
              <w14:schemeClr w14:val="tx1"/>
            </w14:solidFill>
          </w14:textFill>
        </w:rPr>
        <w:t>施工</w:t>
      </w:r>
      <w:r>
        <w:rPr>
          <w:rFonts w:hint="eastAsia" w:ascii="宋体" w:hAnsi="宋体" w:cs="仿宋_GB2312"/>
          <w:b/>
          <w:bCs/>
          <w:color w:val="000000" w:themeColor="text1"/>
          <w:spacing w:val="-5"/>
          <w:sz w:val="24"/>
          <w14:textFill>
            <w14:solidFill>
              <w14:schemeClr w14:val="tx1"/>
            </w14:solidFill>
          </w14:textFill>
        </w:rPr>
        <w:t>合同</w:t>
      </w:r>
      <w:r>
        <w:rPr>
          <w:rFonts w:hint="eastAsia" w:ascii="宋体" w:hAnsi="宋体" w:cs="仿宋_GB2312"/>
          <w:color w:val="000000" w:themeColor="text1"/>
          <w:spacing w:val="-5"/>
          <w:sz w:val="24"/>
          <w14:textFill>
            <w14:solidFill>
              <w14:schemeClr w14:val="tx1"/>
            </w14:solidFill>
          </w14:textFill>
        </w:rPr>
        <w:t>。</w:t>
      </w:r>
    </w:p>
    <w:p>
      <w:pPr>
        <w:adjustRightInd w:val="0"/>
        <w:snapToGrid w:val="0"/>
        <w:spacing w:line="360" w:lineRule="auto"/>
        <w:ind w:left="-1" w:firstLine="460" w:firstLineChars="200"/>
        <w:rPr>
          <w:rFonts w:ascii="宋体" w:hAnsi="宋体" w:cs="仿宋_GB2312"/>
          <w:color w:val="000000" w:themeColor="text1"/>
          <w:spacing w:val="-5"/>
          <w:sz w:val="24"/>
          <w14:textFill>
            <w14:solidFill>
              <w14:schemeClr w14:val="tx1"/>
            </w14:solidFill>
          </w14:textFill>
        </w:rPr>
      </w:pPr>
      <w:r>
        <w:rPr>
          <w:rFonts w:hint="eastAsia" w:ascii="宋体" w:hAnsi="宋体" w:cs="仿宋_GB2312"/>
          <w:color w:val="000000" w:themeColor="text1"/>
          <w:spacing w:val="-5"/>
          <w:sz w:val="24"/>
          <w14:textFill>
            <w14:solidFill>
              <w14:schemeClr w14:val="tx1"/>
            </w14:solidFill>
          </w14:textFill>
        </w:rPr>
        <w:t>发包人委托承包人</w:t>
      </w:r>
      <w:r>
        <w:rPr>
          <w:rFonts w:hint="eastAsia" w:ascii="宋体" w:hAnsi="宋体" w:cs="仿宋_GB2312"/>
          <w:color w:val="000000" w:themeColor="text1"/>
          <w:spacing w:val="-5"/>
          <w:sz w:val="24"/>
          <w:u w:val="single"/>
          <w14:textFill>
            <w14:solidFill>
              <w14:schemeClr w14:val="tx1"/>
            </w14:solidFill>
          </w14:textFill>
        </w:rPr>
        <w:t xml:space="preserve"> </w:t>
      </w:r>
      <w:r>
        <w:rPr>
          <w:rFonts w:ascii="宋体" w:hAnsi="宋体" w:cs="仿宋_GB2312"/>
          <w:color w:val="000000" w:themeColor="text1"/>
          <w:spacing w:val="-5"/>
          <w:sz w:val="24"/>
          <w:u w:val="single"/>
          <w14:textFill>
            <w14:solidFill>
              <w14:schemeClr w14:val="tx1"/>
            </w14:solidFill>
          </w14:textFill>
        </w:rPr>
        <w:t xml:space="preserve">                   </w:t>
      </w:r>
      <w:r>
        <w:rPr>
          <w:rFonts w:hint="eastAsia" w:ascii="宋体" w:hAnsi="宋体" w:cs="仿宋_GB2312"/>
          <w:color w:val="000000" w:themeColor="text1"/>
          <w:spacing w:val="-5"/>
          <w:sz w:val="24"/>
          <w14:textFill>
            <w14:solidFill>
              <w14:schemeClr w14:val="tx1"/>
            </w14:solidFill>
          </w14:textFill>
        </w:rPr>
        <w:t>（以下简称承包人）承担</w:t>
      </w:r>
      <w:r>
        <w:rPr>
          <w:rFonts w:hint="eastAsia" w:ascii="宋体" w:hAnsi="宋体" w:cs="仿宋_GB2312"/>
          <w:color w:val="000000" w:themeColor="text1"/>
          <w:spacing w:val="-5"/>
          <w:sz w:val="24"/>
          <w:u w:val="single"/>
          <w14:textFill>
            <w14:solidFill>
              <w14:schemeClr w14:val="tx1"/>
            </w14:solidFill>
          </w14:textFill>
        </w:rPr>
        <w:t xml:space="preserve"> 经开区143号路设计施工总承包</w:t>
      </w:r>
      <w:r>
        <w:rPr>
          <w:rFonts w:hint="eastAsia" w:ascii="宋体" w:hAnsi="宋体" w:cs="仿宋_GB2312"/>
          <w:color w:val="000000" w:themeColor="text1"/>
          <w:spacing w:val="-5"/>
          <w:sz w:val="24"/>
          <w14:textFill>
            <w14:solidFill>
              <w14:schemeClr w14:val="tx1"/>
            </w14:solidFill>
          </w14:textFill>
        </w:rPr>
        <w:t>项目的</w:t>
      </w:r>
      <w:r>
        <w:rPr>
          <w:rFonts w:hint="eastAsia" w:ascii="宋体" w:hAnsi="宋体" w:cs="仿宋_GB2312"/>
          <w:color w:val="000000" w:themeColor="text1"/>
          <w:spacing w:val="-5"/>
          <w:sz w:val="24"/>
          <w:u w:val="single"/>
          <w14:textFill>
            <w14:solidFill>
              <w14:schemeClr w14:val="tx1"/>
            </w14:solidFill>
          </w14:textFill>
        </w:rPr>
        <w:t xml:space="preserve"> 施工</w:t>
      </w:r>
      <w:r>
        <w:rPr>
          <w:rFonts w:hint="eastAsia" w:ascii="宋体" w:hAnsi="宋体" w:cs="仿宋_GB2312"/>
          <w:color w:val="000000" w:themeColor="text1"/>
          <w:spacing w:val="-5"/>
          <w:sz w:val="24"/>
          <w14:textFill>
            <w14:solidFill>
              <w14:schemeClr w14:val="tx1"/>
            </w14:solidFill>
          </w14:textFill>
        </w:rPr>
        <w:t>工作，工程地点位于</w:t>
      </w:r>
      <w:r>
        <w:rPr>
          <w:rFonts w:hint="eastAsia" w:ascii="宋体" w:hAnsi="宋体" w:cs="仿宋_GB2312"/>
          <w:color w:val="000000" w:themeColor="text1"/>
          <w:spacing w:val="-5"/>
          <w:sz w:val="24"/>
          <w:u w:val="single"/>
          <w14:textFill>
            <w14:solidFill>
              <w14:schemeClr w14:val="tx1"/>
            </w14:solidFill>
          </w14:textFill>
        </w:rPr>
        <w:t xml:space="preserve"> 昆明经济技术开发区黄土坡片区</w:t>
      </w:r>
      <w:r>
        <w:rPr>
          <w:rFonts w:ascii="宋体" w:hAnsi="宋体" w:cs="仿宋_GB2312"/>
          <w:color w:val="000000" w:themeColor="text1"/>
          <w:spacing w:val="-5"/>
          <w:sz w:val="24"/>
          <w:u w:val="single"/>
          <w14:textFill>
            <w14:solidFill>
              <w14:schemeClr w14:val="tx1"/>
            </w14:solidFill>
          </w14:textFill>
        </w:rPr>
        <w:t xml:space="preserve"> </w:t>
      </w:r>
      <w:r>
        <w:rPr>
          <w:rFonts w:hint="eastAsia" w:ascii="宋体" w:hAnsi="宋体" w:cs="仿宋_GB2312"/>
          <w:color w:val="000000" w:themeColor="text1"/>
          <w:spacing w:val="-5"/>
          <w:sz w:val="24"/>
          <w14:textFill>
            <w14:solidFill>
              <w14:schemeClr w14:val="tx1"/>
            </w14:solidFill>
          </w14:textFill>
        </w:rPr>
        <w:t>。经双方协商一致，签订本合同，共同执行。</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根据《中华人民共和国民法典》、《中华人民共和国建筑法》及有关法律规定，遵循平等、自愿、公平和诚实信用的原则，双方就工程施工及有关事项协商一致，共同达成如下协议：</w:t>
      </w:r>
    </w:p>
    <w:p>
      <w:pPr>
        <w:widowControl/>
        <w:spacing w:line="360" w:lineRule="auto"/>
        <w:jc w:val="left"/>
        <w:outlineLvl w:val="3"/>
        <w:rPr>
          <w:rFonts w:ascii="宋体" w:hAnsi="宋体" w:cs="宋体"/>
          <w:b/>
          <w:bCs/>
          <w:color w:val="000000" w:themeColor="text1"/>
          <w:kern w:val="0"/>
          <w:sz w:val="24"/>
          <w14:textFill>
            <w14:solidFill>
              <w14:schemeClr w14:val="tx1"/>
            </w14:solidFill>
          </w14:textFill>
        </w:rPr>
      </w:pPr>
      <w:bookmarkStart w:id="544" w:name="_Toc117340063"/>
      <w:bookmarkStart w:id="545" w:name="_Toc136956353"/>
      <w:bookmarkStart w:id="546" w:name="_Toc116261143"/>
      <w:r>
        <w:rPr>
          <w:rFonts w:hint="eastAsia" w:ascii="宋体" w:hAnsi="宋体" w:cs="宋体"/>
          <w:b/>
          <w:color w:val="000000" w:themeColor="text1"/>
          <w:kern w:val="0"/>
          <w:sz w:val="24"/>
          <w14:textFill>
            <w14:solidFill>
              <w14:schemeClr w14:val="tx1"/>
            </w14:solidFill>
          </w14:textFill>
        </w:rPr>
        <w:t>一、工程概况</w:t>
      </w:r>
      <w:bookmarkEnd w:id="544"/>
      <w:bookmarkEnd w:id="545"/>
      <w:bookmarkEnd w:id="546"/>
    </w:p>
    <w:p>
      <w:pPr>
        <w:widowControl/>
        <w:spacing w:line="360" w:lineRule="auto"/>
        <w:ind w:left="1725" w:leftChars="193" w:hanging="1320" w:hangingChars="55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1.工程名称：</w:t>
      </w:r>
      <w:r>
        <w:rPr>
          <w:rFonts w:hint="eastAsia" w:ascii="宋体" w:hAnsi="宋体" w:cs="宋体"/>
          <w:color w:val="000000" w:themeColor="text1"/>
          <w:kern w:val="0"/>
          <w:sz w:val="24"/>
          <w:u w:val="single"/>
          <w14:textFill>
            <w14:solidFill>
              <w14:schemeClr w14:val="tx1"/>
            </w14:solidFill>
          </w14:textFill>
        </w:rPr>
        <w:t>经开区143号路设计施工总承包</w:t>
      </w:r>
      <w:r>
        <w:rPr>
          <w:rFonts w:hint="eastAsia" w:ascii="宋体" w:hAnsi="宋体"/>
          <w:color w:val="000000" w:themeColor="text1"/>
          <w:kern w:val="0"/>
          <w:sz w:val="24"/>
          <w:u w:val="single"/>
          <w14:textFill>
            <w14:solidFill>
              <w14:schemeClr w14:val="tx1"/>
            </w14:solidFill>
          </w14:textFill>
        </w:rPr>
        <w:t>。</w:t>
      </w:r>
    </w:p>
    <w:p>
      <w:pPr>
        <w:widowControl/>
        <w:spacing w:line="360" w:lineRule="auto"/>
        <w:ind w:firstLine="41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2.工程立项批准文号：</w:t>
      </w:r>
    </w:p>
    <w:p>
      <w:pPr>
        <w:widowControl/>
        <w:spacing w:line="360" w:lineRule="auto"/>
        <w:ind w:firstLine="41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3.资金来源：</w:t>
      </w:r>
      <w:r>
        <w:rPr>
          <w:rFonts w:hint="eastAsia" w:ascii="宋体" w:hAnsi="宋体"/>
          <w:color w:val="000000" w:themeColor="text1"/>
          <w:kern w:val="0"/>
          <w:sz w:val="24"/>
          <w:u w:val="single"/>
          <w14:textFill>
            <w14:solidFill>
              <w14:schemeClr w14:val="tx1"/>
            </w14:solidFill>
          </w14:textFill>
        </w:rPr>
        <w:t>政府投资</w:t>
      </w:r>
      <w:r>
        <w:rPr>
          <w:rFonts w:hint="eastAsia" w:ascii="宋体" w:hAnsi="宋体"/>
          <w:color w:val="000000" w:themeColor="text1"/>
          <w:kern w:val="0"/>
          <w:sz w:val="24"/>
          <w14:textFill>
            <w14:solidFill>
              <w14:schemeClr w14:val="tx1"/>
            </w14:solidFill>
          </w14:textFill>
        </w:rPr>
        <w:t>。</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4.工程内容：</w:t>
      </w:r>
    </w:p>
    <w:p>
      <w:pPr>
        <w:widowControl/>
        <w:spacing w:line="360" w:lineRule="auto"/>
        <w:ind w:firstLine="41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5.工程承包范围：</w:t>
      </w:r>
    </w:p>
    <w:p>
      <w:pPr>
        <w:widowControl/>
        <w:spacing w:line="360" w:lineRule="auto"/>
        <w:ind w:firstLine="41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（1）工程施工部分：完成经发包人、审图公司审核通过的各子项目设计施工图，及经发包人审核通过的施工图预算中所包括的全部工程施工任务，具体内容以工程实际情况为准。</w:t>
      </w:r>
    </w:p>
    <w:p>
      <w:pPr>
        <w:widowControl/>
        <w:spacing w:line="360" w:lineRule="auto"/>
        <w:ind w:firstLine="41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设计施工总承包实施过程管理中协助发包人办理设计施工总承包各阶段的报建、审查、审批、办证、备案等的相关手续，配合完成必要的安全评估和检查、综合调试、施工图的审核、试运行考核、竣工验收、移交、工程缺陷责任期的工程缺陷修复、保修等内容。</w:t>
      </w:r>
    </w:p>
    <w:p>
      <w:pPr>
        <w:widowControl/>
        <w:spacing w:line="360" w:lineRule="auto"/>
        <w:jc w:val="left"/>
        <w:outlineLvl w:val="3"/>
        <w:rPr>
          <w:rFonts w:ascii="宋体" w:hAnsi="宋体" w:cs="宋体"/>
          <w:b/>
          <w:color w:val="000000" w:themeColor="text1"/>
          <w:kern w:val="0"/>
          <w:sz w:val="24"/>
          <w14:textFill>
            <w14:solidFill>
              <w14:schemeClr w14:val="tx1"/>
            </w14:solidFill>
          </w14:textFill>
        </w:rPr>
      </w:pPr>
      <w:bookmarkStart w:id="547" w:name="_Toc136956354"/>
      <w:bookmarkStart w:id="548" w:name="_Toc117340064"/>
      <w:bookmarkStart w:id="549" w:name="_Toc116261144"/>
      <w:r>
        <w:rPr>
          <w:rFonts w:hint="eastAsia" w:ascii="宋体" w:hAnsi="宋体" w:cs="宋体"/>
          <w:b/>
          <w:color w:val="000000" w:themeColor="text1"/>
          <w:kern w:val="0"/>
          <w:sz w:val="24"/>
          <w14:textFill>
            <w14:solidFill>
              <w14:schemeClr w14:val="tx1"/>
            </w14:solidFill>
          </w14:textFill>
        </w:rPr>
        <w:t>二、合同工期</w:t>
      </w:r>
      <w:bookmarkEnd w:id="547"/>
      <w:bookmarkEnd w:id="548"/>
      <w:bookmarkEnd w:id="549"/>
    </w:p>
    <w:p>
      <w:pPr>
        <w:widowControl/>
        <w:spacing w:line="360" w:lineRule="auto"/>
        <w:ind w:firstLine="46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计划开工日期：</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年</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日。</w:t>
      </w:r>
    </w:p>
    <w:p>
      <w:pPr>
        <w:widowControl/>
        <w:spacing w:line="360" w:lineRule="auto"/>
        <w:ind w:firstLine="46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计划竣工日期：</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年</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日。</w:t>
      </w:r>
    </w:p>
    <w:p>
      <w:pPr>
        <w:widowControl/>
        <w:spacing w:line="360" w:lineRule="auto"/>
        <w:ind w:firstLine="46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工期总日历天数：</w:t>
      </w:r>
    </w:p>
    <w:p>
      <w:pPr>
        <w:widowControl/>
        <w:spacing w:line="360" w:lineRule="auto"/>
        <w:jc w:val="left"/>
        <w:outlineLvl w:val="3"/>
        <w:rPr>
          <w:rFonts w:ascii="宋体" w:hAnsi="宋体" w:cs="宋体"/>
          <w:b/>
          <w:bCs/>
          <w:color w:val="000000" w:themeColor="text1"/>
          <w:kern w:val="0"/>
          <w:sz w:val="24"/>
          <w14:textFill>
            <w14:solidFill>
              <w14:schemeClr w14:val="tx1"/>
            </w14:solidFill>
          </w14:textFill>
        </w:rPr>
      </w:pPr>
      <w:bookmarkStart w:id="550" w:name="_Toc117340065"/>
      <w:bookmarkStart w:id="551" w:name="_Toc116261145"/>
      <w:bookmarkStart w:id="552" w:name="_Toc136956355"/>
      <w:r>
        <w:rPr>
          <w:rFonts w:hint="eastAsia" w:ascii="宋体" w:hAnsi="宋体" w:cs="宋体"/>
          <w:b/>
          <w:color w:val="000000" w:themeColor="text1"/>
          <w:kern w:val="0"/>
          <w:sz w:val="24"/>
          <w14:textFill>
            <w14:solidFill>
              <w14:schemeClr w14:val="tx1"/>
            </w14:solidFill>
          </w14:textFill>
        </w:rPr>
        <w:t>三、质量标准</w:t>
      </w:r>
      <w:bookmarkEnd w:id="550"/>
      <w:bookmarkEnd w:id="551"/>
      <w:bookmarkEnd w:id="552"/>
    </w:p>
    <w:p>
      <w:pPr>
        <w:widowControl/>
        <w:spacing w:line="360" w:lineRule="auto"/>
        <w:ind w:firstLine="42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工程质量符合</w:t>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u w:val="single"/>
          <w14:textFill>
            <w14:solidFill>
              <w14:schemeClr w14:val="tx1"/>
            </w14:solidFill>
          </w14:textFill>
        </w:rPr>
        <w:sym w:font="宋体" w:char="E5E5"/>
      </w:r>
      <w:r>
        <w:rPr>
          <w:rFonts w:ascii="宋体" w:hAnsi="宋体"/>
          <w:color w:val="000000" w:themeColor="text1"/>
          <w:kern w:val="0"/>
          <w:sz w:val="24"/>
          <w14:textFill>
            <w14:solidFill>
              <w14:schemeClr w14:val="tx1"/>
            </w14:solidFill>
          </w14:textFill>
        </w:rPr>
        <w:t>标准</w:t>
      </w:r>
      <w:r>
        <w:rPr>
          <w:rFonts w:hint="eastAsia" w:ascii="宋体" w:hAnsi="宋体"/>
          <w:color w:val="000000" w:themeColor="text1"/>
          <w:kern w:val="0"/>
          <w:sz w:val="24"/>
          <w14:textFill>
            <w14:solidFill>
              <w14:schemeClr w14:val="tx1"/>
            </w14:solidFill>
          </w14:textFill>
        </w:rPr>
        <w:t>。</w:t>
      </w:r>
    </w:p>
    <w:p>
      <w:pPr>
        <w:widowControl/>
        <w:spacing w:line="360" w:lineRule="auto"/>
        <w:jc w:val="left"/>
        <w:outlineLvl w:val="3"/>
        <w:rPr>
          <w:rFonts w:ascii="宋体" w:hAnsi="宋体" w:cs="宋体"/>
          <w:b/>
          <w:bCs/>
          <w:color w:val="000000" w:themeColor="text1"/>
          <w:kern w:val="0"/>
          <w:sz w:val="24"/>
          <w14:textFill>
            <w14:solidFill>
              <w14:schemeClr w14:val="tx1"/>
            </w14:solidFill>
          </w14:textFill>
        </w:rPr>
      </w:pPr>
      <w:bookmarkStart w:id="553" w:name="_Toc116261146"/>
      <w:bookmarkStart w:id="554" w:name="_Toc136956356"/>
      <w:bookmarkStart w:id="555" w:name="_Toc117340066"/>
      <w:r>
        <w:rPr>
          <w:rFonts w:hint="eastAsia" w:ascii="宋体" w:hAnsi="宋体" w:cs="宋体"/>
          <w:b/>
          <w:color w:val="000000" w:themeColor="text1"/>
          <w:kern w:val="0"/>
          <w:sz w:val="24"/>
          <w14:textFill>
            <w14:solidFill>
              <w14:schemeClr w14:val="tx1"/>
            </w14:solidFill>
          </w14:textFill>
        </w:rPr>
        <w:t>四、签约合同价与合同价格形式</w:t>
      </w:r>
      <w:bookmarkEnd w:id="553"/>
      <w:bookmarkEnd w:id="554"/>
      <w:bookmarkEnd w:id="555"/>
      <w:r>
        <w:rPr>
          <w:rFonts w:hint="eastAsia" w:ascii="宋体" w:hAnsi="宋体" w:cs="宋体"/>
          <w:b/>
          <w:color w:val="000000" w:themeColor="text1"/>
          <w:kern w:val="0"/>
          <w:sz w:val="24"/>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   </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 综合单价下浮率为：</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；合同暂定价款为人民币：</w:t>
      </w:r>
      <w:r>
        <w:rPr>
          <w:rFonts w:hint="eastAsia" w:ascii="宋体" w:hAnsi="宋体"/>
          <w:color w:val="000000" w:themeColor="text1"/>
          <w:kern w:val="0"/>
          <w:sz w:val="24"/>
          <w:u w:val="single"/>
          <w14:textFill>
            <w14:solidFill>
              <w14:schemeClr w14:val="tx1"/>
            </w14:solidFill>
          </w14:textFill>
        </w:rPr>
        <w:t xml:space="preserve">        （小写金额：¥           ）。</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合同暂定价款=暂估建筑安装工程费（   万元）×（1-中标下浮率），最终结算以经发包人委托的造价咨询单位审核的竣工结算审核的金额为准。</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2. </w:t>
      </w:r>
      <w:r>
        <w:rPr>
          <w:rFonts w:hint="eastAsia" w:ascii="宋体" w:hAnsi="宋体"/>
          <w:color w:val="000000" w:themeColor="text1"/>
          <w:kern w:val="0"/>
          <w:sz w:val="24"/>
          <w14:textFill>
            <w14:solidFill>
              <w14:schemeClr w14:val="tx1"/>
            </w14:solidFill>
          </w14:textFill>
        </w:rPr>
        <w:t>合同价格形式：采用</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固定单价合同（以发包人委托的造价咨询单位按照现行云南省建设工程造价计价标准(2020版)编制并经备案的清单计价模式下的施工图预算单价×（1-中标下浮率）为本项目的固定合同单价）  </w:t>
      </w:r>
      <w:r>
        <w:rPr>
          <w:rFonts w:hint="eastAsia" w:ascii="宋体" w:hAnsi="宋体"/>
          <w:color w:val="000000" w:themeColor="text1"/>
          <w:kern w:val="0"/>
          <w:sz w:val="24"/>
          <w14:textFill>
            <w14:solidFill>
              <w14:schemeClr w14:val="tx1"/>
            </w14:solidFill>
          </w14:textFill>
        </w:rPr>
        <w:t>签订。</w:t>
      </w:r>
    </w:p>
    <w:p>
      <w:pPr>
        <w:widowControl/>
        <w:spacing w:line="360" w:lineRule="auto"/>
        <w:jc w:val="left"/>
        <w:outlineLvl w:val="3"/>
        <w:rPr>
          <w:rFonts w:ascii="宋体" w:hAnsi="宋体" w:cs="宋体"/>
          <w:b/>
          <w:bCs/>
          <w:color w:val="000000" w:themeColor="text1"/>
          <w:kern w:val="0"/>
          <w:sz w:val="24"/>
          <w14:textFill>
            <w14:solidFill>
              <w14:schemeClr w14:val="tx1"/>
            </w14:solidFill>
          </w14:textFill>
        </w:rPr>
      </w:pPr>
      <w:bookmarkStart w:id="556" w:name="_Toc117340067"/>
      <w:bookmarkStart w:id="557" w:name="_Toc136956357"/>
      <w:bookmarkStart w:id="558" w:name="_Toc116261147"/>
      <w:r>
        <w:rPr>
          <w:rFonts w:hint="eastAsia" w:ascii="宋体" w:hAnsi="宋体" w:cs="宋体"/>
          <w:b/>
          <w:color w:val="000000" w:themeColor="text1"/>
          <w:kern w:val="0"/>
          <w:sz w:val="24"/>
          <w14:textFill>
            <w14:solidFill>
              <w14:schemeClr w14:val="tx1"/>
            </w14:solidFill>
          </w14:textFill>
        </w:rPr>
        <w:t>五、项目经理</w:t>
      </w:r>
      <w:bookmarkEnd w:id="556"/>
      <w:bookmarkEnd w:id="557"/>
      <w:bookmarkEnd w:id="558"/>
    </w:p>
    <w:p>
      <w:pPr>
        <w:widowControl/>
        <w:spacing w:line="360" w:lineRule="auto"/>
        <w:ind w:firstLine="42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承包人项目经理：</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w:t>
      </w:r>
    </w:p>
    <w:p>
      <w:pPr>
        <w:widowControl/>
        <w:spacing w:line="360" w:lineRule="auto"/>
        <w:jc w:val="left"/>
        <w:outlineLvl w:val="3"/>
        <w:rPr>
          <w:rFonts w:ascii="宋体" w:hAnsi="宋体" w:cs="宋体"/>
          <w:b/>
          <w:bCs/>
          <w:color w:val="000000" w:themeColor="text1"/>
          <w:kern w:val="0"/>
          <w:sz w:val="24"/>
          <w14:textFill>
            <w14:solidFill>
              <w14:schemeClr w14:val="tx1"/>
            </w14:solidFill>
          </w14:textFill>
        </w:rPr>
      </w:pPr>
      <w:bookmarkStart w:id="559" w:name="_Toc116261148"/>
      <w:bookmarkStart w:id="560" w:name="_Toc117340068"/>
      <w:bookmarkStart w:id="561" w:name="_Toc136956358"/>
      <w:r>
        <w:rPr>
          <w:rFonts w:hint="eastAsia" w:ascii="宋体" w:hAnsi="宋体" w:cs="宋体"/>
          <w:b/>
          <w:bCs/>
          <w:color w:val="000000" w:themeColor="text1"/>
          <w:kern w:val="0"/>
          <w:sz w:val="24"/>
          <w14:textFill>
            <w14:solidFill>
              <w14:schemeClr w14:val="tx1"/>
            </w14:solidFill>
          </w14:textFill>
        </w:rPr>
        <w:t>六、合同文件构成</w:t>
      </w:r>
      <w:bookmarkEnd w:id="559"/>
      <w:bookmarkEnd w:id="560"/>
      <w:bookmarkEnd w:id="561"/>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本协议书与下列文件一起构成合同文件：</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（1）中标通知书；</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（2）投标函及其附录； </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（3）专用合同条款及其附件；</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（4）通用合同条款；</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（5）技术标准和要求；</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（6）图纸；</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（7）经审定的施工图预算；</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（8）其他合同文件。</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在合同订立及履行过程中形成的与合同有关的文件均构成合同文件组成部分。</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widowControl/>
        <w:spacing w:line="360" w:lineRule="auto"/>
        <w:jc w:val="left"/>
        <w:outlineLvl w:val="3"/>
        <w:rPr>
          <w:rFonts w:ascii="宋体" w:hAnsi="宋体" w:cs="宋体"/>
          <w:b/>
          <w:bCs/>
          <w:color w:val="000000" w:themeColor="text1"/>
          <w:kern w:val="0"/>
          <w:sz w:val="24"/>
          <w14:textFill>
            <w14:solidFill>
              <w14:schemeClr w14:val="tx1"/>
            </w14:solidFill>
          </w14:textFill>
        </w:rPr>
      </w:pPr>
      <w:bookmarkStart w:id="562" w:name="_Toc117340069"/>
      <w:bookmarkStart w:id="563" w:name="_Toc116261149"/>
      <w:bookmarkStart w:id="564" w:name="_Toc136956359"/>
      <w:r>
        <w:rPr>
          <w:rFonts w:hint="eastAsia" w:ascii="宋体" w:hAnsi="宋体" w:cs="宋体"/>
          <w:b/>
          <w:bCs/>
          <w:color w:val="000000" w:themeColor="text1"/>
          <w:kern w:val="0"/>
          <w:sz w:val="24"/>
          <w14:textFill>
            <w14:solidFill>
              <w14:schemeClr w14:val="tx1"/>
            </w14:solidFill>
          </w14:textFill>
        </w:rPr>
        <w:t>七、承诺</w:t>
      </w:r>
      <w:bookmarkEnd w:id="562"/>
      <w:bookmarkEnd w:id="563"/>
      <w:bookmarkEnd w:id="564"/>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1.发包人承诺按照法律规定履行项目审批手续、筹集工程建设资金并按照合同约定的期限和方式支付合同价款。</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3.发包人和承包人通过招投标形式签订合同的，双方理解并承诺不再就同一工程另行签订与合同实质性内容相背离的协议。</w:t>
      </w:r>
    </w:p>
    <w:p>
      <w:pPr>
        <w:widowControl/>
        <w:spacing w:line="360" w:lineRule="auto"/>
        <w:jc w:val="left"/>
        <w:outlineLvl w:val="3"/>
        <w:rPr>
          <w:rFonts w:ascii="宋体" w:hAnsi="宋体"/>
          <w:color w:val="000000" w:themeColor="text1"/>
          <w:kern w:val="0"/>
          <w:sz w:val="24"/>
          <w14:textFill>
            <w14:solidFill>
              <w14:schemeClr w14:val="tx1"/>
            </w14:solidFill>
          </w14:textFill>
        </w:rPr>
      </w:pPr>
      <w:bookmarkStart w:id="565" w:name="_Toc117340070"/>
      <w:bookmarkStart w:id="566" w:name="_Toc136956360"/>
      <w:bookmarkStart w:id="567" w:name="_Toc116261150"/>
      <w:r>
        <w:rPr>
          <w:rFonts w:hint="eastAsia" w:ascii="宋体" w:hAnsi="宋体" w:cs="宋体"/>
          <w:b/>
          <w:bCs/>
          <w:color w:val="000000" w:themeColor="text1"/>
          <w:kern w:val="0"/>
          <w:sz w:val="24"/>
          <w14:textFill>
            <w14:solidFill>
              <w14:schemeClr w14:val="tx1"/>
            </w14:solidFill>
          </w14:textFill>
        </w:rPr>
        <w:t>八、词语含义</w:t>
      </w:r>
      <w:bookmarkEnd w:id="565"/>
      <w:bookmarkEnd w:id="566"/>
      <w:bookmarkEnd w:id="567"/>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本协议书中词语含义与第二部分通用合同条款中赋予的含义相同。</w:t>
      </w:r>
    </w:p>
    <w:p>
      <w:pPr>
        <w:widowControl/>
        <w:spacing w:line="360" w:lineRule="auto"/>
        <w:jc w:val="left"/>
        <w:outlineLvl w:val="3"/>
        <w:rPr>
          <w:rFonts w:ascii="宋体" w:hAnsi="宋体" w:cs="宋体"/>
          <w:b/>
          <w:bCs/>
          <w:color w:val="000000" w:themeColor="text1"/>
          <w:kern w:val="0"/>
          <w:sz w:val="24"/>
          <w14:textFill>
            <w14:solidFill>
              <w14:schemeClr w14:val="tx1"/>
            </w14:solidFill>
          </w14:textFill>
        </w:rPr>
      </w:pPr>
      <w:bookmarkStart w:id="568" w:name="_Toc116261151"/>
      <w:bookmarkStart w:id="569" w:name="_Toc117340071"/>
      <w:bookmarkStart w:id="570" w:name="_Toc136956361"/>
      <w:r>
        <w:rPr>
          <w:rFonts w:hint="eastAsia" w:ascii="宋体" w:hAnsi="宋体" w:cs="宋体"/>
          <w:b/>
          <w:bCs/>
          <w:color w:val="000000" w:themeColor="text1"/>
          <w:kern w:val="0"/>
          <w:sz w:val="24"/>
          <w14:textFill>
            <w14:solidFill>
              <w14:schemeClr w14:val="tx1"/>
            </w14:solidFill>
          </w14:textFill>
        </w:rPr>
        <w:t>九、签订时间</w:t>
      </w:r>
      <w:bookmarkEnd w:id="568"/>
      <w:bookmarkEnd w:id="569"/>
      <w:bookmarkEnd w:id="570"/>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本合同于</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年</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日签订。</w:t>
      </w:r>
    </w:p>
    <w:p>
      <w:pPr>
        <w:widowControl/>
        <w:spacing w:line="360" w:lineRule="auto"/>
        <w:jc w:val="left"/>
        <w:outlineLvl w:val="3"/>
        <w:rPr>
          <w:rFonts w:ascii="宋体" w:hAnsi="宋体" w:cs="宋体"/>
          <w:b/>
          <w:bCs/>
          <w:color w:val="000000" w:themeColor="text1"/>
          <w:kern w:val="0"/>
          <w:sz w:val="24"/>
          <w14:textFill>
            <w14:solidFill>
              <w14:schemeClr w14:val="tx1"/>
            </w14:solidFill>
          </w14:textFill>
        </w:rPr>
      </w:pPr>
      <w:bookmarkStart w:id="571" w:name="_Toc117340072"/>
      <w:bookmarkStart w:id="572" w:name="_Toc116261152"/>
      <w:bookmarkStart w:id="573" w:name="_Toc136956362"/>
      <w:r>
        <w:rPr>
          <w:rFonts w:hint="eastAsia" w:ascii="宋体" w:hAnsi="宋体" w:cs="宋体"/>
          <w:b/>
          <w:bCs/>
          <w:color w:val="000000" w:themeColor="text1"/>
          <w:kern w:val="0"/>
          <w:sz w:val="24"/>
          <w14:textFill>
            <w14:solidFill>
              <w14:schemeClr w14:val="tx1"/>
            </w14:solidFill>
          </w14:textFill>
        </w:rPr>
        <w:t>十、签订地点</w:t>
      </w:r>
      <w:bookmarkEnd w:id="571"/>
      <w:bookmarkEnd w:id="572"/>
      <w:bookmarkEnd w:id="573"/>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本合同在</w:t>
      </w:r>
      <w:r>
        <w:rPr>
          <w:rFonts w:hint="eastAsia" w:ascii="宋体" w:hAnsi="宋体"/>
          <w:color w:val="000000" w:themeColor="text1"/>
          <w:kern w:val="0"/>
          <w:sz w:val="24"/>
          <w:u w:val="single"/>
          <w14:textFill>
            <w14:solidFill>
              <w14:schemeClr w14:val="tx1"/>
            </w14:solidFill>
          </w14:textFill>
        </w:rPr>
        <w:t xml:space="preserve"> 昆明市 </w:t>
      </w:r>
      <w:r>
        <w:rPr>
          <w:rFonts w:hint="eastAsia" w:ascii="宋体" w:hAnsi="宋体"/>
          <w:color w:val="000000" w:themeColor="text1"/>
          <w:kern w:val="0"/>
          <w:sz w:val="24"/>
          <w14:textFill>
            <w14:solidFill>
              <w14:schemeClr w14:val="tx1"/>
            </w14:solidFill>
          </w14:textFill>
        </w:rPr>
        <w:t>签订。</w:t>
      </w:r>
    </w:p>
    <w:p>
      <w:pPr>
        <w:widowControl/>
        <w:spacing w:line="360" w:lineRule="auto"/>
        <w:jc w:val="left"/>
        <w:outlineLvl w:val="3"/>
        <w:rPr>
          <w:rFonts w:ascii="宋体" w:hAnsi="宋体" w:cs="宋体"/>
          <w:b/>
          <w:bCs/>
          <w:color w:val="000000" w:themeColor="text1"/>
          <w:kern w:val="0"/>
          <w:sz w:val="24"/>
          <w14:textFill>
            <w14:solidFill>
              <w14:schemeClr w14:val="tx1"/>
            </w14:solidFill>
          </w14:textFill>
        </w:rPr>
      </w:pPr>
      <w:bookmarkStart w:id="574" w:name="_Toc116261153"/>
      <w:bookmarkStart w:id="575" w:name="_Toc117340073"/>
      <w:bookmarkStart w:id="576" w:name="_Toc136956363"/>
      <w:r>
        <w:rPr>
          <w:rFonts w:hint="eastAsia" w:ascii="宋体" w:hAnsi="宋体" w:cs="宋体"/>
          <w:b/>
          <w:bCs/>
          <w:color w:val="000000" w:themeColor="text1"/>
          <w:kern w:val="0"/>
          <w:sz w:val="24"/>
          <w14:textFill>
            <w14:solidFill>
              <w14:schemeClr w14:val="tx1"/>
            </w14:solidFill>
          </w14:textFill>
        </w:rPr>
        <w:t>十一、补充协议</w:t>
      </w:r>
      <w:bookmarkEnd w:id="574"/>
      <w:bookmarkEnd w:id="575"/>
      <w:bookmarkEnd w:id="576"/>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合同未尽事宜，合同当事人另行签订补充协议，补充协议是合同的组成部分。</w:t>
      </w:r>
    </w:p>
    <w:p>
      <w:pPr>
        <w:widowControl/>
        <w:spacing w:line="360" w:lineRule="auto"/>
        <w:jc w:val="left"/>
        <w:outlineLvl w:val="3"/>
        <w:rPr>
          <w:rFonts w:ascii="宋体" w:hAnsi="宋体" w:cs="宋体"/>
          <w:b/>
          <w:bCs/>
          <w:color w:val="000000" w:themeColor="text1"/>
          <w:kern w:val="0"/>
          <w:sz w:val="24"/>
          <w14:textFill>
            <w14:solidFill>
              <w14:schemeClr w14:val="tx1"/>
            </w14:solidFill>
          </w14:textFill>
        </w:rPr>
      </w:pPr>
      <w:bookmarkStart w:id="577" w:name="_Toc136956364"/>
      <w:bookmarkStart w:id="578" w:name="_Toc117340074"/>
      <w:bookmarkStart w:id="579" w:name="_Toc116261154"/>
      <w:r>
        <w:rPr>
          <w:rFonts w:hint="eastAsia" w:ascii="宋体" w:hAnsi="宋体" w:cs="宋体"/>
          <w:b/>
          <w:bCs/>
          <w:color w:val="000000" w:themeColor="text1"/>
          <w:kern w:val="0"/>
          <w:sz w:val="24"/>
          <w14:textFill>
            <w14:solidFill>
              <w14:schemeClr w14:val="tx1"/>
            </w14:solidFill>
          </w14:textFill>
        </w:rPr>
        <w:t>十二、合同生效</w:t>
      </w:r>
      <w:bookmarkEnd w:id="577"/>
      <w:bookmarkEnd w:id="578"/>
      <w:bookmarkEnd w:id="579"/>
    </w:p>
    <w:p>
      <w:pPr>
        <w:widowControl/>
        <w:spacing w:line="360" w:lineRule="auto"/>
        <w:ind w:firstLine="420"/>
        <w:jc w:val="left"/>
        <w:rPr>
          <w:rFonts w:ascii="宋体" w:hAnsi="宋体"/>
          <w:color w:val="000000" w:themeColor="text1"/>
          <w:spacing w:val="-8"/>
          <w:kern w:val="0"/>
          <w:sz w:val="24"/>
          <w14:textFill>
            <w14:solidFill>
              <w14:schemeClr w14:val="tx1"/>
            </w14:solidFill>
          </w14:textFill>
        </w:rPr>
      </w:pPr>
      <w:r>
        <w:rPr>
          <w:rFonts w:hint="eastAsia" w:ascii="宋体" w:hAnsi="宋体"/>
          <w:color w:val="000000" w:themeColor="text1"/>
          <w:spacing w:val="-8"/>
          <w:kern w:val="0"/>
          <w:sz w:val="24"/>
          <w14:textFill>
            <w14:solidFill>
              <w14:schemeClr w14:val="tx1"/>
            </w14:solidFill>
          </w14:textFill>
        </w:rPr>
        <w:t>本合同自</w:t>
      </w:r>
      <w:r>
        <w:rPr>
          <w:rFonts w:hint="eastAsia" w:ascii="宋体" w:hAnsi="宋体"/>
          <w:bCs/>
          <w:color w:val="000000" w:themeColor="text1"/>
          <w:spacing w:val="-8"/>
          <w:sz w:val="24"/>
          <w:u w:val="single"/>
          <w14:textFill>
            <w14:solidFill>
              <w14:schemeClr w14:val="tx1"/>
            </w14:solidFill>
          </w14:textFill>
        </w:rPr>
        <w:t>双方法定代表人或其委托代理人签字盖章，且承包人按要求缴纳履约担保后</w:t>
      </w:r>
      <w:r>
        <w:rPr>
          <w:rFonts w:hint="eastAsia" w:ascii="宋体" w:hAnsi="宋体"/>
          <w:color w:val="000000" w:themeColor="text1"/>
          <w:spacing w:val="-8"/>
          <w:kern w:val="0"/>
          <w:sz w:val="24"/>
          <w14:textFill>
            <w14:solidFill>
              <w14:schemeClr w14:val="tx1"/>
            </w14:solidFill>
          </w14:textFill>
        </w:rPr>
        <w:t>生效。</w:t>
      </w:r>
    </w:p>
    <w:p>
      <w:pPr>
        <w:widowControl/>
        <w:spacing w:line="360" w:lineRule="auto"/>
        <w:jc w:val="left"/>
        <w:outlineLvl w:val="3"/>
        <w:rPr>
          <w:rFonts w:ascii="宋体" w:hAnsi="宋体" w:cs="宋体"/>
          <w:b/>
          <w:bCs/>
          <w:color w:val="000000" w:themeColor="text1"/>
          <w:kern w:val="0"/>
          <w:sz w:val="24"/>
          <w14:textFill>
            <w14:solidFill>
              <w14:schemeClr w14:val="tx1"/>
            </w14:solidFill>
          </w14:textFill>
        </w:rPr>
      </w:pPr>
      <w:bookmarkStart w:id="580" w:name="_Toc116261155"/>
      <w:bookmarkStart w:id="581" w:name="_Toc136956365"/>
      <w:bookmarkStart w:id="582" w:name="_Toc117340075"/>
      <w:r>
        <w:rPr>
          <w:rFonts w:hint="eastAsia" w:ascii="宋体" w:hAnsi="宋体" w:cs="宋体"/>
          <w:b/>
          <w:bCs/>
          <w:color w:val="000000" w:themeColor="text1"/>
          <w:kern w:val="0"/>
          <w:sz w:val="24"/>
          <w14:textFill>
            <w14:solidFill>
              <w14:schemeClr w14:val="tx1"/>
            </w14:solidFill>
          </w14:textFill>
        </w:rPr>
        <w:t>十三、合同份数</w:t>
      </w:r>
      <w:bookmarkEnd w:id="580"/>
      <w:bookmarkEnd w:id="581"/>
      <w:bookmarkEnd w:id="582"/>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本合同正本一式</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份、副本一式</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份，均具有同等法律效力，发包人执正本</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份、副本</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份，承包人执正本</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份、副本</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份。</w:t>
      </w:r>
    </w:p>
    <w:p>
      <w:pPr>
        <w:widowControl/>
        <w:spacing w:line="360" w:lineRule="auto"/>
        <w:jc w:val="left"/>
        <w:outlineLvl w:val="3"/>
        <w:rPr>
          <w:rFonts w:ascii="宋体" w:hAnsi="宋体" w:cs="宋体"/>
          <w:b/>
          <w:bCs/>
          <w:color w:val="000000" w:themeColor="text1"/>
          <w:kern w:val="0"/>
          <w:sz w:val="24"/>
          <w14:textFill>
            <w14:solidFill>
              <w14:schemeClr w14:val="tx1"/>
            </w14:solidFill>
          </w14:textFill>
        </w:rPr>
      </w:pPr>
      <w:bookmarkStart w:id="583" w:name="_Toc117340076"/>
      <w:bookmarkStart w:id="584" w:name="_Toc136956366"/>
      <w:r>
        <w:rPr>
          <w:rFonts w:hint="eastAsia" w:ascii="宋体" w:hAnsi="宋体" w:cs="宋体"/>
          <w:b/>
          <w:bCs/>
          <w:color w:val="000000" w:themeColor="text1"/>
          <w:kern w:val="0"/>
          <w:sz w:val="24"/>
          <w14:textFill>
            <w14:solidFill>
              <w14:schemeClr w14:val="tx1"/>
            </w14:solidFill>
          </w14:textFill>
        </w:rPr>
        <w:t>十四、其他</w:t>
      </w:r>
      <w:bookmarkEnd w:id="583"/>
      <w:bookmarkEnd w:id="584"/>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本合同最终解释权归发包人所有。</w:t>
      </w:r>
    </w:p>
    <w:p>
      <w:pPr>
        <w:pStyle w:val="2"/>
        <w:ind w:left="420"/>
        <w:rPr>
          <w:color w:val="000000" w:themeColor="text1"/>
          <w14:textFill>
            <w14:solidFill>
              <w14:schemeClr w14:val="tx1"/>
            </w14:solidFill>
          </w14:textFill>
        </w:rPr>
      </w:pPr>
    </w:p>
    <w:p>
      <w:pPr>
        <w:widowControl/>
        <w:spacing w:line="400" w:lineRule="atLeast"/>
        <w:jc w:val="left"/>
        <w:rPr>
          <w:rFonts w:ascii="宋体" w:hAnsi="宋体"/>
          <w:color w:val="000000" w:themeColor="text1"/>
          <w:kern w:val="0"/>
          <w:sz w:val="24"/>
          <w14:textFill>
            <w14:solidFill>
              <w14:schemeClr w14:val="tx1"/>
            </w14:solidFill>
          </w14:textFill>
        </w:rPr>
      </w:pP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发包人：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（公章）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承包人：       (公章) </w:t>
      </w: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w:t>
      </w: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法定代表人或其委托代理人：               法定代表人或其委托代理人：</w:t>
      </w: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（签字）                                （签字）</w:t>
      </w: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经办部门负责人：</w:t>
      </w: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经办人：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经办人：</w:t>
      </w:r>
    </w:p>
    <w:p>
      <w:pPr>
        <w:widowControl/>
        <w:spacing w:line="400" w:lineRule="atLeast"/>
        <w:ind w:firstLine="110"/>
        <w:jc w:val="left"/>
        <w:rPr>
          <w:rFonts w:ascii="宋体" w:hAnsi="宋体"/>
          <w:color w:val="000000" w:themeColor="text1"/>
          <w:kern w:val="0"/>
          <w:sz w:val="24"/>
          <w14:textFill>
            <w14:solidFill>
              <w14:schemeClr w14:val="tx1"/>
            </w14:solidFill>
          </w14:textFill>
        </w:rPr>
      </w:pP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地址：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地 址：</w:t>
      </w: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邮政编码：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邮政编码：</w:t>
      </w: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电 话：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电 话：</w:t>
      </w: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传 真：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传 真：</w:t>
      </w: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电子信箱：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电子信箱：</w:t>
      </w: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开户银行：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开户银行：</w:t>
      </w:r>
    </w:p>
    <w:p>
      <w:pPr>
        <w:widowControl/>
        <w:spacing w:line="400" w:lineRule="atLeast"/>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账 号：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账 号：</w:t>
      </w:r>
    </w:p>
    <w:p>
      <w:pPr>
        <w:widowControl/>
        <w:spacing w:line="400" w:lineRule="atLeast"/>
        <w:jc w:val="left"/>
        <w:rPr>
          <w:rFonts w:ascii="宋体" w:hAnsi="宋体"/>
          <w:color w:val="000000" w:themeColor="text1"/>
          <w:kern w:val="0"/>
          <w:sz w:val="24"/>
          <w14:textFill>
            <w14:solidFill>
              <w14:schemeClr w14:val="tx1"/>
            </w14:solidFill>
          </w14:textFill>
        </w:rPr>
      </w:pPr>
    </w:p>
    <w:p>
      <w:pPr>
        <w:widowControl/>
        <w:spacing w:line="400" w:lineRule="atLeast"/>
        <w:jc w:val="left"/>
        <w:rPr>
          <w:rFonts w:ascii="宋体" w:hAnsi="宋体"/>
          <w:color w:val="000000" w:themeColor="text1"/>
          <w:kern w:val="0"/>
          <w:sz w:val="24"/>
          <w14:textFill>
            <w14:solidFill>
              <w14:schemeClr w14:val="tx1"/>
            </w14:solidFill>
          </w14:textFill>
        </w:rPr>
      </w:pPr>
    </w:p>
    <w:p>
      <w:pPr>
        <w:widowControl/>
        <w:spacing w:line="400" w:lineRule="atLeast"/>
        <w:jc w:val="left"/>
        <w:rPr>
          <w:rFonts w:ascii="宋体" w:hAnsi="宋体"/>
          <w:color w:val="000000" w:themeColor="text1"/>
          <w:kern w:val="0"/>
          <w:sz w:val="24"/>
          <w14:textFill>
            <w14:solidFill>
              <w14:schemeClr w14:val="tx1"/>
            </w14:solidFill>
          </w14:textFill>
        </w:rPr>
      </w:pPr>
    </w:p>
    <w:p>
      <w:pPr>
        <w:widowControl/>
        <w:jc w:val="left"/>
        <w:rPr>
          <w:rFonts w:ascii="宋体" w:hAnsi="宋体"/>
          <w:color w:val="000000" w:themeColor="text1"/>
          <w:kern w:val="0"/>
          <w:sz w:val="28"/>
          <w:szCs w:val="28"/>
          <w14:textFill>
            <w14:solidFill>
              <w14:schemeClr w14:val="tx1"/>
            </w14:solidFill>
          </w14:textFill>
        </w:rPr>
      </w:pPr>
    </w:p>
    <w:p>
      <w:pPr>
        <w:widowControl/>
        <w:jc w:val="left"/>
        <w:rPr>
          <w:rFonts w:ascii="宋体" w:hAnsi="宋体"/>
          <w:color w:val="000000" w:themeColor="text1"/>
          <w:kern w:val="0"/>
          <w:sz w:val="28"/>
          <w:szCs w:val="28"/>
          <w14:textFill>
            <w14:solidFill>
              <w14:schemeClr w14:val="tx1"/>
            </w14:solidFill>
          </w14:textFill>
        </w:rPr>
      </w:pPr>
    </w:p>
    <w:p>
      <w:pPr>
        <w:widowControl/>
        <w:jc w:val="left"/>
        <w:rPr>
          <w:rFonts w:ascii="宋体" w:hAnsi="宋体"/>
          <w:b/>
          <w:bCs/>
          <w:color w:val="000000" w:themeColor="text1"/>
          <w:kern w:val="0"/>
          <w:sz w:val="36"/>
          <w:szCs w:val="44"/>
          <w14:textFill>
            <w14:solidFill>
              <w14:schemeClr w14:val="tx1"/>
            </w14:solidFill>
          </w14:textFill>
        </w:rPr>
      </w:pPr>
      <w:bookmarkStart w:id="585" w:name="_Toc351203494"/>
      <w:r>
        <w:rPr>
          <w:rFonts w:ascii="宋体" w:hAnsi="宋体"/>
          <w:color w:val="000000" w:themeColor="text1"/>
          <w:sz w:val="36"/>
          <w:szCs w:val="44"/>
          <w14:textFill>
            <w14:solidFill>
              <w14:schemeClr w14:val="tx1"/>
            </w14:solidFill>
          </w14:textFill>
        </w:rPr>
        <w:br w:type="page"/>
      </w:r>
    </w:p>
    <w:p>
      <w:pPr>
        <w:keepNext/>
        <w:keepLines/>
        <w:widowControl/>
        <w:spacing w:line="500" w:lineRule="exact"/>
        <w:jc w:val="center"/>
        <w:outlineLvl w:val="2"/>
        <w:rPr>
          <w:rFonts w:ascii="宋体" w:hAnsi="宋体"/>
          <w:b/>
          <w:bCs/>
          <w:color w:val="000000" w:themeColor="text1"/>
          <w:kern w:val="0"/>
          <w:sz w:val="36"/>
          <w:szCs w:val="44"/>
          <w14:textFill>
            <w14:solidFill>
              <w14:schemeClr w14:val="tx1"/>
            </w14:solidFill>
          </w14:textFill>
        </w:rPr>
      </w:pPr>
      <w:bookmarkStart w:id="586" w:name="_Toc117340077"/>
      <w:bookmarkStart w:id="587" w:name="_Toc136956367"/>
      <w:bookmarkStart w:id="588" w:name="_Toc116261156"/>
      <w:r>
        <w:rPr>
          <w:rFonts w:ascii="宋体" w:hAnsi="宋体"/>
          <w:b/>
          <w:bCs/>
          <w:color w:val="000000" w:themeColor="text1"/>
          <w:kern w:val="0"/>
          <w:sz w:val="36"/>
          <w:szCs w:val="44"/>
          <w14:textFill>
            <w14:solidFill>
              <w14:schemeClr w14:val="tx1"/>
            </w14:solidFill>
          </w14:textFill>
        </w:rPr>
        <w:t>第二部分 通用合同条款</w:t>
      </w:r>
      <w:bookmarkEnd w:id="585"/>
      <w:bookmarkEnd w:id="586"/>
      <w:bookmarkEnd w:id="587"/>
      <w:bookmarkEnd w:id="588"/>
    </w:p>
    <w:p>
      <w:pPr>
        <w:widowControl/>
        <w:spacing w:line="360" w:lineRule="auto"/>
        <w:ind w:firstLine="420"/>
        <w:jc w:val="left"/>
        <w:rPr>
          <w:rFonts w:ascii="宋体" w:hAnsi="宋体"/>
          <w:color w:val="000000" w:themeColor="text1"/>
          <w:kern w:val="0"/>
          <w:sz w:val="24"/>
          <w14:textFill>
            <w14:solidFill>
              <w14:schemeClr w14:val="tx1"/>
            </w14:solidFill>
          </w14:textFill>
        </w:rPr>
      </w:pPr>
      <w:bookmarkStart w:id="589" w:name="_Toc493240366"/>
      <w:bookmarkStart w:id="590" w:name="_Toc482619971"/>
    </w:p>
    <w:p>
      <w:pPr>
        <w:widowControl/>
        <w:spacing w:line="360" w:lineRule="auto"/>
        <w:ind w:firstLine="4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执行《建设工程施工合同(示范文本)》(GF-2017-0201)通用合同条款部分</w:t>
      </w:r>
      <w:bookmarkEnd w:id="589"/>
      <w:bookmarkEnd w:id="590"/>
      <w:r>
        <w:rPr>
          <w:rFonts w:hint="eastAsia" w:ascii="宋体" w:hAnsi="宋体"/>
          <w:color w:val="000000" w:themeColor="text1"/>
          <w:kern w:val="0"/>
          <w:sz w:val="24"/>
          <w14:textFill>
            <w14:solidFill>
              <w14:schemeClr w14:val="tx1"/>
            </w14:solidFill>
          </w14:textFill>
        </w:rPr>
        <w:t>。</w:t>
      </w:r>
    </w:p>
    <w:p>
      <w:pPr>
        <w:widowControl/>
        <w:jc w:val="left"/>
        <w:rPr>
          <w:rFonts w:ascii="宋体" w:hAnsi="宋体" w:cs="仿宋"/>
          <w:bCs/>
          <w:color w:val="000000" w:themeColor="text1"/>
          <w:sz w:val="24"/>
          <w14:textFill>
            <w14:solidFill>
              <w14:schemeClr w14:val="tx1"/>
            </w14:solidFill>
          </w14:textFill>
        </w:rPr>
      </w:pPr>
      <w:r>
        <w:rPr>
          <w:rFonts w:ascii="宋体" w:hAnsi="宋体" w:cs="仿宋"/>
          <w:bCs/>
          <w:color w:val="000000" w:themeColor="text1"/>
          <w:sz w:val="24"/>
          <w14:textFill>
            <w14:solidFill>
              <w14:schemeClr w14:val="tx1"/>
            </w14:solidFill>
          </w14:textFill>
        </w:rPr>
        <w:br w:type="page"/>
      </w:r>
    </w:p>
    <w:p>
      <w:pPr>
        <w:keepNext/>
        <w:keepLines/>
        <w:widowControl/>
        <w:spacing w:line="500" w:lineRule="exact"/>
        <w:jc w:val="center"/>
        <w:outlineLvl w:val="2"/>
        <w:rPr>
          <w:rFonts w:ascii="宋体" w:hAnsi="宋体"/>
          <w:b/>
          <w:bCs/>
          <w:color w:val="000000" w:themeColor="text1"/>
          <w:kern w:val="0"/>
          <w:sz w:val="36"/>
          <w:szCs w:val="44"/>
          <w14:textFill>
            <w14:solidFill>
              <w14:schemeClr w14:val="tx1"/>
            </w14:solidFill>
          </w14:textFill>
        </w:rPr>
      </w:pPr>
      <w:bookmarkStart w:id="591" w:name="_Toc117340078"/>
      <w:bookmarkStart w:id="592" w:name="_Toc136956368"/>
      <w:bookmarkStart w:id="593" w:name="_Toc116261157"/>
      <w:r>
        <w:rPr>
          <w:rFonts w:hint="eastAsia" w:ascii="宋体" w:hAnsi="宋体"/>
          <w:b/>
          <w:bCs/>
          <w:color w:val="000000" w:themeColor="text1"/>
          <w:kern w:val="0"/>
          <w:sz w:val="36"/>
          <w:szCs w:val="44"/>
          <w14:textFill>
            <w14:solidFill>
              <w14:schemeClr w14:val="tx1"/>
            </w14:solidFill>
          </w14:textFill>
        </w:rPr>
        <w:t>第三部分 专用合同条款</w:t>
      </w:r>
      <w:bookmarkEnd w:id="591"/>
      <w:bookmarkEnd w:id="592"/>
      <w:bookmarkEnd w:id="593"/>
    </w:p>
    <w:p>
      <w:pPr>
        <w:spacing w:line="360"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 一般约定</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1.1 </w:t>
      </w:r>
      <w:r>
        <w:rPr>
          <w:rFonts w:hint="eastAsia" w:ascii="宋体" w:hAnsi="宋体"/>
          <w:color w:val="000000" w:themeColor="text1"/>
          <w:kern w:val="0"/>
          <w:sz w:val="24"/>
          <w14:textFill>
            <w14:solidFill>
              <w14:schemeClr w14:val="tx1"/>
            </w14:solidFill>
          </w14:textFill>
        </w:rPr>
        <w:t>词语定义</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1.1.1合同</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1.1.1.10其他合同文件包括：</w:t>
      </w:r>
      <w:r>
        <w:rPr>
          <w:rFonts w:hint="eastAsia" w:ascii="宋体" w:hAnsi="宋体"/>
          <w:b/>
          <w:color w:val="000000" w:themeColor="text1"/>
          <w:kern w:val="0"/>
          <w:sz w:val="24"/>
          <w:u w:val="single"/>
          <w14:textFill>
            <w14:solidFill>
              <w14:schemeClr w14:val="tx1"/>
            </w14:solidFill>
          </w14:textFill>
        </w:rPr>
        <w:t>在合同订立及履行过程中双方书面确认的与合同有关的文件</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1.1.2 合同当事人及其他相关方</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1.1.2.4监理人：</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名    称：</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资质类别和等级：</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电子信箱：</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通信地址：</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1.1.2.5 设计人：</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名    称：</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资质类别和等级：</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Cs w:val="21"/>
          <w14:textFill>
            <w14:solidFill>
              <w14:schemeClr w14:val="tx1"/>
            </w14:solidFill>
          </w14:textFill>
        </w:rPr>
      </w:pPr>
      <w:r>
        <w:rPr>
          <w:rFonts w:ascii="宋体" w:hAnsi="宋体"/>
          <w:color w:val="000000" w:themeColor="text1"/>
          <w:sz w:val="24"/>
          <w14:textFill>
            <w14:solidFill>
              <w14:schemeClr w14:val="tx1"/>
            </w14:solidFill>
          </w14:textFill>
        </w:rPr>
        <w:t>电子信箱：</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1.1.3 工程和设备</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1.1.3.7 作为施工现场组成部分的其他场所包括：</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b/>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1.1.3.9 永久占地包括：</w:t>
      </w:r>
      <w:r>
        <w:rPr>
          <w:rFonts w:hint="eastAsia" w:ascii="宋体" w:hAnsi="宋体"/>
          <w:color w:val="000000" w:themeColor="text1"/>
          <w:kern w:val="0"/>
          <w:sz w:val="24"/>
          <w:u w:val="single"/>
          <w14:textFill>
            <w14:solidFill>
              <w14:schemeClr w14:val="tx1"/>
            </w14:solidFill>
          </w14:textFill>
        </w:rPr>
        <w:t>依规划用地红线图确定的范围</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1.1.3.10 临时占地包括：</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建设临时工程的用地或用于施工所需场地，如：临时建筑用地、仓储、组装用地、办公生活用地、临时占路、占公共场地等。</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由承包人根据施工需要向发包人提出临时占地申请，并办理相应手续、在工程建设完成后拆除、做好场地复原工作，因此发生的一切费用由承包人承担。发包人应提供必要协助。</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1.3法律 </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适用于合同的其他规范性文件：</w:t>
      </w:r>
    </w:p>
    <w:p>
      <w:pPr>
        <w:widowControl/>
        <w:autoSpaceDE w:val="0"/>
        <w:autoSpaceDN w:val="0"/>
        <w:adjustRightInd w:val="0"/>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u w:val="single"/>
          <w14:textFill>
            <w14:solidFill>
              <w14:schemeClr w14:val="tx1"/>
            </w14:solidFill>
          </w14:textFill>
        </w:rPr>
        <w:t>《中华人民共和国民法典》、《中华人民共和国建筑法》、《建设工程质量管理条例》、《中华人民共和国安全生产法》等法律、法规、规章及有效规范性文件。</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u w:val="single"/>
          <w14:textFill>
            <w14:solidFill>
              <w14:schemeClr w14:val="tx1"/>
            </w14:solidFill>
          </w14:textFill>
        </w:rPr>
        <w:t>施工场地法规的要求：执行省政府[1999]82号文《云南省建筑施工现场管理规定》等法律、法规、规章及有效规范性文件。</w:t>
      </w:r>
    </w:p>
    <w:p>
      <w:pPr>
        <w:widowControl/>
        <w:autoSpaceDE w:val="0"/>
        <w:autoSpaceDN w:val="0"/>
        <w:adjustRightInd w:val="0"/>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u w:val="single"/>
          <w14:textFill>
            <w14:solidFill>
              <w14:schemeClr w14:val="tx1"/>
            </w14:solidFill>
          </w14:textFill>
        </w:rPr>
        <w:t>安全施工：执行“通用条款”第20、21、22条及《中华人民共和国安全生产法》、中华人民共</w:t>
      </w:r>
      <w:r>
        <w:rPr>
          <w:rFonts w:hint="eastAsia" w:ascii="宋体" w:hAnsi="宋体"/>
          <w:color w:val="000000" w:themeColor="text1"/>
          <w:kern w:val="0"/>
          <w:sz w:val="24"/>
          <w:u w:val="single"/>
          <w:lang w:val="en-US" w:eastAsia="zh-CN"/>
          <w14:textFill>
            <w14:solidFill>
              <w14:schemeClr w14:val="tx1"/>
            </w14:solidFill>
          </w14:textFill>
        </w:rPr>
        <w:t>和</w:t>
      </w:r>
      <w:r>
        <w:rPr>
          <w:rFonts w:hint="eastAsia" w:ascii="宋体" w:hAnsi="宋体"/>
          <w:color w:val="000000" w:themeColor="text1"/>
          <w:kern w:val="0"/>
          <w:sz w:val="24"/>
          <w:u w:val="single"/>
          <w14:textFill>
            <w14:solidFill>
              <w14:schemeClr w14:val="tx1"/>
            </w14:solidFill>
          </w14:textFill>
        </w:rPr>
        <w:t>国国务院第302号文《国务院关于特大安全事故行政责任追究的规定》等法律、法规、规章及有效规范性文件。</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1.4 标准和规范</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1.4.1适用于工程的标准规范包括：</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施工部分符合设计要求，满足发包人使用需求，执行《建筑工程施工质量统一验收标准》（GB50300-2013）、《城镇道路工程施工与质量验收规范》（CJJ1-2008）、</w:t>
      </w:r>
      <w:r>
        <w:rPr>
          <w:rFonts w:hint="eastAsia" w:ascii="宋体" w:hAnsi="宋体"/>
          <w:snapToGrid w:val="0"/>
          <w:color w:val="000000" w:themeColor="text1"/>
          <w:kern w:val="0"/>
          <w:sz w:val="24"/>
          <w:u w:val="single"/>
          <w14:textFill>
            <w14:solidFill>
              <w14:schemeClr w14:val="tx1"/>
            </w14:solidFill>
          </w14:textFill>
        </w:rPr>
        <w:t>《市政道路工程质量检验评定标准》（CJJ1－2008）、《市政排水管渠工程质量检验评定标准》（GB 50268-2008）、《建设工程质量管理条例》</w:t>
      </w:r>
      <w:r>
        <w:rPr>
          <w:rFonts w:hint="eastAsia" w:ascii="宋体" w:hAnsi="宋体"/>
          <w:color w:val="000000" w:themeColor="text1"/>
          <w:kern w:val="0"/>
          <w:sz w:val="24"/>
          <w:u w:val="single"/>
          <w14:textFill>
            <w14:solidFill>
              <w14:schemeClr w14:val="tx1"/>
            </w14:solidFill>
          </w14:textFill>
        </w:rPr>
        <w:t>及国家、省、市现行的质量验收标准，一次性验收合格，并保证各专项工程验收通过</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1.4.2 发包人提供国外标准、规范的名称：</w:t>
      </w:r>
      <w:r>
        <w:rPr>
          <w:rFonts w:hint="eastAsia" w:ascii="宋体" w:hAnsi="宋体"/>
          <w:color w:val="000000" w:themeColor="text1"/>
          <w:kern w:val="0"/>
          <w:sz w:val="24"/>
          <w:u w:val="single"/>
          <w14:textFill>
            <w14:solidFill>
              <w14:schemeClr w14:val="tx1"/>
            </w14:solidFill>
          </w14:textFill>
        </w:rPr>
        <w:t>不提供</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发包人提供国外标准、规范的份数：</w:t>
      </w:r>
      <w:r>
        <w:rPr>
          <w:rFonts w:hint="eastAsia" w:ascii="宋体" w:hAnsi="宋体"/>
          <w:color w:val="000000" w:themeColor="text1"/>
          <w:kern w:val="0"/>
          <w:sz w:val="24"/>
          <w:u w:val="single"/>
          <w14:textFill>
            <w14:solidFill>
              <w14:schemeClr w14:val="tx1"/>
            </w14:solidFill>
          </w14:textFill>
        </w:rPr>
        <w:t xml:space="preserve">   /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1.4.3发包人对工程的技术标准和功能要求的特殊要求：</w:t>
      </w:r>
      <w:r>
        <w:rPr>
          <w:rFonts w:hint="eastAsia" w:ascii="宋体" w:hAnsi="宋体"/>
          <w:color w:val="000000" w:themeColor="text1"/>
          <w:kern w:val="0"/>
          <w:sz w:val="24"/>
          <w:u w:val="single"/>
          <w14:textFill>
            <w14:solidFill>
              <w14:schemeClr w14:val="tx1"/>
            </w14:solidFill>
          </w14:textFill>
        </w:rPr>
        <w:t xml:space="preserve">   /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1.5 合同文件的优先顺序</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合同文件组成及优先顺序为：</w:t>
      </w:r>
      <w:r>
        <w:rPr>
          <w:rFonts w:hint="eastAsia" w:ascii="宋体" w:hAnsi="宋体" w:cs="仿宋"/>
          <w:color w:val="000000" w:themeColor="text1"/>
          <w:sz w:val="24"/>
          <w:u w:val="single"/>
          <w14:textFill>
            <w14:solidFill>
              <w14:schemeClr w14:val="tx1"/>
            </w14:solidFill>
          </w14:textFill>
        </w:rPr>
        <w:t>按本合同《协议书》第七条的顺序。</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在合同订立及履行过程中形成的与合同有关的文件均构成合同文件组成部分，并根据其性质确定优先解释顺序</w:t>
      </w:r>
      <w:r>
        <w:rPr>
          <w:rFonts w:ascii="宋体" w:hAnsi="宋体"/>
          <w:color w:val="000000" w:themeColor="text1"/>
          <w:kern w:val="0"/>
          <w:sz w:val="24"/>
          <w14:textFill>
            <w14:solidFill>
              <w14:schemeClr w14:val="tx1"/>
            </w14:solidFill>
          </w14:textFill>
        </w:rPr>
        <w:t xml:space="preserve">。 </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1.6 图纸和承包人文件</w:t>
      </w:r>
      <w:r>
        <w:rPr>
          <w:rFonts w:ascii="宋体" w:hAnsi="宋体"/>
          <w:color w:val="000000" w:themeColor="text1"/>
          <w:kern w:val="0"/>
          <w:sz w:val="24"/>
          <w14:textFill>
            <w14:solidFill>
              <w14:schemeClr w14:val="tx1"/>
            </w14:solidFill>
          </w14:textFill>
        </w:rPr>
        <w:tab/>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1.6.1 图纸的提供</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发包人向承包人提供图纸的期限：</w:t>
      </w:r>
      <w:r>
        <w:rPr>
          <w:rFonts w:hint="eastAsia" w:ascii="宋体" w:hAnsi="宋体"/>
          <w:color w:val="000000" w:themeColor="text1"/>
          <w:kern w:val="0"/>
          <w:sz w:val="24"/>
          <w:u w:val="single"/>
          <w14:textFill>
            <w14:solidFill>
              <w14:schemeClr w14:val="tx1"/>
            </w14:solidFill>
          </w14:textFill>
        </w:rPr>
        <w:t>下发任务单后一周内</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发包人向承包人提供图纸的数量：</w:t>
      </w:r>
      <w:r>
        <w:rPr>
          <w:rFonts w:hint="eastAsia" w:ascii="宋体" w:hAnsi="宋体"/>
          <w:color w:val="000000" w:themeColor="text1"/>
          <w:kern w:val="0"/>
          <w:sz w:val="24"/>
          <w:u w:val="single"/>
          <w14:textFill>
            <w14:solidFill>
              <w14:schemeClr w14:val="tx1"/>
            </w14:solidFill>
          </w14:textFill>
        </w:rPr>
        <w:t>发包人向承包人提供图纸4套（含绘制竣工图使用的图纸，如承包人需增加施工图，费用由承包人承担），由承包人负责深化施工图纸的，竣工图纸由承包人自行绘制并承担相应的费用；标准图集由承包人自行准备。</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发包人向承包人提供图纸的内容：</w:t>
      </w:r>
      <w:r>
        <w:rPr>
          <w:rFonts w:hint="eastAsia" w:ascii="宋体" w:hAnsi="宋体"/>
          <w:color w:val="000000" w:themeColor="text1"/>
          <w:kern w:val="0"/>
          <w:sz w:val="24"/>
          <w:u w:val="single"/>
          <w14:textFill>
            <w14:solidFill>
              <w14:schemeClr w14:val="tx1"/>
            </w14:solidFill>
          </w14:textFill>
        </w:rPr>
        <w:t>除承包人自行完成的专项工程及二次深化设计施工图外，合同协议书中工程内容和工程承包范围所包含的其他施工图纸。</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1.6.4 承包人文件</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需要由承包人提供的文件，包括：</w:t>
      </w:r>
      <w:r>
        <w:rPr>
          <w:rFonts w:hint="eastAsia" w:ascii="宋体" w:hAnsi="宋体"/>
          <w:color w:val="000000" w:themeColor="text1"/>
          <w:kern w:val="0"/>
          <w:sz w:val="24"/>
          <w:u w:val="single"/>
          <w14:textFill>
            <w14:solidFill>
              <w14:schemeClr w14:val="tx1"/>
            </w14:solidFill>
          </w14:textFill>
        </w:rPr>
        <w:t>经发包人批准的专项工程及二次深化设计的全部施工图，施工组织设计、工程进度计划、施工措施计划、专项施工方案、安全文明施工方案、安全技术措施、安全防护措施、深化施工图、加工图、大样图、竣工资料；当月工程量报表及下月施工进度计划</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承包人提供的文件的期限为：</w:t>
      </w:r>
      <w:r>
        <w:rPr>
          <w:rFonts w:hint="eastAsia" w:ascii="宋体" w:hAnsi="宋体"/>
          <w:color w:val="000000" w:themeColor="text1"/>
          <w:kern w:val="0"/>
          <w:sz w:val="24"/>
          <w:u w:val="single"/>
          <w14:textFill>
            <w14:solidFill>
              <w14:schemeClr w14:val="tx1"/>
            </w14:solidFill>
          </w14:textFill>
        </w:rPr>
        <w:t>开工前</w:t>
      </w:r>
      <w:r>
        <w:rPr>
          <w:rFonts w:ascii="宋体" w:hAnsi="宋体"/>
          <w:color w:val="000000" w:themeColor="text1"/>
          <w:kern w:val="0"/>
          <w:sz w:val="24"/>
          <w:u w:val="single"/>
          <w14:textFill>
            <w14:solidFill>
              <w14:schemeClr w14:val="tx1"/>
            </w14:solidFill>
          </w14:textFill>
        </w:rPr>
        <w:t>14天，提供施工组织设计书、专项施工方案，每月25日前提供当月（上月20日至当月19日）完成的工程量报表，每月25日前报下月施工进度计划表</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承包人提供的文件的数量为：</w:t>
      </w:r>
      <w:r>
        <w:rPr>
          <w:rFonts w:hint="eastAsia" w:ascii="宋体" w:hAnsi="宋体"/>
          <w:color w:val="000000" w:themeColor="text1"/>
          <w:kern w:val="0"/>
          <w:sz w:val="24"/>
          <w:u w:val="single"/>
          <w14:textFill>
            <w14:solidFill>
              <w14:schemeClr w14:val="tx1"/>
            </w14:solidFill>
          </w14:textFill>
        </w:rPr>
        <w:t>由承包人提供的专项设计图纸需提供套（包括C</w:t>
      </w:r>
      <w:r>
        <w:rPr>
          <w:rFonts w:ascii="宋体" w:hAnsi="宋体"/>
          <w:color w:val="000000" w:themeColor="text1"/>
          <w:kern w:val="0"/>
          <w:sz w:val="24"/>
          <w:u w:val="single"/>
          <w14:textFill>
            <w14:solidFill>
              <w14:schemeClr w14:val="tx1"/>
            </w14:solidFill>
          </w14:textFill>
        </w:rPr>
        <w:t>AD</w:t>
      </w:r>
      <w:r>
        <w:rPr>
          <w:rFonts w:hint="eastAsia" w:ascii="宋体" w:hAnsi="宋体"/>
          <w:color w:val="000000" w:themeColor="text1"/>
          <w:kern w:val="0"/>
          <w:sz w:val="24"/>
          <w:u w:val="single"/>
          <w14:textFill>
            <w14:solidFill>
              <w14:schemeClr w14:val="tx1"/>
            </w14:solidFill>
          </w14:textFill>
        </w:rPr>
        <w:t>电子版）</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承包人提供的文件的形式为：</w:t>
      </w:r>
      <w:r>
        <w:rPr>
          <w:rFonts w:hint="eastAsia" w:ascii="宋体" w:hAnsi="宋体"/>
          <w:color w:val="000000" w:themeColor="text1"/>
          <w:kern w:val="0"/>
          <w:sz w:val="24"/>
          <w:u w:val="single"/>
          <w14:textFill>
            <w14:solidFill>
              <w14:schemeClr w14:val="tx1"/>
            </w14:solidFill>
          </w14:textFill>
        </w:rPr>
        <w:t>书面形式</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w:t>
      </w:r>
      <w:r>
        <w:rPr>
          <w:rFonts w:hint="eastAsia" w:ascii="宋体" w:hAnsi="宋体"/>
          <w:color w:val="000000" w:themeColor="text1"/>
          <w:kern w:val="0"/>
          <w:sz w:val="24"/>
          <w14:textFill>
            <w14:solidFill>
              <w14:schemeClr w14:val="tx1"/>
            </w14:solidFill>
          </w14:textFill>
        </w:rPr>
        <w:t>审批</w:t>
      </w:r>
      <w:r>
        <w:rPr>
          <w:rFonts w:ascii="宋体" w:hAnsi="宋体"/>
          <w:color w:val="000000" w:themeColor="text1"/>
          <w:kern w:val="0"/>
          <w:sz w:val="24"/>
          <w14:textFill>
            <w14:solidFill>
              <w14:schemeClr w14:val="tx1"/>
            </w14:solidFill>
          </w14:textFill>
        </w:rPr>
        <w:t>承包人文件的期限：</w:t>
      </w:r>
      <w:r>
        <w:rPr>
          <w:rFonts w:hint="eastAsia" w:ascii="宋体" w:hAnsi="宋体"/>
          <w:color w:val="000000" w:themeColor="text1"/>
          <w:kern w:val="0"/>
          <w:sz w:val="24"/>
          <w:u w:val="single"/>
          <w14:textFill>
            <w14:solidFill>
              <w14:schemeClr w14:val="tx1"/>
            </w14:solidFill>
          </w14:textFill>
        </w:rPr>
        <w:t>收到文件后</w:t>
      </w:r>
      <w:r>
        <w:rPr>
          <w:rFonts w:ascii="宋体" w:hAnsi="宋体"/>
          <w:color w:val="000000" w:themeColor="text1"/>
          <w:kern w:val="0"/>
          <w:sz w:val="24"/>
          <w:u w:val="single"/>
          <w14:textFill>
            <w14:solidFill>
              <w14:schemeClr w14:val="tx1"/>
            </w14:solidFill>
          </w14:textFill>
        </w:rPr>
        <w:t>14天内</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1.6.5 现场图纸准备</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关于现场图纸准备的约定：</w:t>
      </w:r>
      <w:r>
        <w:rPr>
          <w:rFonts w:hint="eastAsia" w:ascii="宋体" w:hAnsi="宋体"/>
          <w:color w:val="000000" w:themeColor="text1"/>
          <w:kern w:val="0"/>
          <w:sz w:val="24"/>
          <w:u w:val="single"/>
          <w14:textFill>
            <w14:solidFill>
              <w14:schemeClr w14:val="tx1"/>
            </w14:solidFill>
          </w14:textFill>
        </w:rPr>
        <w:t>施工现场保留二套完整的图纸供发包人、监理人及有关人员进行工程检查时使用</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1.7 联络</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1.7.1发包人和承包人应当在</w:t>
      </w:r>
      <w:r>
        <w:rPr>
          <w:rFonts w:ascii="宋体" w:hAnsi="宋体"/>
          <w:color w:val="000000" w:themeColor="text1"/>
          <w:kern w:val="0"/>
          <w:sz w:val="24"/>
          <w:u w:val="single"/>
          <w14:textFill>
            <w14:solidFill>
              <w14:schemeClr w14:val="tx1"/>
            </w14:solidFill>
          </w14:textFill>
        </w:rPr>
        <w:t xml:space="preserve"> 7</w:t>
      </w:r>
      <w:r>
        <w:rPr>
          <w:rFonts w:ascii="宋体" w:hAnsi="宋体"/>
          <w:color w:val="000000" w:themeColor="text1"/>
          <w:kern w:val="0"/>
          <w:sz w:val="24"/>
          <w14:textFill>
            <w14:solidFill>
              <w14:schemeClr w14:val="tx1"/>
            </w14:solidFill>
          </w14:textFill>
        </w:rPr>
        <w:t>天内将与合同有关的通知、批准、证明、证书、指示、指令、要求、请求、同意、意见、确定和决定等书面函件送达对方当事人</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任何一方合同当事人指定的接收人或送达地点发生变动的，应提前 3 天以书面形式通知对方。</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1.7.2 发包人接收文件的地点：</w:t>
      </w:r>
      <w:r>
        <w:rPr>
          <w:rFonts w:hint="eastAsia" w:ascii="宋体" w:hAnsi="宋体"/>
          <w:color w:val="000000" w:themeColor="text1"/>
          <w:kern w:val="0"/>
          <w:sz w:val="24"/>
          <w:u w:val="single"/>
          <w14:textFill>
            <w14:solidFill>
              <w14:schemeClr w14:val="tx1"/>
            </w14:solidFill>
          </w14:textFill>
        </w:rPr>
        <w:t>发包人代表项目现场办公室</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发包人指定的接收人为：</w:t>
      </w:r>
      <w:r>
        <w:rPr>
          <w:rFonts w:hint="eastAsia" w:ascii="宋体" w:hAnsi="宋体"/>
          <w:color w:val="000000" w:themeColor="text1"/>
          <w:kern w:val="0"/>
          <w:sz w:val="24"/>
          <w:u w:val="single"/>
          <w14:textFill>
            <w14:solidFill>
              <w14:schemeClr w14:val="tx1"/>
            </w14:solidFill>
          </w14:textFill>
        </w:rPr>
        <w:t>发包人项目经理</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承包人接收文件的地点：</w:t>
      </w:r>
      <w:r>
        <w:rPr>
          <w:rFonts w:hint="eastAsia" w:ascii="宋体" w:hAnsi="宋体"/>
          <w:color w:val="000000" w:themeColor="text1"/>
          <w:kern w:val="0"/>
          <w:sz w:val="24"/>
          <w:u w:val="single"/>
          <w14:textFill>
            <w14:solidFill>
              <w14:schemeClr w14:val="tx1"/>
            </w14:solidFill>
          </w14:textFill>
        </w:rPr>
        <w:t>承包人项目现场办公室</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承包人指定的接收人为：</w:t>
      </w:r>
      <w:r>
        <w:rPr>
          <w:rFonts w:hint="eastAsia" w:ascii="宋体" w:hAnsi="宋体"/>
          <w:color w:val="000000" w:themeColor="text1"/>
          <w:kern w:val="0"/>
          <w:sz w:val="24"/>
          <w:u w:val="single"/>
          <w14:textFill>
            <w14:solidFill>
              <w14:schemeClr w14:val="tx1"/>
            </w14:solidFill>
          </w14:textFill>
        </w:rPr>
        <w:t>承包人项目经理</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监理人接收文件的地点：</w:t>
      </w:r>
      <w:r>
        <w:rPr>
          <w:rFonts w:hint="eastAsia" w:ascii="宋体" w:hAnsi="宋体"/>
          <w:color w:val="000000" w:themeColor="text1"/>
          <w:kern w:val="0"/>
          <w:sz w:val="24"/>
          <w:u w:val="single"/>
          <w14:textFill>
            <w14:solidFill>
              <w14:schemeClr w14:val="tx1"/>
            </w14:solidFill>
          </w14:textFill>
        </w:rPr>
        <w:t>监理人项目现场办公室</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监理人指定的接收人为：</w:t>
      </w:r>
      <w:r>
        <w:rPr>
          <w:rFonts w:hint="eastAsia" w:ascii="宋体" w:hAnsi="宋体"/>
          <w:color w:val="000000" w:themeColor="text1"/>
          <w:kern w:val="0"/>
          <w:sz w:val="24"/>
          <w:u w:val="single"/>
          <w14:textFill>
            <w14:solidFill>
              <w14:schemeClr w14:val="tx1"/>
            </w14:solidFill>
          </w14:textFill>
        </w:rPr>
        <w:t>监理项目总监理工程师</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1.10 交通运输</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bookmarkStart w:id="594" w:name="_Toc312677986"/>
      <w:bookmarkStart w:id="595" w:name="_Toc300934943"/>
      <w:bookmarkStart w:id="596" w:name="_Toc304295521"/>
      <w:bookmarkStart w:id="597" w:name="_Toc318581155"/>
      <w:bookmarkStart w:id="598" w:name="_Toc303539100"/>
      <w:r>
        <w:rPr>
          <w:rFonts w:ascii="宋体" w:hAnsi="宋体"/>
          <w:color w:val="000000" w:themeColor="text1"/>
          <w:kern w:val="0"/>
          <w:sz w:val="24"/>
          <w14:textFill>
            <w14:solidFill>
              <w14:schemeClr w14:val="tx1"/>
            </w14:solidFill>
          </w14:textFill>
        </w:rPr>
        <w:t>.10.1 出入现场的权利</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关于出入现场的权利的约定：</w:t>
      </w:r>
      <w:r>
        <w:rPr>
          <w:rFonts w:hint="eastAsia" w:ascii="宋体" w:hAnsi="宋体"/>
          <w:color w:val="000000" w:themeColor="text1"/>
          <w:kern w:val="0"/>
          <w:sz w:val="24"/>
          <w:u w:val="single"/>
          <w14:textFill>
            <w14:solidFill>
              <w14:schemeClr w14:val="tx1"/>
            </w14:solidFill>
          </w14:textFill>
        </w:rPr>
        <w:t>按通用条款执行</w:t>
      </w:r>
      <w:r>
        <w:rPr>
          <w:rFonts w:ascii="宋体" w:hAnsi="宋体"/>
          <w:color w:val="000000" w:themeColor="text1"/>
          <w:kern w:val="0"/>
          <w:sz w:val="24"/>
          <w14:textFill>
            <w14:solidFill>
              <w14:schemeClr w14:val="tx1"/>
            </w14:solidFill>
          </w14:textFill>
        </w:rPr>
        <w:t>。</w:t>
      </w:r>
    </w:p>
    <w:bookmarkEnd w:id="594"/>
    <w:bookmarkEnd w:id="595"/>
    <w:bookmarkEnd w:id="596"/>
    <w:bookmarkEnd w:id="597"/>
    <w:bookmarkEnd w:id="598"/>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bookmarkStart w:id="599" w:name="_Toc318581156"/>
      <w:bookmarkStart w:id="600" w:name="_Toc300934944"/>
      <w:bookmarkStart w:id="601" w:name="_Toc312677987"/>
      <w:bookmarkStart w:id="602" w:name="_Toc303539101"/>
      <w:bookmarkStart w:id="603" w:name="_Toc304295522"/>
      <w:r>
        <w:rPr>
          <w:rFonts w:ascii="宋体" w:hAnsi="宋体"/>
          <w:color w:val="000000" w:themeColor="text1"/>
          <w:kern w:val="0"/>
          <w:sz w:val="24"/>
          <w14:textFill>
            <w14:solidFill>
              <w14:schemeClr w14:val="tx1"/>
            </w14:solidFill>
          </w14:textFill>
        </w:rPr>
        <w:t>.10.3 场内交通</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关于场外交通和场内交通的边界的约定：</w:t>
      </w:r>
      <w:r>
        <w:rPr>
          <w:rFonts w:hint="eastAsia" w:ascii="宋体" w:hAnsi="宋体"/>
          <w:bCs/>
          <w:color w:val="000000" w:themeColor="text1"/>
          <w:kern w:val="0"/>
          <w:sz w:val="24"/>
          <w:u w:val="single"/>
          <w14:textFill>
            <w14:solidFill>
              <w14:schemeClr w14:val="tx1"/>
            </w14:solidFill>
          </w14:textFill>
        </w:rPr>
        <w:t>本项目施工现场围墙及大门为界</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关于发包人向承包人免费提供满足工程施工需要的场内道路和交通设施的约定：</w:t>
      </w:r>
      <w:r>
        <w:rPr>
          <w:rFonts w:hint="eastAsia" w:ascii="宋体" w:hAnsi="宋体"/>
          <w:color w:val="000000" w:themeColor="text1"/>
          <w:kern w:val="0"/>
          <w:sz w:val="24"/>
          <w:u w:val="single"/>
          <w14:textFill>
            <w14:solidFill>
              <w14:schemeClr w14:val="tx1"/>
            </w14:solidFill>
          </w14:textFill>
        </w:rPr>
        <w:t>承包人进场施工视为发包人已免费向承包人提供满足工程施工需要的场内道路和交通设施；其他场内交通和场外交通设施均由承包人自行解决并承担相关责任和费用，该费用已包含在本合同价款内，不再另计。规划红线范围外的道路修补费用由承包人承担，不再另计</w:t>
      </w:r>
      <w:r>
        <w:rPr>
          <w:rFonts w:ascii="宋体" w:hAnsi="宋体"/>
          <w:color w:val="000000" w:themeColor="text1"/>
          <w:kern w:val="0"/>
          <w:sz w:val="24"/>
          <w14:textFill>
            <w14:solidFill>
              <w14:schemeClr w14:val="tx1"/>
            </w14:solidFill>
          </w14:textFill>
        </w:rPr>
        <w:t>。</w:t>
      </w:r>
      <w:bookmarkEnd w:id="599"/>
      <w:bookmarkEnd w:id="600"/>
      <w:bookmarkEnd w:id="601"/>
      <w:bookmarkEnd w:id="602"/>
      <w:bookmarkEnd w:id="603"/>
      <w:bookmarkStart w:id="604" w:name="_Toc318581157"/>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1.10.4超大件和超重件的运输</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运输超大件或超重件所需的道路和桥梁临时加固改造费用和其他有关费用由</w:t>
      </w:r>
      <w:r>
        <w:rPr>
          <w:rFonts w:hint="eastAsia" w:ascii="宋体" w:hAnsi="宋体"/>
          <w:color w:val="000000" w:themeColor="text1"/>
          <w:kern w:val="0"/>
          <w:sz w:val="24"/>
          <w:u w:val="single"/>
          <w14:textFill>
            <w14:solidFill>
              <w14:schemeClr w14:val="tx1"/>
            </w14:solidFill>
          </w14:textFill>
        </w:rPr>
        <w:t xml:space="preserve">承包人 </w:t>
      </w:r>
      <w:r>
        <w:rPr>
          <w:rFonts w:ascii="宋体" w:hAnsi="宋体"/>
          <w:color w:val="000000" w:themeColor="text1"/>
          <w:kern w:val="0"/>
          <w:sz w:val="24"/>
          <w:u w:val="single"/>
          <w14:textFill>
            <w14:solidFill>
              <w14:schemeClr w14:val="tx1"/>
            </w14:solidFill>
          </w14:textFill>
        </w:rPr>
        <w:t>承担</w:t>
      </w:r>
      <w:r>
        <w:rPr>
          <w:rFonts w:ascii="宋体" w:hAnsi="宋体"/>
          <w:color w:val="000000" w:themeColor="text1"/>
          <w:kern w:val="0"/>
          <w:sz w:val="24"/>
          <w14:textFill>
            <w14:solidFill>
              <w14:schemeClr w14:val="tx1"/>
            </w14:solidFill>
          </w14:textFill>
        </w:rPr>
        <w:t>。</w:t>
      </w:r>
    </w:p>
    <w:bookmarkEnd w:id="604"/>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1.11 知识产权</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000000" w:themeColor="text1"/>
          <w:kern w:val="0"/>
          <w:sz w:val="24"/>
          <w:u w:val="single"/>
          <w14:textFill>
            <w14:solidFill>
              <w14:schemeClr w14:val="tx1"/>
            </w14:solidFill>
          </w14:textFill>
        </w:rPr>
        <w:t xml:space="preserve"> 发包方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关于发包人提供的上述文件的使用限制的要求：</w:t>
      </w:r>
      <w:r>
        <w:rPr>
          <w:rFonts w:hint="eastAsia" w:ascii="宋体" w:hAnsi="宋体"/>
          <w:color w:val="000000" w:themeColor="text1"/>
          <w:kern w:val="0"/>
          <w:sz w:val="24"/>
          <w:u w:val="single"/>
          <w14:textFill>
            <w14:solidFill>
              <w14:schemeClr w14:val="tx1"/>
            </w14:solidFill>
          </w14:textFill>
        </w:rPr>
        <w:t xml:space="preserve">未经发包人书面同意，承包人不得为合同以外的目的而复制、使用上述文件或将之提供给任何第三方。 </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1.11.2 关于承包人为实施工程所编制文件的著作权的归属：</w:t>
      </w:r>
      <w:r>
        <w:rPr>
          <w:rFonts w:hint="eastAsia" w:ascii="宋体" w:hAnsi="宋体"/>
          <w:color w:val="000000" w:themeColor="text1"/>
          <w:kern w:val="0"/>
          <w:sz w:val="24"/>
          <w:u w:val="single"/>
          <w14:textFill>
            <w14:solidFill>
              <w14:schemeClr w14:val="tx1"/>
            </w14:solidFill>
          </w14:textFill>
        </w:rPr>
        <w:t>除署名权以外的知识产权归属于发包人</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关于承包人提供的上述文件的使用限制的要求：</w:t>
      </w:r>
      <w:r>
        <w:rPr>
          <w:rFonts w:hint="eastAsia" w:ascii="宋体" w:hAnsi="宋体"/>
          <w:color w:val="000000" w:themeColor="text1"/>
          <w:kern w:val="0"/>
          <w:sz w:val="24"/>
          <w:u w:val="single"/>
          <w14:textFill>
            <w14:solidFill>
              <w14:schemeClr w14:val="tx1"/>
            </w14:solidFill>
          </w14:textFill>
        </w:rPr>
        <w:t>未经发包人书面同意，承包人不得为合同以外的目的而复制、使用上述文件或将之提供给任何第三方。</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1.11.</w:t>
      </w:r>
      <w:r>
        <w:rPr>
          <w:rFonts w:hint="eastAsia"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 xml:space="preserve"> 承包人在施工过程中所采用的专利、专有技术、技术秘密的使用费的承担方式</w:t>
      </w:r>
      <w:r>
        <w:rPr>
          <w:rFonts w:hint="eastAsia" w:ascii="宋体" w:hAnsi="宋体"/>
          <w:color w:val="000000" w:themeColor="text1"/>
          <w:kern w:val="0"/>
          <w:sz w:val="24"/>
          <w:u w:val="single"/>
          <w14:textFill>
            <w14:solidFill>
              <w14:schemeClr w14:val="tx1"/>
            </w14:solidFill>
          </w14:textFill>
        </w:rPr>
        <w:t>由承包人承担</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1.13工程量清单错误的修正</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出现工程量清单错误时，是否调整合同价格：</w:t>
      </w:r>
      <w:r>
        <w:rPr>
          <w:rFonts w:hint="eastAsia" w:ascii="宋体" w:hAnsi="宋体"/>
          <w:color w:val="000000" w:themeColor="text1"/>
          <w:kern w:val="0"/>
          <w:sz w:val="24"/>
          <w:u w:val="single"/>
          <w14:textFill>
            <w14:solidFill>
              <w14:schemeClr w14:val="tx1"/>
            </w14:solidFill>
          </w14:textFill>
        </w:rPr>
        <w:t>执行专用条款。</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出现下列情形之一时，是否调整合同价格：</w:t>
      </w:r>
      <w:r>
        <w:rPr>
          <w:rFonts w:hint="eastAsia" w:ascii="宋体" w:hAnsi="宋体"/>
          <w:color w:val="000000" w:themeColor="text1"/>
          <w:kern w:val="0"/>
          <w:sz w:val="24"/>
          <w:u w:val="single"/>
          <w14:textFill>
            <w14:solidFill>
              <w14:schemeClr w14:val="tx1"/>
            </w14:solidFill>
          </w14:textFill>
        </w:rPr>
        <w:t>双方核对确认后调整。</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未按照国家现行计量规范强制性规定计量的。</w:t>
      </w:r>
    </w:p>
    <w:p>
      <w:pPr>
        <w:spacing w:line="360"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 发包人</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2.2 发包人代表</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发包人代表：</w:t>
      </w:r>
      <w:r>
        <w:rPr>
          <w:rFonts w:hint="eastAsia" w:ascii="宋体" w:hAnsi="宋体"/>
          <w:color w:val="000000" w:themeColor="text1"/>
          <w:kern w:val="0"/>
          <w:sz w:val="24"/>
          <w:u w:val="single"/>
          <w14:textFill>
            <w14:solidFill>
              <w14:schemeClr w14:val="tx1"/>
            </w14:solidFill>
          </w14:textFill>
        </w:rPr>
        <w:t> </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姓    名：</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职    务：</w:t>
      </w:r>
      <w:r>
        <w:rPr>
          <w:rFonts w:hint="eastAsia" w:ascii="宋体" w:hAnsi="宋体"/>
          <w:color w:val="000000" w:themeColor="text1"/>
          <w:kern w:val="0"/>
          <w:sz w:val="24"/>
          <w:u w:val="single"/>
          <w14:textFill>
            <w14:solidFill>
              <w14:schemeClr w14:val="tx1"/>
            </w14:solidFill>
          </w14:textFill>
        </w:rPr>
        <w:t> </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联系电话：</w:t>
      </w:r>
      <w:r>
        <w:rPr>
          <w:rFonts w:hint="eastAsia" w:ascii="宋体" w:hAnsi="宋体"/>
          <w:color w:val="000000" w:themeColor="text1"/>
          <w:kern w:val="0"/>
          <w:sz w:val="24"/>
          <w:u w:val="single"/>
          <w14:textFill>
            <w14:solidFill>
              <w14:schemeClr w14:val="tx1"/>
            </w14:solidFill>
          </w14:textFill>
        </w:rPr>
        <w:t></w:t>
      </w:r>
      <w:r>
        <w:rPr>
          <w:rFonts w:ascii="宋体" w:hAnsi="宋体"/>
          <w:color w:val="000000" w:themeColor="text1"/>
          <w:kern w:val="0"/>
          <w:sz w:val="24"/>
          <w:u w:val="single"/>
          <w14:textFill>
            <w14:solidFill>
              <w14:schemeClr w14:val="tx1"/>
            </w14:solidFill>
          </w14:textFill>
        </w:rPr>
        <w:t xml:space="preserve">   </w:t>
      </w:r>
      <w:r>
        <w:rPr>
          <w:rFonts w:hint="eastAsia" w:ascii="宋体" w:hAnsi="宋体"/>
          <w:color w:val="000000" w:themeColor="text1"/>
          <w:kern w:val="0"/>
          <w:sz w:val="24"/>
          <w:u w:val="single"/>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电子信箱：</w:t>
      </w:r>
      <w:r>
        <w:rPr>
          <w:rFonts w:hint="eastAsia" w:ascii="宋体" w:hAnsi="宋体"/>
          <w:color w:val="000000" w:themeColor="text1"/>
          <w:kern w:val="0"/>
          <w:sz w:val="24"/>
          <w:u w:val="single"/>
          <w14:textFill>
            <w14:solidFill>
              <w14:schemeClr w14:val="tx1"/>
            </w14:solidFill>
          </w14:textFill>
        </w:rPr>
        <w:t></w:t>
      </w:r>
      <w:r>
        <w:rPr>
          <w:rFonts w:ascii="宋体" w:hAnsi="宋体"/>
          <w:color w:val="000000" w:themeColor="text1"/>
          <w:kern w:val="0"/>
          <w:sz w:val="24"/>
          <w:u w:val="single"/>
          <w14:textFill>
            <w14:solidFill>
              <w14:schemeClr w14:val="tx1"/>
            </w14:solidFill>
          </w14:textFill>
        </w:rPr>
        <w:t xml:space="preserve">  </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通信地址：</w:t>
      </w:r>
      <w:r>
        <w:rPr>
          <w:rFonts w:hint="eastAsia" w:ascii="宋体" w:hAnsi="宋体"/>
          <w:color w:val="000000" w:themeColor="text1"/>
          <w:kern w:val="0"/>
          <w:sz w:val="24"/>
          <w:u w:val="single"/>
          <w14:textFill>
            <w14:solidFill>
              <w14:schemeClr w14:val="tx1"/>
            </w14:solidFill>
          </w14:textFill>
        </w:rPr>
        <w:t>发包人代表项目现场办公室。</w:t>
      </w:r>
    </w:p>
    <w:p>
      <w:pPr>
        <w:widowControl/>
        <w:spacing w:line="360" w:lineRule="auto"/>
        <w:ind w:firstLine="480" w:firstLineChars="200"/>
        <w:jc w:val="left"/>
        <w:rPr>
          <w:rFonts w:ascii="宋体" w:hAnsi="宋体"/>
          <w:b/>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发包人对发包人代表的授权范围如下：</w:t>
      </w:r>
      <w:r>
        <w:rPr>
          <w:rFonts w:hint="eastAsia" w:ascii="宋体" w:hAnsi="宋体"/>
          <w:color w:val="000000" w:themeColor="text1"/>
          <w:kern w:val="0"/>
          <w:sz w:val="24"/>
          <w:u w:val="single"/>
          <w14:textFill>
            <w14:solidFill>
              <w14:schemeClr w14:val="tx1"/>
            </w14:solidFill>
          </w14:textFill>
        </w:rPr>
        <w:t>对工程施工全过程行使管理职能，办理相关签证及安全、质量、技术资料等手续，并负责协调承包人与设计、造价、监理、其他分包单位及有关部门的关系；负责组织召开工程协调会、设计变更交底会，组织工程各阶段的验收。涉及有关工期、价格签证、造价增减、工程量签证、设计变更、索赔等事项，应由发包人认可。</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2.4 施工现场、施工条件和基础资料的提供</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2.4.1 提供施工现场</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关于发包人移交施工现场的期限要求：</w:t>
      </w:r>
      <w:r>
        <w:rPr>
          <w:rFonts w:hint="eastAsia" w:ascii="宋体" w:hAnsi="宋体"/>
          <w:color w:val="000000" w:themeColor="text1"/>
          <w:kern w:val="0"/>
          <w:sz w:val="24"/>
          <w:u w:val="single"/>
          <w14:textFill>
            <w14:solidFill>
              <w14:schemeClr w14:val="tx1"/>
            </w14:solidFill>
          </w14:textFill>
        </w:rPr>
        <w:t>开工前 7天</w:t>
      </w:r>
      <w:r>
        <w:rPr>
          <w:rFonts w:ascii="宋体" w:hAnsi="宋体"/>
          <w:color w:val="000000" w:themeColor="text1"/>
          <w:kern w:val="0"/>
          <w:sz w:val="24"/>
          <w:u w:val="single"/>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2.4.2 提供施工条件</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ascii="宋体" w:hAnsi="宋体" w:cs="仿宋"/>
          <w:color w:val="000000" w:themeColor="text1"/>
          <w:sz w:val="24"/>
          <w14:textFill>
            <w14:solidFill>
              <w14:schemeClr w14:val="tx1"/>
            </w14:solidFill>
          </w14:textFill>
        </w:rPr>
        <w:t>(1)</w:t>
      </w:r>
      <w:r>
        <w:rPr>
          <w:rFonts w:hint="eastAsia" w:ascii="宋体" w:hAnsi="宋体" w:cs="仿宋"/>
          <w:color w:val="000000" w:themeColor="text1"/>
          <w:sz w:val="24"/>
          <w14:textFill>
            <w14:solidFill>
              <w14:schemeClr w14:val="tx1"/>
            </w14:solidFill>
          </w14:textFill>
        </w:rPr>
        <w:t>将施工所需的水、电、电讯线路接至施工场地的时间、地点和供应要求：</w:t>
      </w:r>
      <w:r>
        <w:rPr>
          <w:rFonts w:hint="eastAsia" w:ascii="宋体" w:hAnsi="宋体" w:cs="仿宋"/>
          <w:b/>
          <w:color w:val="000000" w:themeColor="text1"/>
          <w:sz w:val="24"/>
          <w:u w:val="single"/>
          <w14:textFill>
            <w14:solidFill>
              <w14:schemeClr w14:val="tx1"/>
            </w14:solidFill>
          </w14:textFill>
        </w:rPr>
        <w:t xml:space="preserve">   /  。</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施工场地与公共道路的通道开通时间和要求：</w:t>
      </w:r>
      <w:r>
        <w:rPr>
          <w:rFonts w:hint="eastAsia" w:ascii="宋体" w:hAnsi="宋体" w:cs="仿宋"/>
          <w:b/>
          <w:bCs/>
          <w:color w:val="000000" w:themeColor="text1"/>
          <w:sz w:val="24"/>
          <w:u w:val="single"/>
          <w14:textFill>
            <w14:solidFill>
              <w14:schemeClr w14:val="tx1"/>
            </w14:solidFill>
          </w14:textFill>
        </w:rPr>
        <w:t>承包人负责开通，并承担相应费用。</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工程地质和地下管线资料的提供时间：</w:t>
      </w:r>
      <w:r>
        <w:rPr>
          <w:rFonts w:hint="eastAsia" w:ascii="宋体" w:hAnsi="宋体" w:cs="仿宋"/>
          <w:b/>
          <w:bCs/>
          <w:color w:val="000000" w:themeColor="text1"/>
          <w:sz w:val="24"/>
          <w:u w:val="single"/>
          <w14:textFill>
            <w14:solidFill>
              <w14:schemeClr w14:val="tx1"/>
            </w14:solidFill>
          </w14:textFill>
        </w:rPr>
        <w:t>双方协商。</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ascii="宋体" w:hAnsi="宋体" w:cs="仿宋"/>
          <w:color w:val="000000" w:themeColor="text1"/>
          <w:sz w:val="24"/>
          <w14:textFill>
            <w14:solidFill>
              <w14:schemeClr w14:val="tx1"/>
            </w14:solidFill>
          </w14:textFill>
        </w:rPr>
        <w:t>(4)由发包人办理的施工所需证件、批件的名称和完成时间：</w:t>
      </w:r>
      <w:r>
        <w:rPr>
          <w:rFonts w:hint="eastAsia" w:ascii="宋体" w:hAnsi="宋体" w:cs="仿宋"/>
          <w:b/>
          <w:bCs/>
          <w:color w:val="000000" w:themeColor="text1"/>
          <w:sz w:val="24"/>
          <w:u w:val="single"/>
          <w14:textFill>
            <w14:solidFill>
              <w14:schemeClr w14:val="tx1"/>
            </w14:solidFill>
          </w14:textFill>
        </w:rPr>
        <w:t>双方配合办理。</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ascii="宋体" w:hAnsi="宋体" w:cs="仿宋"/>
          <w:color w:val="000000" w:themeColor="text1"/>
          <w:sz w:val="24"/>
          <w14:textFill>
            <w14:solidFill>
              <w14:schemeClr w14:val="tx1"/>
            </w14:solidFill>
          </w14:textFill>
        </w:rPr>
        <w:t>(5)</w:t>
      </w:r>
      <w:r>
        <w:rPr>
          <w:rFonts w:hint="eastAsia" w:ascii="宋体" w:hAnsi="宋体" w:cs="仿宋"/>
          <w:color w:val="000000" w:themeColor="text1"/>
          <w:sz w:val="24"/>
          <w14:textFill>
            <w14:solidFill>
              <w14:schemeClr w14:val="tx1"/>
            </w14:solidFill>
          </w14:textFill>
        </w:rPr>
        <w:t>水准点与坐标控制点交验要求：</w:t>
      </w:r>
      <w:r>
        <w:rPr>
          <w:rFonts w:hint="eastAsia" w:ascii="宋体" w:hAnsi="宋体" w:cs="仿宋"/>
          <w:b/>
          <w:bCs/>
          <w:color w:val="000000" w:themeColor="text1"/>
          <w:sz w:val="24"/>
          <w:u w:val="single"/>
          <w14:textFill>
            <w14:solidFill>
              <w14:schemeClr w14:val="tx1"/>
            </w14:solidFill>
          </w14:textFill>
        </w:rPr>
        <w:t>双方协商。</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ascii="宋体" w:hAnsi="宋体" w:cs="仿宋"/>
          <w:color w:val="000000" w:themeColor="text1"/>
          <w:sz w:val="24"/>
          <w14:textFill>
            <w14:solidFill>
              <w14:schemeClr w14:val="tx1"/>
            </w14:solidFill>
          </w14:textFill>
        </w:rPr>
        <w:t>(6)</w:t>
      </w:r>
      <w:r>
        <w:rPr>
          <w:rFonts w:hint="eastAsia" w:ascii="宋体" w:hAnsi="宋体" w:cs="仿宋"/>
          <w:color w:val="000000" w:themeColor="text1"/>
          <w:sz w:val="24"/>
          <w14:textFill>
            <w14:solidFill>
              <w14:schemeClr w14:val="tx1"/>
            </w14:solidFill>
          </w14:textFill>
        </w:rPr>
        <w:t>图纸会审和设计交底时间：</w:t>
      </w:r>
      <w:r>
        <w:rPr>
          <w:rFonts w:hint="eastAsia" w:ascii="宋体" w:hAnsi="宋体" w:cs="仿宋"/>
          <w:b/>
          <w:bCs/>
          <w:color w:val="000000" w:themeColor="text1"/>
          <w:sz w:val="24"/>
          <w:u w:val="single"/>
          <w14:textFill>
            <w14:solidFill>
              <w14:schemeClr w14:val="tx1"/>
            </w14:solidFill>
          </w14:textFill>
        </w:rPr>
        <w:t>以发包人的书面要求为准。</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(7)</w:t>
      </w:r>
      <w:r>
        <w:rPr>
          <w:rFonts w:hint="eastAsia" w:ascii="宋体" w:hAnsi="宋体" w:cs="仿宋"/>
          <w:color w:val="000000" w:themeColor="text1"/>
          <w:sz w:val="24"/>
          <w14:textFill>
            <w14:solidFill>
              <w14:schemeClr w14:val="tx1"/>
            </w14:solidFill>
          </w14:textFill>
        </w:rPr>
        <w:t>协调处理施工场地周围地下管线和邻近建筑物、构筑物（含文物保护建筑）、古树名木的保护工作：</w:t>
      </w:r>
      <w:r>
        <w:rPr>
          <w:rFonts w:hint="eastAsia" w:ascii="宋体" w:hAnsi="宋体" w:cs="仿宋"/>
          <w:b/>
          <w:color w:val="000000" w:themeColor="text1"/>
          <w:sz w:val="24"/>
          <w:u w:val="single"/>
          <w14:textFill>
            <w14:solidFill>
              <w14:schemeClr w14:val="tx1"/>
            </w14:solidFill>
          </w14:textFill>
        </w:rPr>
        <w:t>由承包人按相关规定做好此项工作，并承担相关费用。</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ascii="宋体" w:hAnsi="宋体" w:cs="仿宋"/>
          <w:color w:val="000000" w:themeColor="text1"/>
          <w:sz w:val="24"/>
          <w14:textFill>
            <w14:solidFill>
              <w14:schemeClr w14:val="tx1"/>
            </w14:solidFill>
          </w14:textFill>
        </w:rPr>
        <w:t>(8)双方约定发包人应做的其他工作：</w:t>
      </w:r>
      <w:r>
        <w:rPr>
          <w:rFonts w:hint="eastAsia" w:ascii="宋体" w:hAnsi="宋体" w:cs="仿宋"/>
          <w:b/>
          <w:bCs/>
          <w:color w:val="000000" w:themeColor="text1"/>
          <w:sz w:val="24"/>
          <w:u w:val="single"/>
          <w14:textFill>
            <w14:solidFill>
              <w14:schemeClr w14:val="tx1"/>
            </w14:solidFill>
          </w14:textFill>
        </w:rPr>
        <w:t>①施工中若出现设计问题，应积极主动协调施工方、设计方完善设计；②施工中的其他协调工作；其他双方另行协商。</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2.5 资金来源证明及支付担保</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发包人提供资金来源证明的期限要求：</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b/>
          <w:color w:val="000000" w:themeColor="text1"/>
          <w:kern w:val="0"/>
          <w:sz w:val="24"/>
          <w:u w:val="single"/>
          <w14:textFill>
            <w14:solidFill>
              <w14:schemeClr w14:val="tx1"/>
            </w14:solidFill>
          </w14:textFill>
        </w:rPr>
        <w:t>/</w:t>
      </w:r>
      <w:r>
        <w:rPr>
          <w:rFonts w:ascii="宋体" w:hAnsi="宋体"/>
          <w:b/>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发包人是否提供支付担保：</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b/>
          <w:color w:val="000000" w:themeColor="text1"/>
          <w:kern w:val="0"/>
          <w:sz w:val="24"/>
          <w:u w:val="single"/>
          <w14:textFill>
            <w14:solidFill>
              <w14:schemeClr w14:val="tx1"/>
            </w14:solidFill>
          </w14:textFill>
        </w:rPr>
        <w:t>/</w:t>
      </w:r>
      <w:r>
        <w:rPr>
          <w:rFonts w:ascii="宋体" w:hAnsi="宋体"/>
          <w:b/>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发包人提供支付担保的形式：</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b/>
          <w:color w:val="000000" w:themeColor="text1"/>
          <w:kern w:val="0"/>
          <w:sz w:val="24"/>
          <w:u w:val="single"/>
          <w14:textFill>
            <w14:solidFill>
              <w14:schemeClr w14:val="tx1"/>
            </w14:solidFill>
          </w14:textFill>
        </w:rPr>
        <w:t>/</w:t>
      </w:r>
      <w:r>
        <w:rPr>
          <w:rFonts w:ascii="宋体" w:hAnsi="宋体"/>
          <w:b/>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spacing w:line="360" w:lineRule="auto"/>
        <w:ind w:firstLine="482" w:firstLineChars="200"/>
        <w:jc w:val="left"/>
        <w:rPr>
          <w:rFonts w:ascii="宋体" w:hAnsi="宋体"/>
          <w:b/>
          <w:color w:val="000000" w:themeColor="text1"/>
          <w:sz w:val="24"/>
          <w14:textFill>
            <w14:solidFill>
              <w14:schemeClr w14:val="tx1"/>
            </w14:solidFill>
          </w14:textFill>
        </w:rPr>
      </w:pPr>
      <w:bookmarkStart w:id="605" w:name="_Toc351203635"/>
      <w:r>
        <w:rPr>
          <w:rFonts w:ascii="宋体" w:hAnsi="宋体"/>
          <w:b/>
          <w:color w:val="000000" w:themeColor="text1"/>
          <w:sz w:val="24"/>
          <w14:textFill>
            <w14:solidFill>
              <w14:schemeClr w14:val="tx1"/>
            </w14:solidFill>
          </w14:textFill>
        </w:rPr>
        <w:t>3</w:t>
      </w:r>
      <w:bookmarkStart w:id="606" w:name="_Toc297048344"/>
      <w:bookmarkStart w:id="607" w:name="_Toc292559363"/>
      <w:bookmarkStart w:id="608" w:name="_Toc296503158"/>
      <w:bookmarkStart w:id="609" w:name="_Toc296891198"/>
      <w:bookmarkStart w:id="610" w:name="_Toc296347157"/>
      <w:bookmarkStart w:id="611" w:name="_Toc292559868"/>
      <w:bookmarkStart w:id="612" w:name="_Toc297120458"/>
      <w:bookmarkStart w:id="613" w:name="_Toc296346659"/>
      <w:bookmarkStart w:id="614" w:name="_Toc296890986"/>
      <w:bookmarkStart w:id="615" w:name="_Toc296944497"/>
      <w:r>
        <w:rPr>
          <w:rFonts w:ascii="宋体" w:hAnsi="宋体"/>
          <w:b/>
          <w:color w:val="000000" w:themeColor="text1"/>
          <w:sz w:val="24"/>
          <w14:textFill>
            <w14:solidFill>
              <w14:schemeClr w14:val="tx1"/>
            </w14:solidFill>
          </w14:textFill>
        </w:rPr>
        <w:t>. 承包人</w:t>
      </w:r>
      <w:bookmarkEnd w:id="605"/>
    </w:p>
    <w:bookmarkEnd w:id="606"/>
    <w:bookmarkEnd w:id="607"/>
    <w:bookmarkEnd w:id="608"/>
    <w:bookmarkEnd w:id="609"/>
    <w:bookmarkEnd w:id="610"/>
    <w:bookmarkEnd w:id="611"/>
    <w:bookmarkEnd w:id="612"/>
    <w:bookmarkEnd w:id="613"/>
    <w:bookmarkEnd w:id="614"/>
    <w:bookmarkEnd w:id="615"/>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3.1 承包人的一般义务</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9</w:t>
      </w:r>
      <w:r>
        <w:rPr>
          <w:rFonts w:ascii="宋体" w:hAnsi="宋体"/>
          <w:color w:val="000000" w:themeColor="text1"/>
          <w:kern w:val="0"/>
          <w:sz w:val="24"/>
          <w14:textFill>
            <w14:solidFill>
              <w14:schemeClr w14:val="tx1"/>
            </w14:solidFill>
          </w14:textFill>
        </w:rPr>
        <w:t>）承包人提交的竣工资料的内容：</w:t>
      </w:r>
      <w:r>
        <w:rPr>
          <w:rFonts w:hint="eastAsia" w:ascii="宋体" w:hAnsi="宋体" w:cs="仿宋"/>
          <w:color w:val="000000" w:themeColor="text1"/>
          <w:sz w:val="24"/>
          <w:u w:val="single"/>
          <w14:textFill>
            <w14:solidFill>
              <w14:schemeClr w14:val="tx1"/>
            </w14:solidFill>
          </w14:textFill>
        </w:rPr>
        <w:t>按档案管理规定，</w:t>
      </w:r>
      <w:r>
        <w:rPr>
          <w:rFonts w:hint="eastAsia" w:ascii="宋体" w:hAnsi="宋体"/>
          <w:color w:val="000000" w:themeColor="text1"/>
          <w:kern w:val="0"/>
          <w:sz w:val="24"/>
          <w:u w:val="single"/>
          <w14:textFill>
            <w14:solidFill>
              <w14:schemeClr w14:val="tx1"/>
            </w14:solidFill>
          </w14:textFill>
        </w:rPr>
        <w:t>提供合格的全套技术资料和竣工图（含扫描件）。</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承包人需要提交的竣工资料套数：</w:t>
      </w:r>
      <w:r>
        <w:rPr>
          <w:rFonts w:hint="eastAsia" w:ascii="宋体" w:hAnsi="宋体"/>
          <w:color w:val="000000" w:themeColor="text1"/>
          <w:kern w:val="0"/>
          <w:sz w:val="24"/>
          <w:u w:val="single"/>
          <w14:textFill>
            <w14:solidFill>
              <w14:schemeClr w14:val="tx1"/>
            </w14:solidFill>
          </w14:textFill>
        </w:rPr>
        <w:t>一式陆套（原件陆套、含C</w:t>
      </w:r>
      <w:r>
        <w:rPr>
          <w:rFonts w:ascii="宋体" w:hAnsi="宋体"/>
          <w:color w:val="000000" w:themeColor="text1"/>
          <w:kern w:val="0"/>
          <w:sz w:val="24"/>
          <w:u w:val="single"/>
          <w14:textFill>
            <w14:solidFill>
              <w14:schemeClr w14:val="tx1"/>
            </w14:solidFill>
          </w14:textFill>
        </w:rPr>
        <w:t>AD</w:t>
      </w:r>
      <w:r>
        <w:rPr>
          <w:rFonts w:hint="eastAsia" w:ascii="宋体" w:hAnsi="宋体"/>
          <w:color w:val="000000" w:themeColor="text1"/>
          <w:kern w:val="0"/>
          <w:sz w:val="24"/>
          <w:u w:val="single"/>
          <w14:textFill>
            <w14:solidFill>
              <w14:schemeClr w14:val="tx1"/>
            </w14:solidFill>
          </w14:textFill>
        </w:rPr>
        <w:t>电子版）</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承包人提交的竣工资料的费用承担：</w:t>
      </w:r>
      <w:r>
        <w:rPr>
          <w:rFonts w:hint="eastAsia" w:ascii="宋体" w:hAnsi="宋体"/>
          <w:color w:val="000000" w:themeColor="text1"/>
          <w:kern w:val="0"/>
          <w:sz w:val="24"/>
          <w:u w:val="single"/>
          <w14:textFill>
            <w14:solidFill>
              <w14:schemeClr w14:val="tx1"/>
            </w14:solidFill>
          </w14:textFill>
        </w:rPr>
        <w:t>由承包人自行承担</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承包人提交的竣工资料移交时间：</w:t>
      </w:r>
      <w:r>
        <w:rPr>
          <w:rFonts w:hint="eastAsia" w:ascii="宋体" w:hAnsi="宋体"/>
          <w:color w:val="000000" w:themeColor="text1"/>
          <w:kern w:val="0"/>
          <w:sz w:val="24"/>
          <w:u w:val="single"/>
          <w14:textFill>
            <w14:solidFill>
              <w14:schemeClr w14:val="tx1"/>
            </w14:solidFill>
          </w14:textFill>
        </w:rPr>
        <w:t>竣工验收后28天内</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承包人提交的竣工资料形式要求：</w:t>
      </w:r>
      <w:r>
        <w:rPr>
          <w:rFonts w:hint="eastAsia" w:ascii="宋体" w:hAnsi="宋体"/>
          <w:color w:val="000000" w:themeColor="text1"/>
          <w:kern w:val="0"/>
          <w:sz w:val="24"/>
          <w:u w:val="single"/>
          <w14:textFill>
            <w14:solidFill>
              <w14:schemeClr w14:val="tx1"/>
            </w14:solidFill>
          </w14:textFill>
        </w:rPr>
        <w:t>壹套由承包人直接向城建档案馆移交，其余向发包人移交</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10</w:t>
      </w:r>
      <w:r>
        <w:rPr>
          <w:rFonts w:ascii="宋体" w:hAnsi="宋体"/>
          <w:color w:val="000000" w:themeColor="text1"/>
          <w:kern w:val="0"/>
          <w:sz w:val="24"/>
          <w14:textFill>
            <w14:solidFill>
              <w14:schemeClr w14:val="tx1"/>
            </w14:solidFill>
          </w14:textFill>
        </w:rPr>
        <w:t>）承包人应履行的其他义务：</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1）承包人应于每月15日根据发包人工程管理办法和监理细则规定向监理工程师及工程师提交行之有效的工程进度计划及相应进度统计报表（包括但不限于当月完成的工程量报表、下月的施工进度计划安排、质量安全报表、资金使用计划表）等工程管理资料。</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施工安全保卫工作及非夜间施工照明：</w:t>
      </w:r>
      <w:r>
        <w:rPr>
          <w:rFonts w:hint="eastAsia" w:ascii="宋体" w:hAnsi="宋体" w:cs="仿宋"/>
          <w:color w:val="000000" w:themeColor="text1"/>
          <w:sz w:val="24"/>
          <w:u w:val="single"/>
          <w14:textFill>
            <w14:solidFill>
              <w14:schemeClr w14:val="tx1"/>
            </w14:solidFill>
          </w14:textFill>
        </w:rPr>
        <w:t>由承包人自负并承担费用</w:t>
      </w:r>
      <w:r>
        <w:rPr>
          <w:rFonts w:hint="eastAsia" w:ascii="宋体" w:hAnsi="宋体" w:cs="仿宋"/>
          <w:color w:val="000000" w:themeColor="text1"/>
          <w:sz w:val="24"/>
          <w14:textFill>
            <w14:solidFill>
              <w14:schemeClr w14:val="tx1"/>
            </w14:solidFill>
          </w14:textFill>
        </w:rPr>
        <w:t>。</w:t>
      </w:r>
    </w:p>
    <w:p>
      <w:pPr>
        <w:adjustRightInd w:val="0"/>
        <w:snapToGrid w:val="0"/>
        <w:spacing w:line="360" w:lineRule="auto"/>
        <w:ind w:firstLine="480" w:firstLineChars="200"/>
        <w:rPr>
          <w:rFonts w:ascii="宋体" w:hAnsi="宋体" w:cs="仿宋"/>
          <w:bCs/>
          <w:color w:val="000000" w:themeColor="text1"/>
          <w:sz w:val="24"/>
          <w:u w:val="single"/>
          <w14:textFill>
            <w14:solidFill>
              <w14:schemeClr w14:val="tx1"/>
            </w14:solidFill>
          </w14:textFill>
        </w:rPr>
      </w:pPr>
      <w:r>
        <w:rPr>
          <w:rFonts w:ascii="宋体" w:hAnsi="宋体" w:cs="仿宋"/>
          <w:color w:val="000000" w:themeColor="text1"/>
          <w:sz w:val="24"/>
          <w14:textFill>
            <w14:solidFill>
              <w14:schemeClr w14:val="tx1"/>
            </w14:solidFill>
          </w14:textFill>
        </w:rPr>
        <w:t>3）办理的有关施工场地交通、环卫和施工噪音管理等手续：</w:t>
      </w:r>
      <w:r>
        <w:rPr>
          <w:rFonts w:hint="eastAsia" w:ascii="宋体" w:hAnsi="宋体" w:cs="仿宋"/>
          <w:bCs/>
          <w:color w:val="000000" w:themeColor="text1"/>
          <w:sz w:val="24"/>
          <w:u w:val="single"/>
          <w14:textFill>
            <w14:solidFill>
              <w14:schemeClr w14:val="tx1"/>
            </w14:solidFill>
          </w14:textFill>
        </w:rPr>
        <w:t>承包人遵守昆明市政府各相关主管部门的管理规定，按规定办理相关手续，并以书面形式通知发包人，承包人承担由此发生的全部费用。</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4）已完工程成品保护的特殊要求及费用承担：</w:t>
      </w:r>
      <w:r>
        <w:rPr>
          <w:rFonts w:hint="eastAsia" w:ascii="宋体" w:hAnsi="宋体" w:cs="仿宋"/>
          <w:color w:val="000000" w:themeColor="text1"/>
          <w:sz w:val="24"/>
          <w:u w:val="single"/>
          <w14:textFill>
            <w14:solidFill>
              <w14:schemeClr w14:val="tx1"/>
            </w14:solidFill>
          </w14:textFill>
        </w:rPr>
        <w:t>由承包人自负。</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ascii="宋体" w:hAnsi="宋体" w:cs="仿宋"/>
          <w:color w:val="000000" w:themeColor="text1"/>
          <w:sz w:val="24"/>
          <w14:textFill>
            <w14:solidFill>
              <w14:schemeClr w14:val="tx1"/>
            </w14:solidFill>
          </w14:textFill>
        </w:rPr>
        <w:t>5）施工场地周围地下管线和邻近建筑物、构筑物（含文物保护建筑）、古树名木的保护要求及费用承担：</w:t>
      </w:r>
      <w:r>
        <w:rPr>
          <w:rFonts w:hint="eastAsia" w:ascii="宋体" w:hAnsi="宋体" w:cs="仿宋"/>
          <w:color w:val="000000" w:themeColor="text1"/>
          <w:sz w:val="24"/>
          <w:u w:val="single"/>
          <w14:textFill>
            <w14:solidFill>
              <w14:schemeClr w14:val="tx1"/>
            </w14:solidFill>
          </w14:textFill>
        </w:rPr>
        <w:t>由承包人按相关规定做好此项工作，并承担相关费用。</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6）施工场地清洁卫生的要求：严格按云南省人民政府令第八十二号《云南省建筑施工现场管理规定》执行，施工完成任务后做到人场清，现场布置，机械材料堆放等问题以批准的施工组织设计为准。并按环评要求做好环境保护工作，避免防止扬尘废水废渣污染，费用已包含在工程合同价中。若文明施工不达标，自愿向发包人交纳违约金</w:t>
      </w:r>
      <w:r>
        <w:rPr>
          <w:rFonts w:hint="eastAsia" w:ascii="宋体" w:hAnsi="宋体" w:cs="仿宋"/>
          <w:color w:val="000000" w:themeColor="text1"/>
          <w:sz w:val="24"/>
          <w:u w:val="single"/>
          <w14:textFill>
            <w14:solidFill>
              <w14:schemeClr w14:val="tx1"/>
            </w14:solidFill>
          </w14:textFill>
        </w:rPr>
        <w:t xml:space="preserve"> 50000.00 </w:t>
      </w:r>
      <w:r>
        <w:rPr>
          <w:rFonts w:ascii="宋体" w:hAnsi="宋体" w:cs="仿宋"/>
          <w:color w:val="000000" w:themeColor="text1"/>
          <w:sz w:val="24"/>
          <w14:textFill>
            <w14:solidFill>
              <w14:schemeClr w14:val="tx1"/>
            </w14:solidFill>
          </w14:textFill>
        </w:rPr>
        <w:t>元/次。承包人车辆经过的路面应采取必要措施保证不扬尘。弃土问题按当地政府规定办理。</w:t>
      </w:r>
    </w:p>
    <w:p>
      <w:pPr>
        <w:adjustRightInd w:val="0"/>
        <w:snapToGrid w:val="0"/>
        <w:spacing w:line="360" w:lineRule="auto"/>
        <w:ind w:firstLine="480" w:firstLineChars="200"/>
        <w:rPr>
          <w:rFonts w:ascii="宋体" w:hAnsi="宋体" w:cs="仿宋"/>
          <w:bCs/>
          <w:color w:val="000000" w:themeColor="text1"/>
          <w:sz w:val="24"/>
          <w14:textFill>
            <w14:solidFill>
              <w14:schemeClr w14:val="tx1"/>
            </w14:solidFill>
          </w14:textFill>
        </w:rPr>
      </w:pPr>
      <w:r>
        <w:rPr>
          <w:rFonts w:ascii="宋体" w:hAnsi="宋体" w:cs="仿宋"/>
          <w:bCs/>
          <w:color w:val="000000" w:themeColor="text1"/>
          <w:sz w:val="24"/>
          <w14:textFill>
            <w14:solidFill>
              <w14:schemeClr w14:val="tx1"/>
            </w14:solidFill>
          </w14:textFill>
        </w:rPr>
        <w:t>7）承包人在</w:t>
      </w:r>
      <w:r>
        <w:rPr>
          <w:rFonts w:hint="eastAsia" w:ascii="宋体" w:hAnsi="宋体" w:cs="仿宋"/>
          <w:bCs/>
          <w:color w:val="000000" w:themeColor="text1"/>
          <w:sz w:val="24"/>
          <w14:textFill>
            <w14:solidFill>
              <w14:schemeClr w14:val="tx1"/>
            </w14:solidFill>
          </w14:textFill>
        </w:rPr>
        <w:t>单个</w:t>
      </w:r>
      <w:r>
        <w:rPr>
          <w:rFonts w:ascii="宋体" w:hAnsi="宋体" w:cs="仿宋"/>
          <w:bCs/>
          <w:color w:val="000000" w:themeColor="text1"/>
          <w:sz w:val="24"/>
          <w14:textFill>
            <w14:solidFill>
              <w14:schemeClr w14:val="tx1"/>
            </w14:solidFill>
          </w14:textFill>
        </w:rPr>
        <w:t>项目开工前10天应向发包人提供管理人员、专业技术人员、特殊工种人员的上岗证、名单及有关设备合格证年审证等证件。承包人如逾期未提供，承包人需向发包人缴纳</w:t>
      </w:r>
      <w:r>
        <w:rPr>
          <w:rFonts w:hint="eastAsia" w:ascii="宋体" w:hAnsi="宋体" w:cs="仿宋"/>
          <w:color w:val="000000" w:themeColor="text1"/>
          <w:sz w:val="24"/>
          <w:u w:val="single"/>
          <w14:textFill>
            <w14:solidFill>
              <w14:schemeClr w14:val="tx1"/>
            </w14:solidFill>
          </w14:textFill>
        </w:rPr>
        <w:t xml:space="preserve"> 50000.00 </w:t>
      </w:r>
      <w:r>
        <w:rPr>
          <w:rFonts w:ascii="宋体" w:hAnsi="宋体" w:cs="仿宋"/>
          <w:bCs/>
          <w:color w:val="000000" w:themeColor="text1"/>
          <w:sz w:val="24"/>
          <w14:textFill>
            <w14:solidFill>
              <w14:schemeClr w14:val="tx1"/>
            </w14:solidFill>
          </w14:textFill>
        </w:rPr>
        <w:t>元的违约金，且每延期一天追加违约金</w:t>
      </w:r>
      <w:r>
        <w:rPr>
          <w:rFonts w:hint="eastAsia" w:ascii="宋体" w:hAnsi="宋体" w:cs="仿宋"/>
          <w:color w:val="000000" w:themeColor="text1"/>
          <w:sz w:val="24"/>
          <w:u w:val="single"/>
          <w14:textFill>
            <w14:solidFill>
              <w14:schemeClr w14:val="tx1"/>
            </w14:solidFill>
          </w14:textFill>
        </w:rPr>
        <w:t xml:space="preserve"> 10000 </w:t>
      </w:r>
      <w:r>
        <w:rPr>
          <w:rFonts w:ascii="宋体" w:hAnsi="宋体" w:cs="仿宋"/>
          <w:bCs/>
          <w:color w:val="000000" w:themeColor="text1"/>
          <w:sz w:val="24"/>
          <w14:textFill>
            <w14:solidFill>
              <w14:schemeClr w14:val="tx1"/>
            </w14:solidFill>
          </w14:textFill>
        </w:rPr>
        <w:t>元；且每缺一人的上岗证或一台设备的合格证年审证，承包人需向发包人缴纳</w:t>
      </w:r>
      <w:r>
        <w:rPr>
          <w:rFonts w:hint="eastAsia" w:ascii="宋体" w:hAnsi="宋体" w:cs="仿宋"/>
          <w:color w:val="000000" w:themeColor="text1"/>
          <w:sz w:val="24"/>
          <w:u w:val="single"/>
          <w14:textFill>
            <w14:solidFill>
              <w14:schemeClr w14:val="tx1"/>
            </w14:solidFill>
          </w14:textFill>
        </w:rPr>
        <w:t xml:space="preserve"> 10000.00 </w:t>
      </w:r>
      <w:r>
        <w:rPr>
          <w:rFonts w:ascii="宋体" w:hAnsi="宋体" w:cs="仿宋"/>
          <w:bCs/>
          <w:color w:val="000000" w:themeColor="text1"/>
          <w:sz w:val="24"/>
          <w14:textFill>
            <w14:solidFill>
              <w14:schemeClr w14:val="tx1"/>
            </w14:solidFill>
          </w14:textFill>
        </w:rPr>
        <w:t>元的违约金。承包人必须严格按照国家及相关行业规定，本项目全部参与人员必须具有相应的执业资格证，特殊工种必须切实做到持证上岗，以备随时查验。首次发现无证上岗人员每人次处以</w:t>
      </w:r>
      <w:r>
        <w:rPr>
          <w:rFonts w:hint="eastAsia" w:ascii="宋体" w:hAnsi="宋体" w:cs="仿宋"/>
          <w:color w:val="000000" w:themeColor="text1"/>
          <w:sz w:val="24"/>
          <w:u w:val="single"/>
          <w14:textFill>
            <w14:solidFill>
              <w14:schemeClr w14:val="tx1"/>
            </w14:solidFill>
          </w14:textFill>
        </w:rPr>
        <w:t xml:space="preserve"> 100000.00 </w:t>
      </w:r>
      <w:r>
        <w:rPr>
          <w:rFonts w:ascii="宋体" w:hAnsi="宋体" w:cs="仿宋"/>
          <w:bCs/>
          <w:color w:val="000000" w:themeColor="text1"/>
          <w:sz w:val="24"/>
          <w14:textFill>
            <w14:solidFill>
              <w14:schemeClr w14:val="tx1"/>
            </w14:solidFill>
          </w14:textFill>
        </w:rPr>
        <w:t>元的违约金，并驱逐出场；第二次再发现无证上岗人员，发包人有权立即终止该施工合同，承包人自行承担由此产生的一切后果。</w:t>
      </w:r>
    </w:p>
    <w:p>
      <w:pPr>
        <w:adjustRightInd w:val="0"/>
        <w:snapToGrid w:val="0"/>
        <w:spacing w:line="360" w:lineRule="auto"/>
        <w:ind w:firstLine="480" w:firstLineChars="200"/>
        <w:rPr>
          <w:rFonts w:ascii="宋体" w:hAnsi="宋体" w:cs="仿宋"/>
          <w:bCs/>
          <w:color w:val="000000" w:themeColor="text1"/>
          <w:sz w:val="24"/>
          <w14:textFill>
            <w14:solidFill>
              <w14:schemeClr w14:val="tx1"/>
            </w14:solidFill>
          </w14:textFill>
        </w:rPr>
      </w:pPr>
      <w:r>
        <w:rPr>
          <w:rFonts w:ascii="宋体" w:hAnsi="宋体" w:cs="仿宋"/>
          <w:bCs/>
          <w:color w:val="000000" w:themeColor="text1"/>
          <w:sz w:val="24"/>
          <w14:textFill>
            <w14:solidFill>
              <w14:schemeClr w14:val="tx1"/>
            </w14:solidFill>
          </w14:textFill>
        </w:rPr>
        <w:t>8）承包人在开工前编制详细的施工组织设计，报监理人及发包人审批，施工组织设计应包括：施工技术方案；质量保证措施；施工主要工序；安全文明施工保证措施；工期保证措施；施工进度计划；劳动力安排和材料投入计划及其保证措施；施工机械投入；项目经理及项目管理人员配置；施工总平面图等内容。承包人如逾期未完成编制及合格文件的报送工作，每次承包人须向发包人交纳</w:t>
      </w:r>
      <w:r>
        <w:rPr>
          <w:rFonts w:hint="eastAsia" w:ascii="宋体" w:hAnsi="宋体" w:cs="仿宋"/>
          <w:color w:val="000000" w:themeColor="text1"/>
          <w:sz w:val="24"/>
          <w:u w:val="single"/>
          <w14:textFill>
            <w14:solidFill>
              <w14:schemeClr w14:val="tx1"/>
            </w14:solidFill>
          </w14:textFill>
        </w:rPr>
        <w:t xml:space="preserve"> 50000.00</w:t>
      </w:r>
      <w:r>
        <w:rPr>
          <w:rFonts w:ascii="宋体" w:hAnsi="宋体" w:cs="仿宋"/>
          <w:bCs/>
          <w:color w:val="000000" w:themeColor="text1"/>
          <w:sz w:val="24"/>
          <w14:textFill>
            <w14:solidFill>
              <w14:schemeClr w14:val="tx1"/>
            </w14:solidFill>
          </w14:textFill>
        </w:rPr>
        <w:t>元的违约金，且每延期一天追加</w:t>
      </w:r>
      <w:r>
        <w:rPr>
          <w:rFonts w:hint="eastAsia" w:ascii="宋体" w:hAnsi="宋体" w:cs="仿宋"/>
          <w:color w:val="000000" w:themeColor="text1"/>
          <w:sz w:val="24"/>
          <w:u w:val="single"/>
          <w14:textFill>
            <w14:solidFill>
              <w14:schemeClr w14:val="tx1"/>
            </w14:solidFill>
          </w14:textFill>
        </w:rPr>
        <w:t xml:space="preserve"> 10000.00 </w:t>
      </w:r>
      <w:r>
        <w:rPr>
          <w:rFonts w:ascii="宋体" w:hAnsi="宋体" w:cs="仿宋"/>
          <w:bCs/>
          <w:color w:val="000000" w:themeColor="text1"/>
          <w:sz w:val="24"/>
          <w14:textFill>
            <w14:solidFill>
              <w14:schemeClr w14:val="tx1"/>
            </w14:solidFill>
          </w14:textFill>
        </w:rPr>
        <w:t>元的违约金。</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ascii="宋体" w:hAnsi="宋体" w:cs="仿宋"/>
          <w:bCs/>
          <w:color w:val="000000" w:themeColor="text1"/>
          <w:sz w:val="24"/>
          <w14:textFill>
            <w14:solidFill>
              <w14:schemeClr w14:val="tx1"/>
            </w14:solidFill>
          </w14:textFill>
        </w:rPr>
        <w:t>9）双方约定承包人应做的其它工作：</w:t>
      </w:r>
      <w:r>
        <w:rPr>
          <w:rFonts w:hint="eastAsia" w:ascii="宋体" w:hAnsi="宋体" w:cs="仿宋"/>
          <w:bCs/>
          <w:color w:val="000000" w:themeColor="text1"/>
          <w:sz w:val="24"/>
          <w:u w:val="single"/>
          <w14:textFill>
            <w14:solidFill>
              <w14:schemeClr w14:val="tx1"/>
            </w14:solidFill>
          </w14:textFill>
        </w:rPr>
        <w:t>如有发生，由双方协商处理。</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（11）双方约定承包人应做的其他工作：</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承包人应配备足够的保通设施和相应保通人员以满足保通工作的需要，此部分费用已包含在合同价中。承包人提供相关资料、协助发包方完成质量监督备案、安全备案以及施工许可证的办理。承包人需到相关部门缴纳农民工工资保证金，其他未约定事项如有发生，发包人、承包人双方协商处理。</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）疫情防控费用由承包人综合考虑在合同价款中，不再另计。</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）施工现场安全、文明、卫生一次不达标，发包人有权要求承包人支付10000元/次违约金。</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szCs w:val="28"/>
          <w14:textFill>
            <w14:solidFill>
              <w14:schemeClr w14:val="tx1"/>
            </w14:solidFill>
          </w14:textFill>
        </w:rPr>
        <w:t>4</w:t>
      </w:r>
      <w:r>
        <w:rPr>
          <w:rFonts w:hint="eastAsia" w:ascii="宋体" w:hAnsi="宋体"/>
          <w:color w:val="000000" w:themeColor="text1"/>
          <w:kern w:val="0"/>
          <w:sz w:val="24"/>
          <w:szCs w:val="28"/>
          <w14:textFill>
            <w14:solidFill>
              <w14:schemeClr w14:val="tx1"/>
            </w14:solidFill>
          </w14:textFill>
        </w:rPr>
        <w:t>）本项目大气防治产生的水、电费</w:t>
      </w:r>
      <w:r>
        <w:rPr>
          <w:rFonts w:hint="eastAsia" w:ascii="宋体" w:hAnsi="宋体"/>
          <w:color w:val="000000" w:themeColor="text1"/>
          <w:sz w:val="24"/>
          <w:szCs w:val="28"/>
          <w14:textFill>
            <w14:solidFill>
              <w14:schemeClr w14:val="tx1"/>
            </w14:solidFill>
          </w14:textFill>
        </w:rPr>
        <w:t>，由</w:t>
      </w:r>
      <w:r>
        <w:rPr>
          <w:rFonts w:ascii="宋体" w:hAnsi="宋体"/>
          <w:color w:val="000000" w:themeColor="text1"/>
          <w:sz w:val="24"/>
          <w:szCs w:val="28"/>
          <w14:textFill>
            <w14:solidFill>
              <w14:schemeClr w14:val="tx1"/>
            </w14:solidFill>
          </w14:textFill>
        </w:rPr>
        <w:t>承包人自行承担，发包人不再另行支付</w:t>
      </w:r>
      <w:r>
        <w:rPr>
          <w:rFonts w:hint="eastAsia" w:ascii="宋体" w:hAnsi="宋体"/>
          <w:color w:val="000000" w:themeColor="text1"/>
          <w:kern w:val="0"/>
          <w:sz w:val="24"/>
          <w:szCs w:val="28"/>
          <w14:textFill>
            <w14:solidFill>
              <w14:schemeClr w14:val="tx1"/>
            </w14:solidFill>
          </w14:textFill>
        </w:rPr>
        <w:t>费用</w:t>
      </w:r>
      <w:r>
        <w:rPr>
          <w:rFonts w:ascii="宋体" w:hAnsi="宋体"/>
          <w:color w:val="000000" w:themeColor="text1"/>
          <w:sz w:val="24"/>
          <w:szCs w:val="28"/>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3.2 </w:t>
      </w:r>
      <w:r>
        <w:rPr>
          <w:rFonts w:hint="eastAsia" w:ascii="宋体" w:hAnsi="宋体"/>
          <w:color w:val="000000" w:themeColor="text1"/>
          <w:kern w:val="0"/>
          <w:sz w:val="24"/>
          <w14:textFill>
            <w14:solidFill>
              <w14:schemeClr w14:val="tx1"/>
            </w14:solidFill>
          </w14:textFill>
        </w:rPr>
        <w:t>项目总负责人、</w:t>
      </w:r>
      <w:r>
        <w:rPr>
          <w:rFonts w:ascii="宋体" w:hAnsi="宋体"/>
          <w:color w:val="000000" w:themeColor="text1"/>
          <w:kern w:val="0"/>
          <w:sz w:val="24"/>
          <w14:textFill>
            <w14:solidFill>
              <w14:schemeClr w14:val="tx1"/>
            </w14:solidFill>
          </w14:textFill>
        </w:rPr>
        <w:t>项目经理及技术负责人</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3.2.1 </w:t>
      </w:r>
      <w:r>
        <w:rPr>
          <w:rFonts w:hint="eastAsia" w:ascii="宋体" w:hAnsi="宋体"/>
          <w:color w:val="000000" w:themeColor="text1"/>
          <w:kern w:val="0"/>
          <w:sz w:val="24"/>
          <w14:textFill>
            <w14:solidFill>
              <w14:schemeClr w14:val="tx1"/>
            </w14:solidFill>
          </w14:textFill>
        </w:rPr>
        <w:t>项目总负责人</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姓    名：</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身份证号：</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建造师执业资格等级：</w:t>
      </w:r>
      <w:r>
        <w:rPr>
          <w:rFonts w:hint="eastAsia" w:ascii="宋体" w:hAnsi="宋体"/>
          <w:color w:val="000000" w:themeColor="text1"/>
          <w:kern w:val="0"/>
          <w:sz w:val="24"/>
          <w:u w:val="single"/>
          <w14:textFill>
            <w14:solidFill>
              <w14:schemeClr w14:val="tx1"/>
            </w14:solidFill>
          </w14:textFill>
        </w:rPr>
        <w:t>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建造师注册证书号：</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安全生产考核合格证书号：</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联系电话：</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电子信箱：</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通信地址：</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3.2.2项目经理：</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姓    名：</w:t>
      </w:r>
      <w:r>
        <w:rPr>
          <w:rFonts w:hint="eastAsia" w:ascii="宋体" w:hAnsi="宋体"/>
          <w:color w:val="000000" w:themeColor="text1"/>
          <w:kern w:val="0"/>
          <w:sz w:val="24"/>
          <w:u w:val="single"/>
          <w14:textFill>
            <w14:solidFill>
              <w14:schemeClr w14:val="tx1"/>
            </w14:solidFill>
          </w14:textFill>
        </w:rPr>
        <w:t xml:space="preserve"> 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身份证号：</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建造师执业资格等级：</w:t>
      </w:r>
      <w:r>
        <w:rPr>
          <w:rFonts w:hint="eastAsia" w:ascii="宋体" w:hAnsi="宋体"/>
          <w:color w:val="000000" w:themeColor="text1"/>
          <w:kern w:val="0"/>
          <w:sz w:val="24"/>
          <w:u w:val="single"/>
          <w14:textFill>
            <w14:solidFill>
              <w14:schemeClr w14:val="tx1"/>
            </w14:solidFill>
          </w14:textFill>
        </w:rPr>
        <w:t xml:space="preserve"> 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建造师注册证书号：</w:t>
      </w:r>
      <w:r>
        <w:rPr>
          <w:rFonts w:hint="eastAsia" w:ascii="宋体" w:hAnsi="宋体"/>
          <w:color w:val="000000" w:themeColor="text1"/>
          <w:kern w:val="0"/>
          <w:sz w:val="24"/>
          <w:u w:val="single"/>
          <w14:textFill>
            <w14:solidFill>
              <w14:schemeClr w14:val="tx1"/>
            </w14:solidFill>
          </w14:textFill>
        </w:rPr>
        <w:t></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安全生产考核合格证书号：</w:t>
      </w:r>
      <w:r>
        <w:rPr>
          <w:rFonts w:hint="eastAsia" w:ascii="宋体" w:hAnsi="宋体"/>
          <w:color w:val="000000" w:themeColor="text1"/>
          <w:kern w:val="0"/>
          <w:sz w:val="24"/>
          <w:u w:val="single"/>
          <w14:textFill>
            <w14:solidFill>
              <w14:schemeClr w14:val="tx1"/>
            </w14:solidFill>
          </w14:textFill>
        </w:rPr>
        <w:t></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联系电话：</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电子信箱：</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通信地址：</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3.2.</w:t>
      </w:r>
      <w:r>
        <w:rPr>
          <w:rFonts w:hint="eastAsia"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技术负责人：</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姓    名：</w:t>
      </w:r>
      <w:r>
        <w:rPr>
          <w:rFonts w:hint="eastAsia" w:ascii="宋体" w:hAnsi="宋体"/>
          <w:color w:val="000000" w:themeColor="text1"/>
          <w:kern w:val="0"/>
          <w:sz w:val="24"/>
          <w:u w:val="single"/>
          <w14:textFill>
            <w14:solidFill>
              <w14:schemeClr w14:val="tx1"/>
            </w14:solidFill>
          </w14:textFill>
        </w:rPr>
        <w:t xml:space="preserve">   </w:t>
      </w:r>
      <w:r>
        <w:rPr>
          <w:rFonts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身份证号：</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联系电话：</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电子信箱：</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通信地址：</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承包人对项目</w:t>
      </w:r>
      <w:r>
        <w:rPr>
          <w:rFonts w:hint="eastAsia" w:ascii="宋体" w:hAnsi="宋体"/>
          <w:color w:val="000000" w:themeColor="text1"/>
          <w:kern w:val="0"/>
          <w:sz w:val="24"/>
          <w14:textFill>
            <w14:solidFill>
              <w14:schemeClr w14:val="tx1"/>
            </w14:solidFill>
          </w14:textFill>
        </w:rPr>
        <w:t>总负责人</w:t>
      </w:r>
      <w:r>
        <w:rPr>
          <w:rFonts w:ascii="宋体" w:hAnsi="宋体"/>
          <w:color w:val="000000" w:themeColor="text1"/>
          <w:kern w:val="0"/>
          <w:sz w:val="24"/>
          <w14:textFill>
            <w14:solidFill>
              <w14:schemeClr w14:val="tx1"/>
            </w14:solidFill>
          </w14:textFill>
        </w:rPr>
        <w:t>的授权范围如下：</w:t>
      </w:r>
      <w:r>
        <w:rPr>
          <w:rFonts w:hint="eastAsia" w:ascii="宋体" w:hAnsi="宋体"/>
          <w:color w:val="000000" w:themeColor="text1"/>
          <w:kern w:val="0"/>
          <w:sz w:val="24"/>
          <w:u w:val="single"/>
          <w14:textFill>
            <w14:solidFill>
              <w14:schemeClr w14:val="tx1"/>
            </w14:solidFill>
          </w14:textFill>
        </w:rPr>
        <w:t>代表承包人行使本合同约定的权利，履行本合同约定的义务，合同履行期间负责设计及施工单位各方的组织、协调、统筹和总控，其行为后果由承包人承担。</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承包人对项目经理的授权范围如下：</w:t>
      </w:r>
      <w:r>
        <w:rPr>
          <w:rFonts w:hint="eastAsia" w:ascii="宋体" w:hAnsi="宋体"/>
          <w:color w:val="000000" w:themeColor="text1"/>
          <w:kern w:val="0"/>
          <w:sz w:val="24"/>
          <w:u w:val="single"/>
          <w14:textFill>
            <w14:solidFill>
              <w14:schemeClr w14:val="tx1"/>
            </w14:solidFill>
          </w14:textFill>
        </w:rPr>
        <w:t>代表承包人行使本合同约定的权利，履行本合同约定的义务，处理施工期间的突发事件，其行为后果由承包人承担。</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关于项目经理每月在施工现场的时间要求：</w:t>
      </w:r>
      <w:r>
        <w:rPr>
          <w:rFonts w:hint="eastAsia" w:ascii="宋体" w:hAnsi="宋体" w:cs="仿宋"/>
          <w:color w:val="000000" w:themeColor="text1"/>
          <w:sz w:val="24"/>
          <w:u w:val="single"/>
          <w14:textFill>
            <w14:solidFill>
              <w14:schemeClr w14:val="tx1"/>
            </w14:solidFill>
          </w14:textFill>
        </w:rPr>
        <w:t>项目经理、项目技术负责人每个月的驻地时间不少于20</w:t>
      </w:r>
      <w:r>
        <w:rPr>
          <w:rFonts w:ascii="宋体" w:hAnsi="宋体" w:cs="仿宋"/>
          <w:color w:val="000000" w:themeColor="text1"/>
          <w:sz w:val="24"/>
          <w:u w:val="single"/>
          <w14:textFill>
            <w14:solidFill>
              <w14:schemeClr w14:val="tx1"/>
            </w14:solidFill>
          </w14:textFill>
        </w:rPr>
        <w:t>天</w:t>
      </w:r>
      <w:r>
        <w:rPr>
          <w:rFonts w:hint="eastAsia" w:ascii="宋体" w:hAnsi="宋体"/>
          <w:color w:val="000000" w:themeColor="text1"/>
          <w:kern w:val="0"/>
          <w:sz w:val="24"/>
          <w:u w:val="single"/>
          <w14:textFill>
            <w14:solidFill>
              <w14:schemeClr w14:val="tx1"/>
            </w14:solidFill>
          </w14:textFill>
        </w:rPr>
        <w:t>。</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承包人未提交劳动合同，以及没有为项目经理缴纳社会保险</w:t>
      </w:r>
      <w:r>
        <w:rPr>
          <w:rFonts w:hint="eastAsia" w:ascii="宋体" w:hAnsi="宋体"/>
          <w:color w:val="000000" w:themeColor="text1"/>
          <w:kern w:val="0"/>
          <w:sz w:val="24"/>
          <w14:textFill>
            <w14:solidFill>
              <w14:schemeClr w14:val="tx1"/>
            </w14:solidFill>
          </w14:textFill>
        </w:rPr>
        <w:t>证</w:t>
      </w:r>
      <w:r>
        <w:rPr>
          <w:rFonts w:ascii="宋体" w:hAnsi="宋体"/>
          <w:color w:val="000000" w:themeColor="text1"/>
          <w:kern w:val="0"/>
          <w:sz w:val="24"/>
          <w14:textFill>
            <w14:solidFill>
              <w14:schemeClr w14:val="tx1"/>
            </w14:solidFill>
          </w14:textFill>
        </w:rPr>
        <w:t>明的违约责任：</w:t>
      </w:r>
      <w:r>
        <w:rPr>
          <w:rFonts w:hint="eastAsia" w:ascii="宋体" w:hAnsi="宋体"/>
          <w:color w:val="000000" w:themeColor="text1"/>
          <w:kern w:val="0"/>
          <w:sz w:val="24"/>
          <w:u w:val="single"/>
          <w14:textFill>
            <w14:solidFill>
              <w14:schemeClr w14:val="tx1"/>
            </w14:solidFill>
          </w14:textFill>
        </w:rPr>
        <w:t>按照10万元/人的标准向发包人支付违约金，技术负责人亦按此标准执行</w:t>
      </w:r>
      <w:r>
        <w:rPr>
          <w:rFonts w:ascii="宋体" w:hAnsi="宋体"/>
          <w:color w:val="000000" w:themeColor="text1"/>
          <w:kern w:val="0"/>
          <w:sz w:val="24"/>
          <w:u w:val="single"/>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项目经理未经批准，擅自离开施工现场的违约责任：</w:t>
      </w:r>
      <w:r>
        <w:rPr>
          <w:rFonts w:hint="eastAsia" w:ascii="宋体" w:hAnsi="宋体"/>
          <w:color w:val="000000" w:themeColor="text1"/>
          <w:kern w:val="0"/>
          <w:sz w:val="24"/>
          <w:u w:val="single"/>
          <w14:textFill>
            <w14:solidFill>
              <w14:schemeClr w14:val="tx1"/>
            </w14:solidFill>
          </w14:textFill>
        </w:rPr>
        <w:t>承包人按5</w:t>
      </w:r>
      <w:r>
        <w:rPr>
          <w:rFonts w:ascii="宋体" w:hAnsi="宋体"/>
          <w:color w:val="000000" w:themeColor="text1"/>
          <w:kern w:val="0"/>
          <w:sz w:val="24"/>
          <w:u w:val="single"/>
          <w14:textFill>
            <w14:solidFill>
              <w14:schemeClr w14:val="tx1"/>
            </w14:solidFill>
          </w14:textFill>
        </w:rPr>
        <w:t>000</w:t>
      </w:r>
      <w:r>
        <w:rPr>
          <w:rFonts w:hint="eastAsia" w:ascii="宋体" w:hAnsi="宋体"/>
          <w:color w:val="000000" w:themeColor="text1"/>
          <w:kern w:val="0"/>
          <w:sz w:val="24"/>
          <w:u w:val="single"/>
          <w14:textFill>
            <w14:solidFill>
              <w14:schemeClr w14:val="tx1"/>
            </w14:solidFill>
          </w14:textFill>
        </w:rPr>
        <w:t>元/日向发包人承担违约金；由此给发包人造成的损失由承包人承担</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3.2.</w:t>
      </w:r>
      <w:r>
        <w:rPr>
          <w:rFonts w:hint="eastAsia" w:ascii="宋体" w:hAnsi="宋体"/>
          <w:color w:val="000000" w:themeColor="text1"/>
          <w:kern w:val="0"/>
          <w:sz w:val="24"/>
          <w14:textFill>
            <w14:solidFill>
              <w14:schemeClr w14:val="tx1"/>
            </w14:solidFill>
          </w14:textFill>
        </w:rPr>
        <w:t>4</w:t>
      </w:r>
      <w:r>
        <w:rPr>
          <w:rFonts w:ascii="宋体" w:hAnsi="宋体"/>
          <w:color w:val="000000" w:themeColor="text1"/>
          <w:kern w:val="0"/>
          <w:sz w:val="24"/>
          <w14:textFill>
            <w14:solidFill>
              <w14:schemeClr w14:val="tx1"/>
            </w14:solidFill>
          </w14:textFill>
        </w:rPr>
        <w:t xml:space="preserve"> 承包人擅自更换项目经理的违约责任：</w:t>
      </w:r>
      <w:r>
        <w:rPr>
          <w:rFonts w:hint="eastAsia" w:ascii="宋体" w:hAnsi="宋体"/>
          <w:color w:val="000000" w:themeColor="text1"/>
          <w:kern w:val="0"/>
          <w:sz w:val="24"/>
          <w:u w:val="single"/>
          <w14:textFill>
            <w14:solidFill>
              <w14:schemeClr w14:val="tx1"/>
            </w14:solidFill>
          </w14:textFill>
        </w:rPr>
        <w:t>派驻本合同工程的项目总负责人、项目经理、技术负责人必须按照投标文件中的承诺到位，而且直至工程竣工验收（设计交工验收）完为止，未经得发包人书面同意不得更换。擅自更换项目经理及技术负责人的行为，视为违约，每人每次处以违约金人民币1</w:t>
      </w:r>
      <w:r>
        <w:rPr>
          <w:rFonts w:ascii="宋体" w:hAnsi="宋体"/>
          <w:color w:val="000000" w:themeColor="text1"/>
          <w:kern w:val="0"/>
          <w:sz w:val="24"/>
          <w:u w:val="single"/>
          <w14:textFill>
            <w14:solidFill>
              <w14:schemeClr w14:val="tx1"/>
            </w14:solidFill>
          </w14:textFill>
        </w:rPr>
        <w:t>0</w:t>
      </w:r>
      <w:r>
        <w:rPr>
          <w:rFonts w:hint="eastAsia" w:ascii="宋体" w:hAnsi="宋体"/>
          <w:color w:val="000000" w:themeColor="text1"/>
          <w:kern w:val="0"/>
          <w:sz w:val="24"/>
          <w:u w:val="single"/>
          <w14:textFill>
            <w14:solidFill>
              <w14:schemeClr w14:val="tx1"/>
            </w14:solidFill>
          </w14:textFill>
        </w:rPr>
        <w:t>万元，并且发包人有权单方面终止合同</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3.2.</w:t>
      </w:r>
      <w:r>
        <w:rPr>
          <w:rFonts w:hint="eastAsia" w:ascii="宋体" w:hAnsi="宋体"/>
          <w:color w:val="000000" w:themeColor="text1"/>
          <w:kern w:val="0"/>
          <w:sz w:val="24"/>
          <w14:textFill>
            <w14:solidFill>
              <w14:schemeClr w14:val="tx1"/>
            </w14:solidFill>
          </w14:textFill>
        </w:rPr>
        <w:t>5</w:t>
      </w:r>
      <w:r>
        <w:rPr>
          <w:rFonts w:ascii="宋体" w:hAnsi="宋体"/>
          <w:color w:val="000000" w:themeColor="text1"/>
          <w:kern w:val="0"/>
          <w:sz w:val="24"/>
          <w14:textFill>
            <w14:solidFill>
              <w14:schemeClr w14:val="tx1"/>
            </w14:solidFill>
          </w14:textFill>
        </w:rPr>
        <w:t xml:space="preserve"> 承包人无正当理由拒绝更换项目经理的违约责任：</w:t>
      </w:r>
      <w:r>
        <w:rPr>
          <w:rFonts w:hint="eastAsia" w:ascii="宋体" w:hAnsi="宋体"/>
          <w:color w:val="000000" w:themeColor="text1"/>
          <w:kern w:val="0"/>
          <w:sz w:val="24"/>
          <w:u w:val="single"/>
          <w14:textFill>
            <w14:solidFill>
              <w14:schemeClr w14:val="tx1"/>
            </w14:solidFill>
          </w14:textFill>
        </w:rPr>
        <w:t>自承包人接到发包人通知后14天起，承包人应按照1万元/人·天的标准向发包人支付违约金，并且发包人有权单方面终止合同</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3.3 承包人人员</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3.3.1 承包人提交项目管理机构及施工现场管理人员安排报告的期限：</w:t>
      </w:r>
      <w:r>
        <w:rPr>
          <w:rFonts w:hint="eastAsia" w:ascii="宋体" w:hAnsi="宋体"/>
          <w:color w:val="000000" w:themeColor="text1"/>
          <w:kern w:val="0"/>
          <w:sz w:val="24"/>
          <w:u w:val="single"/>
          <w14:textFill>
            <w14:solidFill>
              <w14:schemeClr w14:val="tx1"/>
            </w14:solidFill>
          </w14:textFill>
        </w:rPr>
        <w:t xml:space="preserve">  项目开工前7日。</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3.3.3 承包人无正当理由拒绝撤换主要施工管理人员的违约责任：</w:t>
      </w:r>
      <w:r>
        <w:rPr>
          <w:rFonts w:hint="eastAsia" w:ascii="宋体" w:hAnsi="宋体"/>
          <w:color w:val="000000" w:themeColor="text1"/>
          <w:kern w:val="0"/>
          <w:sz w:val="24"/>
          <w:u w:val="single"/>
          <w14:textFill>
            <w14:solidFill>
              <w14:schemeClr w14:val="tx1"/>
            </w14:solidFill>
          </w14:textFill>
        </w:rPr>
        <w:t>承包人应于接到发包人通知后7天之内更换，否则承包人应按照2000元/天·人的标准向发包人支付违约金，并且发包人有权单方面终止合同。</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3.3.4 承包人主要施工管理人员离开施工现场的批准要求：</w:t>
      </w:r>
      <w:r>
        <w:rPr>
          <w:rFonts w:hint="eastAsia" w:ascii="宋体" w:hAnsi="宋体"/>
          <w:color w:val="000000" w:themeColor="text1"/>
          <w:kern w:val="0"/>
          <w:sz w:val="24"/>
          <w:u w:val="single"/>
          <w14:textFill>
            <w14:solidFill>
              <w14:schemeClr w14:val="tx1"/>
            </w14:solidFill>
          </w14:textFill>
        </w:rPr>
        <w:t>执行通用条款</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3.3.5承包人擅自更换主要施工管理人员的违约责任：</w:t>
      </w:r>
      <w:r>
        <w:rPr>
          <w:rFonts w:hint="eastAsia" w:ascii="宋体" w:hAnsi="宋体"/>
          <w:color w:val="000000" w:themeColor="text1"/>
          <w:kern w:val="0"/>
          <w:sz w:val="24"/>
          <w:u w:val="single"/>
          <w14:textFill>
            <w14:solidFill>
              <w14:schemeClr w14:val="tx1"/>
            </w14:solidFill>
          </w14:textFill>
        </w:rPr>
        <w:t>擅自更换主要施工管理人员的行为，视为违约，每人每次处以违约金人民币5万元。</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承包人主要施工管理人员擅自离开施工现场的违约责任</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u w:val="single"/>
          <w14:textFill>
            <w14:solidFill>
              <w14:schemeClr w14:val="tx1"/>
            </w14:solidFill>
          </w14:textFill>
        </w:rPr>
        <w:t>按照2000元/天·人的标准向发包人支付违约金</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bookmarkStart w:id="616" w:name="_Toc297120459"/>
      <w:bookmarkStart w:id="617" w:name="_Toc300934945"/>
      <w:bookmarkStart w:id="618" w:name="_Toc296944498"/>
      <w:bookmarkStart w:id="619" w:name="_Toc297216151"/>
      <w:bookmarkStart w:id="620" w:name="_Toc296503159"/>
      <w:bookmarkStart w:id="621" w:name="_Toc297048345"/>
      <w:bookmarkStart w:id="622" w:name="_Toc297123492"/>
      <w:bookmarkStart w:id="623" w:name="_Toc296347158"/>
      <w:bookmarkStart w:id="624" w:name="_Toc292559364"/>
      <w:bookmarkStart w:id="625" w:name="_Toc312677988"/>
      <w:bookmarkStart w:id="626" w:name="_Toc296346660"/>
      <w:bookmarkStart w:id="627" w:name="_Toc304295523"/>
      <w:bookmarkStart w:id="628" w:name="_Toc292559869"/>
      <w:bookmarkStart w:id="629" w:name="_Toc296890987"/>
      <w:bookmarkStart w:id="630" w:name="_Toc303539102"/>
      <w:bookmarkStart w:id="631" w:name="_Toc296891199"/>
      <w:r>
        <w:rPr>
          <w:rFonts w:ascii="宋体" w:hAnsi="宋体"/>
          <w:color w:val="000000" w:themeColor="text1"/>
          <w:kern w:val="0"/>
          <w:sz w:val="24"/>
          <w14:textFill>
            <w14:solidFill>
              <w14:schemeClr w14:val="tx1"/>
            </w14:solidFill>
          </w14:textFill>
        </w:rPr>
        <w:t>.5 分包</w:t>
      </w:r>
    </w:p>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bookmarkStart w:id="632" w:name="_Toc296346661"/>
      <w:bookmarkStart w:id="633" w:name="_Toc296944499"/>
      <w:bookmarkStart w:id="634" w:name="_Toc300934946"/>
      <w:bookmarkStart w:id="635" w:name="_Toc292559870"/>
      <w:bookmarkStart w:id="636" w:name="_Toc296891200"/>
      <w:bookmarkStart w:id="637" w:name="_Toc292559365"/>
      <w:bookmarkStart w:id="638" w:name="_Toc297123493"/>
      <w:bookmarkStart w:id="639" w:name="_Toc297048346"/>
      <w:bookmarkStart w:id="640" w:name="_Toc304295524"/>
      <w:bookmarkStart w:id="641" w:name="_Toc297120460"/>
      <w:bookmarkStart w:id="642" w:name="_Toc296503160"/>
      <w:bookmarkStart w:id="643" w:name="_Toc296347159"/>
      <w:bookmarkStart w:id="644" w:name="_Toc297216152"/>
      <w:bookmarkStart w:id="645" w:name="_Toc303539103"/>
      <w:bookmarkStart w:id="646" w:name="_Toc296890988"/>
      <w:bookmarkStart w:id="647" w:name="_Toc312677989"/>
      <w:bookmarkStart w:id="648" w:name="_Toc318581158"/>
      <w:r>
        <w:rPr>
          <w:rFonts w:ascii="宋体" w:hAnsi="宋体"/>
          <w:color w:val="000000" w:themeColor="text1"/>
          <w:kern w:val="0"/>
          <w:sz w:val="24"/>
          <w14:textFill>
            <w14:solidFill>
              <w14:schemeClr w14:val="tx1"/>
            </w14:solidFill>
          </w14:textFill>
        </w:rPr>
        <w:t>.5.1 分包的一般约定</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禁止分包的工程包括：</w:t>
      </w:r>
      <w:r>
        <w:rPr>
          <w:rFonts w:hint="eastAsia" w:ascii="宋体" w:hAnsi="宋体"/>
          <w:color w:val="000000" w:themeColor="text1"/>
          <w:kern w:val="0"/>
          <w:sz w:val="24"/>
          <w:u w:val="single"/>
          <w14:textFill>
            <w14:solidFill>
              <w14:schemeClr w14:val="tx1"/>
            </w14:solidFill>
          </w14:textFill>
        </w:rPr>
        <w:t>承包人不得将工程主体结构、关键性工作分包给第三人，或将其承包的工程肢解后以分包的名义转包给第三人</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主体结构、关键性工作的范围：</w:t>
      </w:r>
      <w:r>
        <w:rPr>
          <w:rFonts w:hint="eastAsia" w:ascii="宋体" w:hAnsi="宋体" w:cs="仿宋"/>
          <w:color w:val="000000" w:themeColor="text1"/>
          <w:sz w:val="24"/>
          <w:u w:val="single"/>
          <w14:textFill>
            <w14:solidFill>
              <w14:schemeClr w14:val="tx1"/>
            </w14:solidFill>
          </w14:textFill>
        </w:rPr>
        <w:t>按照国家相关规定执行</w:t>
      </w:r>
      <w:r>
        <w:rPr>
          <w:rFonts w:ascii="宋体" w:hAnsi="宋体"/>
          <w:color w:val="000000" w:themeColor="text1"/>
          <w:kern w:val="0"/>
          <w:sz w:val="24"/>
          <w14:textFill>
            <w14:solidFill>
              <w14:schemeClr w14:val="tx1"/>
            </w14:solidFill>
          </w14:textFill>
        </w:rPr>
        <w:t>。</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Start w:id="649" w:name="_Toc296347160"/>
      <w:bookmarkStart w:id="650" w:name="_Toc296891201"/>
      <w:bookmarkStart w:id="651" w:name="_Toc304295525"/>
      <w:bookmarkStart w:id="652" w:name="_Toc297048347"/>
      <w:bookmarkStart w:id="653" w:name="_Toc296503161"/>
      <w:bookmarkStart w:id="654" w:name="_Toc297216153"/>
      <w:bookmarkStart w:id="655" w:name="_Toc296890989"/>
      <w:bookmarkStart w:id="656" w:name="_Toc303539104"/>
      <w:bookmarkStart w:id="657" w:name="_Toc296346662"/>
      <w:bookmarkStart w:id="658" w:name="_Toc300934947"/>
      <w:bookmarkStart w:id="659" w:name="_Toc296944500"/>
      <w:bookmarkStart w:id="660" w:name="_Toc297120461"/>
      <w:bookmarkStart w:id="661" w:name="_Toc297123494"/>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Pr>
        <w:widowControl/>
        <w:spacing w:line="360" w:lineRule="auto"/>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    3</w:t>
      </w:r>
      <w:bookmarkStart w:id="662" w:name="_Toc312677990"/>
      <w:bookmarkStart w:id="663" w:name="_Toc318581159"/>
      <w:r>
        <w:rPr>
          <w:rFonts w:ascii="宋体" w:hAnsi="宋体"/>
          <w:color w:val="000000" w:themeColor="text1"/>
          <w:kern w:val="0"/>
          <w:sz w:val="24"/>
          <w14:textFill>
            <w14:solidFill>
              <w14:schemeClr w14:val="tx1"/>
            </w14:solidFill>
          </w14:textFill>
        </w:rPr>
        <w:t>.5.2分包的确定</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允许分包的专业工程包括：</w:t>
      </w:r>
      <w:r>
        <w:rPr>
          <w:rFonts w:hint="eastAsia" w:ascii="宋体" w:hAnsi="宋体"/>
          <w:color w:val="000000" w:themeColor="text1"/>
          <w:kern w:val="0"/>
          <w:sz w:val="24"/>
          <w:u w:val="single"/>
          <w14:textFill>
            <w14:solidFill>
              <w14:schemeClr w14:val="tx1"/>
            </w14:solidFill>
          </w14:textFill>
        </w:rPr>
        <w:t xml:space="preserve"> 按照国家相关规定执行。</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其他关于分包的约定：</w:t>
      </w:r>
      <w:r>
        <w:rPr>
          <w:rFonts w:hint="eastAsia" w:ascii="宋体" w:hAnsi="宋体"/>
          <w:color w:val="000000" w:themeColor="text1"/>
          <w:kern w:val="0"/>
          <w:sz w:val="24"/>
          <w:u w:val="single"/>
          <w14:textFill>
            <w14:solidFill>
              <w14:schemeClr w14:val="tx1"/>
            </w14:solidFill>
          </w14:textFill>
        </w:rPr>
        <w:t>1、如当地建设工程行政主管部门要求办理专业分包备案的，在相关分包合同签订并报送有关建设行政主管部门备案后7日历天内，承包人应当将一份副本提交给监理人及发包人。承包人有义务禁止分包人将分包工程再次分包。2、专业分包及主要材料、品牌的选定，必须经发包人、监理方的书面认可后才能进场和投入使用，未经认可进场的单位和品牌，发包人有权利清退出场，并不予计量且追究总承包单位相关责任。针对现场违反法律法规、蓄意闹事、发生讨薪事件、不听指挥、违章操作、冒险作业责令不停止、造成环境破坏被责令通报、在本项目上被政府相关部门通报批评的单位及连续2次安全质量整改达不到要求等相关情况的相关单位和人员,发包人有权要求立即清退并追究相关责任。</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3.5.4 分包合同价款</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关于分包合同价款支付的约定：</w:t>
      </w:r>
      <w:r>
        <w:rPr>
          <w:rFonts w:hint="eastAsia" w:ascii="宋体" w:hAnsi="宋体"/>
          <w:color w:val="000000" w:themeColor="text1"/>
          <w:kern w:val="0"/>
          <w:sz w:val="24"/>
          <w:u w:val="single"/>
          <w14:textFill>
            <w14:solidFill>
              <w14:schemeClr w14:val="tx1"/>
            </w14:solidFill>
          </w14:textFill>
        </w:rPr>
        <w:t>在通用条款的基础上增加如下约定：若承包人不及时支付分包工程款，发包人有权根据实际情况自主选择是否直接向分包人支付承包人应支付而未支付的分包工程款，并在承包人应得到的工程款中扣除，承包人必须无条件配合，由此导致的法律责任和经济损失全部由承包人承担。工程分包不能免除承包人应承担的任何责任和应履行的任何义务。</w:t>
      </w:r>
    </w:p>
    <w:bookmarkEnd w:id="662"/>
    <w:bookmarkEnd w:id="663"/>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3.6 工程照管与成品、半成品保护</w:t>
      </w:r>
    </w:p>
    <w:p>
      <w:pPr>
        <w:widowControl/>
        <w:spacing w:line="360" w:lineRule="auto"/>
        <w:ind w:left="105" w:leftChars="50" w:firstLine="360" w:firstLineChars="150"/>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承包人负责照管工程及工程相关的材料、工程设备的起始时间：</w:t>
      </w:r>
      <w:r>
        <w:rPr>
          <w:rFonts w:hint="eastAsia" w:ascii="宋体" w:hAnsi="宋体"/>
          <w:color w:val="000000" w:themeColor="text1"/>
          <w:kern w:val="0"/>
          <w:sz w:val="24"/>
          <w:u w:val="single"/>
          <w14:textFill>
            <w14:solidFill>
              <w14:schemeClr w14:val="tx1"/>
            </w14:solidFill>
          </w14:textFill>
        </w:rPr>
        <w:t>自本工程开工直至工程竣工验收（设计交工验收）合格，并移交发包人或发包人指定的第三方，如发生损坏或遗失的，由承包人承担赔偿责任</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3.7 履约担保</w:t>
      </w:r>
    </w:p>
    <w:p>
      <w:pPr>
        <w:widowControl/>
        <w:spacing w:line="360" w:lineRule="auto"/>
        <w:ind w:firstLine="480" w:firstLineChars="200"/>
        <w:jc w:val="left"/>
        <w:rPr>
          <w:color w:val="000000" w:themeColor="text1"/>
          <w:sz w:val="24"/>
          <w14:textFill>
            <w14:solidFill>
              <w14:schemeClr w14:val="tx1"/>
            </w14:solidFill>
          </w14:textFill>
        </w:rPr>
      </w:pPr>
      <w:bookmarkStart w:id="664" w:name="_Toc351203636"/>
      <w:r>
        <w:rPr>
          <w:rFonts w:hint="eastAsia"/>
          <w:color w:val="000000" w:themeColor="text1"/>
          <w:sz w:val="24"/>
          <w14:textFill>
            <w14:solidFill>
              <w14:schemeClr w14:val="tx1"/>
            </w14:solidFill>
          </w14:textFill>
        </w:rPr>
        <w:t>履约担保的形式：现金/转账/支票/银行保函/保证保险，由承包人自主选择其中一种支付形式。</w:t>
      </w:r>
    </w:p>
    <w:p>
      <w:pPr>
        <w:widowControl/>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履约担保的金额：</w:t>
      </w:r>
    </w:p>
    <w:p>
      <w:pPr>
        <w:widowControl/>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（1）本合同签订后15个工作日内缴纳工程施工暂估合同价款累计金额的5%；</w:t>
      </w:r>
    </w:p>
    <w:p>
      <w:pPr>
        <w:spacing w:line="360"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4</w:t>
      </w:r>
      <w:bookmarkStart w:id="665" w:name="_Toc292559871"/>
      <w:bookmarkStart w:id="666" w:name="_Toc292559366"/>
      <w:bookmarkStart w:id="667" w:name="_Toc267251413"/>
      <w:bookmarkStart w:id="668" w:name="_Toc296891202"/>
      <w:bookmarkStart w:id="669" w:name="_Toc297120462"/>
      <w:bookmarkStart w:id="670" w:name="_Toc296503162"/>
      <w:bookmarkStart w:id="671" w:name="_Toc296890990"/>
      <w:bookmarkStart w:id="672" w:name="_Toc296944501"/>
      <w:bookmarkStart w:id="673" w:name="_Toc296347161"/>
      <w:bookmarkStart w:id="674" w:name="_Toc297048348"/>
      <w:bookmarkStart w:id="675" w:name="_Toc296346663"/>
      <w:r>
        <w:rPr>
          <w:rFonts w:ascii="宋体" w:hAnsi="宋体"/>
          <w:b/>
          <w:color w:val="000000" w:themeColor="text1"/>
          <w:sz w:val="24"/>
          <w14:textFill>
            <w14:solidFill>
              <w14:schemeClr w14:val="tx1"/>
            </w14:solidFill>
          </w14:textFill>
        </w:rPr>
        <w:t>. 监</w:t>
      </w:r>
      <w:bookmarkEnd w:id="665"/>
      <w:bookmarkEnd w:id="666"/>
      <w:bookmarkEnd w:id="667"/>
      <w:bookmarkEnd w:id="668"/>
      <w:bookmarkEnd w:id="669"/>
      <w:bookmarkEnd w:id="670"/>
      <w:bookmarkEnd w:id="671"/>
      <w:bookmarkEnd w:id="672"/>
      <w:bookmarkEnd w:id="673"/>
      <w:bookmarkEnd w:id="674"/>
      <w:bookmarkEnd w:id="675"/>
      <w:r>
        <w:rPr>
          <w:rFonts w:ascii="宋体" w:hAnsi="宋体"/>
          <w:b/>
          <w:color w:val="000000" w:themeColor="text1"/>
          <w:sz w:val="24"/>
          <w14:textFill>
            <w14:solidFill>
              <w14:schemeClr w14:val="tx1"/>
            </w14:solidFill>
          </w14:textFill>
        </w:rPr>
        <w:t>理人</w:t>
      </w:r>
      <w:bookmarkEnd w:id="664"/>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4.1监理人的一般规定</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关于监理人的监理内容：</w:t>
      </w:r>
      <w:r>
        <w:rPr>
          <w:rFonts w:hint="eastAsia" w:ascii="宋体" w:hAnsi="宋体"/>
          <w:color w:val="000000" w:themeColor="text1"/>
          <w:kern w:val="0"/>
          <w:sz w:val="24"/>
          <w:u w:val="single"/>
          <w14:textFill>
            <w14:solidFill>
              <w14:schemeClr w14:val="tx1"/>
            </w14:solidFill>
          </w14:textFill>
        </w:rPr>
        <w:t>按本项目《建设工程监理合同》执行</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关于监理人的监理权限：</w:t>
      </w:r>
      <w:r>
        <w:rPr>
          <w:rFonts w:hint="eastAsia" w:ascii="宋体" w:hAnsi="宋体"/>
          <w:color w:val="000000" w:themeColor="text1"/>
          <w:kern w:val="0"/>
          <w:sz w:val="24"/>
          <w:u w:val="single"/>
          <w14:textFill>
            <w14:solidFill>
              <w14:schemeClr w14:val="tx1"/>
            </w14:solidFill>
          </w14:textFill>
        </w:rPr>
        <w:t>按监理合同执行：涉及工程变更、工期顺延、开工、停工、复工和工程计量、工程款支付、工程索赔的决定均应通过发包人确认同意并经发包人签章后承包人才能执行，开工前提供一份《监理合同》主要条款的复印件给承包人</w:t>
      </w:r>
      <w:r>
        <w:rPr>
          <w:rFonts w:ascii="宋体" w:hAnsi="宋体"/>
          <w:color w:val="000000" w:themeColor="text1"/>
          <w:kern w:val="0"/>
          <w:sz w:val="24"/>
          <w14:textFill>
            <w14:solidFill>
              <w14:schemeClr w14:val="tx1"/>
            </w14:solidFill>
          </w14:textFill>
        </w:rPr>
        <w:t xml:space="preserve">。 </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关于监理人在施工现场的办公场所、生活场所的提供和费用承担的约定：</w:t>
      </w:r>
      <w:r>
        <w:rPr>
          <w:rFonts w:hint="eastAsia" w:ascii="宋体" w:hAnsi="宋体"/>
          <w:color w:val="000000" w:themeColor="text1"/>
          <w:kern w:val="0"/>
          <w:sz w:val="24"/>
          <w:u w:val="single"/>
          <w14:textFill>
            <w14:solidFill>
              <w14:schemeClr w14:val="tx1"/>
            </w14:solidFill>
          </w14:textFill>
        </w:rPr>
        <w:t>由承包人免费向监理人及造价咨询单位分别提供满足工作需求的现场办公室</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4.2 监理人员</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总监理工程师：</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姓    名：</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职    务：</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监理工程师执业资格证书号：</w:t>
      </w:r>
      <w:r>
        <w:rPr>
          <w:rFonts w:hint="eastAsia" w:ascii="宋体" w:hAnsi="宋体"/>
          <w:color w:val="000000" w:themeColor="text1"/>
          <w:kern w:val="0"/>
          <w:sz w:val="24"/>
          <w:u w:val="single"/>
          <w14:textFill>
            <w14:solidFill>
              <w14:schemeClr w14:val="tx1"/>
            </w14:solidFill>
          </w14:textFill>
        </w:rPr>
        <w:t></w:t>
      </w:r>
      <w:r>
        <w:rPr>
          <w:rFonts w:ascii="宋体" w:hAnsi="宋体"/>
          <w:color w:val="000000" w:themeColor="text1"/>
          <w:kern w:val="0"/>
          <w:sz w:val="24"/>
          <w14:textFill>
            <w14:solidFill>
              <w14:schemeClr w14:val="tx1"/>
            </w14:solidFill>
          </w14:textFill>
        </w:rPr>
        <w:t>；</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联系电话：</w:t>
      </w:r>
      <w:r>
        <w:rPr>
          <w:rFonts w:ascii="宋体" w:hAnsi="宋体" w:cs="仿宋"/>
          <w:color w:val="000000" w:themeColor="text1"/>
          <w:sz w:val="24"/>
          <w:u w:val="single"/>
          <w14:textFill>
            <w14:solidFill>
              <w14:schemeClr w14:val="tx1"/>
            </w14:solidFill>
          </w14:textFill>
        </w:rPr>
        <w:t xml:space="preserve">              </w:t>
      </w:r>
      <w:r>
        <w:rPr>
          <w:rFonts w:hint="eastAsia" w:ascii="宋体" w:hAnsi="宋体" w:cs="仿宋"/>
          <w:color w:val="000000" w:themeColor="text1"/>
          <w:sz w:val="24"/>
          <w14:textFill>
            <w14:solidFill>
              <w14:schemeClr w14:val="tx1"/>
            </w14:solidFill>
          </w14:textFill>
        </w:rPr>
        <w:t>；</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电子信箱：</w:t>
      </w:r>
      <w:r>
        <w:rPr>
          <w:rFonts w:hint="eastAsia" w:ascii="宋体" w:hAnsi="宋体" w:cs="仿宋"/>
          <w:color w:val="000000" w:themeColor="text1"/>
          <w:sz w:val="24"/>
          <w:u w:val="single"/>
          <w14:textFill>
            <w14:solidFill>
              <w14:schemeClr w14:val="tx1"/>
            </w14:solidFill>
          </w14:textFill>
        </w:rPr>
        <w:t xml:space="preserve">      </w:t>
      </w:r>
      <w:r>
        <w:rPr>
          <w:rFonts w:hint="eastAsia" w:ascii="宋体" w:hAnsi="宋体" w:cs="仿宋"/>
          <w:color w:val="000000" w:themeColor="text1"/>
          <w:sz w:val="24"/>
          <w14:textFill>
            <w14:solidFill>
              <w14:schemeClr w14:val="tx1"/>
            </w14:solidFill>
          </w14:textFill>
        </w:rPr>
        <w:t>；</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通信地址：</w:t>
      </w:r>
      <w:r>
        <w:rPr>
          <w:rFonts w:hint="eastAsia" w:ascii="宋体" w:hAnsi="宋体" w:cs="仿宋"/>
          <w:color w:val="000000" w:themeColor="text1"/>
          <w:sz w:val="24"/>
          <w:u w:val="single"/>
          <w14:textFill>
            <w14:solidFill>
              <w14:schemeClr w14:val="tx1"/>
            </w14:solidFill>
          </w14:textFill>
        </w:rPr>
        <w:t xml:space="preserve">      </w:t>
      </w:r>
      <w:r>
        <w:rPr>
          <w:rFonts w:hint="eastAsia" w:ascii="宋体" w:hAnsi="宋体" w:cs="仿宋"/>
          <w:color w:val="000000" w:themeColor="text1"/>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关于监理人的其他约定：</w:t>
      </w:r>
      <w:r>
        <w:rPr>
          <w:rFonts w:hint="eastAsia" w:ascii="宋体" w:hAnsi="宋体" w:cs="仿宋"/>
          <w:color w:val="000000" w:themeColor="text1"/>
          <w:sz w:val="24"/>
          <w:u w:val="single"/>
          <w14:textFill>
            <w14:solidFill>
              <w14:schemeClr w14:val="tx1"/>
            </w14:solidFill>
          </w14:textFill>
        </w:rPr>
        <w:t>工程开工、工程停工与复工、工程变更、工期顺延、工程计量、工程经济签证、工程款支付的决定、对承包人违约处罚等均应通过发包人同意才能执行</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4.4 商定或确定</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bookmarkStart w:id="676" w:name="_Toc267251418"/>
      <w:r>
        <w:rPr>
          <w:rFonts w:ascii="宋体" w:hAnsi="宋体"/>
          <w:color w:val="000000" w:themeColor="text1"/>
          <w:kern w:val="0"/>
          <w:sz w:val="24"/>
          <w14:textFill>
            <w14:solidFill>
              <w14:schemeClr w14:val="tx1"/>
            </w14:solidFill>
          </w14:textFill>
        </w:rPr>
        <w:t>在发包人和承包人不能通过协商达成一致意见时，发包人授权监理人对以下事项进行确定：</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 无 ；</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 无 ；</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（3） 无 。</w:t>
      </w:r>
    </w:p>
    <w:p>
      <w:pPr>
        <w:spacing w:line="360" w:lineRule="auto"/>
        <w:ind w:firstLine="482" w:firstLineChars="200"/>
        <w:jc w:val="left"/>
        <w:rPr>
          <w:rFonts w:ascii="宋体" w:hAnsi="宋体"/>
          <w:b/>
          <w:color w:val="000000" w:themeColor="text1"/>
          <w:sz w:val="24"/>
          <w14:textFill>
            <w14:solidFill>
              <w14:schemeClr w14:val="tx1"/>
            </w14:solidFill>
          </w14:textFill>
        </w:rPr>
      </w:pPr>
      <w:bookmarkStart w:id="677" w:name="_Toc351203637"/>
      <w:r>
        <w:rPr>
          <w:rFonts w:ascii="宋体" w:hAnsi="宋体"/>
          <w:b/>
          <w:color w:val="000000" w:themeColor="text1"/>
          <w:sz w:val="24"/>
          <w14:textFill>
            <w14:solidFill>
              <w14:schemeClr w14:val="tx1"/>
            </w14:solidFill>
          </w14:textFill>
        </w:rPr>
        <w:t>5</w:t>
      </w:r>
      <w:bookmarkEnd w:id="676"/>
      <w:bookmarkStart w:id="678" w:name="_Toc296890991"/>
      <w:bookmarkStart w:id="679" w:name="_Toc297120463"/>
      <w:bookmarkStart w:id="680" w:name="_Toc296891203"/>
      <w:bookmarkStart w:id="681" w:name="_Toc296944502"/>
      <w:bookmarkStart w:id="682" w:name="_Toc297048349"/>
      <w:bookmarkStart w:id="683" w:name="_Toc292559367"/>
      <w:bookmarkStart w:id="684" w:name="_Toc296347162"/>
      <w:bookmarkStart w:id="685" w:name="_Toc296503163"/>
      <w:bookmarkStart w:id="686" w:name="_Toc292559872"/>
      <w:bookmarkStart w:id="687" w:name="_Toc296346664"/>
      <w:r>
        <w:rPr>
          <w:rFonts w:ascii="宋体" w:hAnsi="宋体"/>
          <w:b/>
          <w:color w:val="000000" w:themeColor="text1"/>
          <w:sz w:val="24"/>
          <w14:textFill>
            <w14:solidFill>
              <w14:schemeClr w14:val="tx1"/>
            </w14:solidFill>
          </w14:textFill>
        </w:rPr>
        <w:t>. 工程质量</w:t>
      </w:r>
      <w:bookmarkEnd w:id="677"/>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5.1 质量要求</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5</w:t>
      </w:r>
      <w:bookmarkStart w:id="688" w:name="_Toc312677997"/>
      <w:bookmarkStart w:id="689" w:name="_Toc304295527"/>
      <w:bookmarkStart w:id="690" w:name="_Toc297123496"/>
      <w:bookmarkStart w:id="691" w:name="_Toc303539106"/>
      <w:bookmarkStart w:id="692" w:name="_Toc300934949"/>
      <w:bookmarkStart w:id="693" w:name="_Toc318581164"/>
      <w:bookmarkStart w:id="694" w:name="_Toc297216155"/>
      <w:r>
        <w:rPr>
          <w:rFonts w:ascii="宋体" w:hAnsi="宋体"/>
          <w:color w:val="000000" w:themeColor="text1"/>
          <w:kern w:val="0"/>
          <w:sz w:val="24"/>
          <w14:textFill>
            <w14:solidFill>
              <w14:schemeClr w14:val="tx1"/>
            </w14:solidFill>
          </w14:textFill>
        </w:rPr>
        <w:t>.1.1 特殊质量标准和要求：</w:t>
      </w:r>
      <w:r>
        <w:rPr>
          <w:rFonts w:hint="eastAsia" w:ascii="宋体" w:hAnsi="宋体"/>
          <w:b/>
          <w:color w:val="000000" w:themeColor="text1"/>
          <w:sz w:val="24"/>
          <w:u w:val="single"/>
          <w14:textFill>
            <w14:solidFill>
              <w14:schemeClr w14:val="tx1"/>
            </w14:solidFill>
          </w14:textFill>
        </w:rPr>
        <w:t>工</w:t>
      </w:r>
      <w:r>
        <w:rPr>
          <w:rFonts w:ascii="宋体" w:hAnsi="宋体"/>
          <w:b/>
          <w:color w:val="000000" w:themeColor="text1"/>
          <w:sz w:val="24"/>
          <w:u w:val="single"/>
          <w14:textFill>
            <w14:solidFill>
              <w14:schemeClr w14:val="tx1"/>
            </w14:solidFill>
          </w14:textFill>
        </w:rPr>
        <w:t>程质量应当达到协议书约定的质量标准，质量标准的评定以国家或行业现行的质量检验评定标准为依据。若因承包人不按设计图纸和规范要求施工，达不到一次性验收合格，除返工达到合格外，费用自理，且还需向发包人支付</w:t>
      </w:r>
      <w:r>
        <w:rPr>
          <w:rFonts w:hint="eastAsia" w:ascii="宋体" w:hAnsi="宋体"/>
          <w:b/>
          <w:color w:val="000000" w:themeColor="text1"/>
          <w:sz w:val="24"/>
          <w:u w:val="single"/>
          <w14:textFill>
            <w14:solidFill>
              <w14:schemeClr w14:val="tx1"/>
            </w14:solidFill>
          </w14:textFill>
        </w:rPr>
        <w:t>暂定合同总价</w:t>
      </w:r>
      <w:r>
        <w:rPr>
          <w:rFonts w:ascii="宋体" w:hAnsi="宋体"/>
          <w:b/>
          <w:color w:val="000000" w:themeColor="text1"/>
          <w:sz w:val="24"/>
          <w:u w:val="single"/>
          <w14:textFill>
            <w14:solidFill>
              <w14:schemeClr w14:val="tx1"/>
            </w14:solidFill>
          </w14:textFill>
        </w:rPr>
        <w:t>的3％作为质量违约金，工期不予顺延。若其中分部分项工程达不到一次性验收合格，承包人需向发包人支付至少5</w:t>
      </w:r>
      <w:r>
        <w:rPr>
          <w:rFonts w:hint="eastAsia" w:ascii="宋体" w:hAnsi="宋体"/>
          <w:b/>
          <w:color w:val="000000" w:themeColor="text1"/>
          <w:sz w:val="24"/>
          <w:u w:val="single"/>
          <w14:textFill>
            <w14:solidFill>
              <w14:schemeClr w14:val="tx1"/>
            </w14:solidFill>
          </w14:textFill>
        </w:rPr>
        <w:t>0万</w:t>
      </w:r>
      <w:r>
        <w:rPr>
          <w:rFonts w:ascii="宋体" w:hAnsi="宋体"/>
          <w:b/>
          <w:color w:val="000000" w:themeColor="text1"/>
          <w:sz w:val="24"/>
          <w:u w:val="single"/>
          <w14:textFill>
            <w14:solidFill>
              <w14:schemeClr w14:val="tx1"/>
            </w14:solidFill>
          </w14:textFill>
        </w:rPr>
        <w:t>元/次的违约金并承担全部返工费用。竣工验收</w:t>
      </w:r>
      <w:r>
        <w:rPr>
          <w:rFonts w:hint="eastAsia" w:ascii="宋体" w:hAnsi="宋体"/>
          <w:b/>
          <w:color w:val="000000" w:themeColor="text1"/>
          <w:sz w:val="24"/>
          <w:u w:val="single"/>
          <w14:textFill>
            <w14:solidFill>
              <w14:schemeClr w14:val="tx1"/>
            </w14:solidFill>
          </w14:textFill>
        </w:rPr>
        <w:t>（设计交工验收）</w:t>
      </w:r>
      <w:r>
        <w:rPr>
          <w:rFonts w:ascii="宋体" w:hAnsi="宋体"/>
          <w:b/>
          <w:color w:val="000000" w:themeColor="text1"/>
          <w:sz w:val="24"/>
          <w:u w:val="single"/>
          <w14:textFill>
            <w14:solidFill>
              <w14:schemeClr w14:val="tx1"/>
            </w14:solidFill>
          </w14:textFill>
        </w:rPr>
        <w:t>时，如发现存在不可修补的缺陷，发包人将对缺陷进行综合评价，并折合成相应的费用</w:t>
      </w:r>
      <w:r>
        <w:rPr>
          <w:rFonts w:hint="eastAsia" w:ascii="宋体" w:hAnsi="宋体"/>
          <w:b/>
          <w:color w:val="000000" w:themeColor="text1"/>
          <w:sz w:val="24"/>
          <w:u w:val="single"/>
          <w14:textFill>
            <w14:solidFill>
              <w14:schemeClr w14:val="tx1"/>
            </w14:solidFill>
          </w14:textFill>
        </w:rPr>
        <w:t>（承包人同意此费用由发包人确定）</w:t>
      </w:r>
      <w:r>
        <w:rPr>
          <w:rFonts w:ascii="宋体" w:hAnsi="宋体"/>
          <w:b/>
          <w:color w:val="000000" w:themeColor="text1"/>
          <w:sz w:val="24"/>
          <w:u w:val="single"/>
          <w14:textFill>
            <w14:solidFill>
              <w14:schemeClr w14:val="tx1"/>
            </w14:solidFill>
          </w14:textFill>
        </w:rPr>
        <w:t>，此费用为承包人向发包人的赔偿金额。</w:t>
      </w:r>
      <w:bookmarkStart w:id="695" w:name="_Toc340758988"/>
      <w:bookmarkStart w:id="696" w:name="_Toc338662585"/>
      <w:r>
        <w:rPr>
          <w:rFonts w:ascii="宋体" w:hAnsi="宋体"/>
          <w:b/>
          <w:color w:val="000000" w:themeColor="text1"/>
          <w:sz w:val="24"/>
          <w:u w:val="single"/>
          <w14:textFill>
            <w14:solidFill>
              <w14:schemeClr w14:val="tx1"/>
            </w14:solidFill>
          </w14:textFill>
        </w:rPr>
        <w:t>双方对工程质量有争议，由双方同意的工程质量检测机构鉴定，所需费用及因此造成的损失，由责任方承担。</w:t>
      </w:r>
      <w:bookmarkEnd w:id="695"/>
      <w:bookmarkEnd w:id="696"/>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关于工程奖项的约定：</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无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5.3 隐蔽工程检查</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5.3.2承包人提前通知监理人隐蔽工程检查的期限的约定：</w:t>
      </w:r>
      <w:r>
        <w:rPr>
          <w:rFonts w:hint="eastAsia" w:ascii="宋体" w:hAnsi="宋体"/>
          <w:color w:val="000000" w:themeColor="text1"/>
          <w:kern w:val="0"/>
          <w:sz w:val="24"/>
          <w:u w:val="single"/>
          <w14:textFill>
            <w14:solidFill>
              <w14:schemeClr w14:val="tx1"/>
            </w14:solidFill>
          </w14:textFill>
        </w:rPr>
        <w:t>共同检查前48小时书面通知监理人。</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监理人不能按时进行检查时，应提前</w:t>
      </w:r>
      <w:r>
        <w:rPr>
          <w:rFonts w:hint="eastAsia" w:ascii="宋体" w:hAnsi="宋体"/>
          <w:color w:val="000000" w:themeColor="text1"/>
          <w:kern w:val="0"/>
          <w:sz w:val="24"/>
          <w:u w:val="single"/>
          <w14:textFill>
            <w14:solidFill>
              <w14:schemeClr w14:val="tx1"/>
            </w14:solidFill>
          </w14:textFill>
        </w:rPr>
        <w:t>24</w:t>
      </w:r>
      <w:r>
        <w:rPr>
          <w:rFonts w:ascii="宋体" w:hAnsi="宋体"/>
          <w:color w:val="000000" w:themeColor="text1"/>
          <w:kern w:val="0"/>
          <w:sz w:val="24"/>
          <w14:textFill>
            <w14:solidFill>
              <w14:schemeClr w14:val="tx1"/>
            </w14:solidFill>
          </w14:textFill>
        </w:rPr>
        <w:t>小时提交书面延期要求。</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关于延期最长不得超过：</w:t>
      </w:r>
      <w:r>
        <w:rPr>
          <w:rFonts w:hint="eastAsia" w:ascii="宋体" w:hAnsi="宋体"/>
          <w:color w:val="000000" w:themeColor="text1"/>
          <w:kern w:val="0"/>
          <w:sz w:val="24"/>
          <w:u w:val="single"/>
          <w14:textFill>
            <w14:solidFill>
              <w14:schemeClr w14:val="tx1"/>
            </w14:solidFill>
          </w14:textFill>
        </w:rPr>
        <w:t>48</w:t>
      </w:r>
      <w:r>
        <w:rPr>
          <w:rFonts w:ascii="宋体" w:hAnsi="宋体"/>
          <w:color w:val="000000" w:themeColor="text1"/>
          <w:kern w:val="0"/>
          <w:sz w:val="24"/>
          <w14:textFill>
            <w14:solidFill>
              <w14:schemeClr w14:val="tx1"/>
            </w14:solidFill>
          </w14:textFill>
        </w:rPr>
        <w:t>小时。</w:t>
      </w:r>
    </w:p>
    <w:p>
      <w:pPr>
        <w:spacing w:line="360" w:lineRule="auto"/>
        <w:ind w:firstLine="482" w:firstLineChars="200"/>
        <w:jc w:val="left"/>
        <w:rPr>
          <w:rFonts w:ascii="宋体" w:hAnsi="宋体"/>
          <w:b/>
          <w:color w:val="000000" w:themeColor="text1"/>
          <w:sz w:val="24"/>
          <w14:textFill>
            <w14:solidFill>
              <w14:schemeClr w14:val="tx1"/>
            </w14:solidFill>
          </w14:textFill>
        </w:rPr>
      </w:pPr>
      <w:bookmarkStart w:id="697" w:name="_Toc351203638"/>
      <w:r>
        <w:rPr>
          <w:rFonts w:ascii="宋体" w:hAnsi="宋体"/>
          <w:b/>
          <w:color w:val="000000" w:themeColor="text1"/>
          <w:sz w:val="24"/>
          <w14:textFill>
            <w14:solidFill>
              <w14:schemeClr w14:val="tx1"/>
            </w14:solidFill>
          </w14:textFill>
        </w:rPr>
        <w:t>6. 安全文明施工与环境保护</w:t>
      </w:r>
      <w:bookmarkEnd w:id="697"/>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6.1安全文明施工</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6.1.1 项目安全生产的达标目标及相应事项的约定：</w:t>
      </w:r>
      <w:r>
        <w:rPr>
          <w:rFonts w:hint="eastAsia" w:ascii="宋体" w:hAnsi="宋体"/>
          <w:color w:val="000000" w:themeColor="text1"/>
          <w:kern w:val="0"/>
          <w:sz w:val="24"/>
          <w:u w:val="single"/>
          <w14:textFill>
            <w14:solidFill>
              <w14:schemeClr w14:val="tx1"/>
            </w14:solidFill>
          </w14:textFill>
        </w:rPr>
        <w:t>按 “通用条款”第6.1.1、6.1.2、6.1.3条执行；在严格按照《中华人民共和国安全生产法》、《中华人民共和国建设工程安全生产管理条例》和《国务院关于特大安全事故行政责任追究的规定》（国务院第302号文）执行的同时，承包人还必须全面考虑并做好施工现场及周边安全防护工作，做好现场施工人员安全教育工作和安全监督检查工作。切实采取各种安全防护措施，保证施工现场人员及周边行人安全；保证施工现场设施和电力线路的安全；保证本工程无大小安全事故发生。在施工现场中，一旦发现安全隐患，必须立即整改。若在施工过程中发生安全事故，造成周围设施损坏及人员伤亡，均由承包人自行承担一切法律责任</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本项目专职安全管理人员必须具有相应的执业资格证，并确实做到持证上岗，以备随时查验。若发现专职安全管理人员无证上岗每人次支付</w:t>
      </w:r>
      <w:r>
        <w:rPr>
          <w:rFonts w:ascii="宋体" w:hAnsi="宋体"/>
          <w:color w:val="000000" w:themeColor="text1"/>
          <w:kern w:val="0"/>
          <w:sz w:val="24"/>
          <w:u w:val="single"/>
          <w14:textFill>
            <w14:solidFill>
              <w14:schemeClr w14:val="tx1"/>
            </w14:solidFill>
          </w14:textFill>
        </w:rPr>
        <w:t>1万元违约金，并清退出场。</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事故处理</w:t>
      </w:r>
      <w:r>
        <w:rPr>
          <w:rFonts w:hint="eastAsia" w:ascii="宋体" w:hAnsi="宋体" w:cs="仿宋"/>
          <w:color w:val="000000" w:themeColor="text1"/>
          <w:sz w:val="24"/>
          <w14:textFill>
            <w14:solidFill>
              <w14:schemeClr w14:val="tx1"/>
            </w14:solidFill>
          </w14:textFill>
        </w:rPr>
        <w:t>：</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（1）发生重大伤亡及其他安全事故，承包人应按有关规定立即上报有关部门并通知监理工程师，同时按政府有关部门要求处理，由事故责任方承担发生的费用。</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（2）发生一人／次死亡事故，承包人向发包人支付人民币</w:t>
      </w:r>
      <w:r>
        <w:rPr>
          <w:rFonts w:ascii="宋体" w:hAnsi="宋体" w:cs="仿宋"/>
          <w:color w:val="000000" w:themeColor="text1"/>
          <w:sz w:val="24"/>
          <w:u w:val="single"/>
          <w14:textFill>
            <w14:solidFill>
              <w14:schemeClr w14:val="tx1"/>
            </w14:solidFill>
          </w14:textFill>
        </w:rPr>
        <w:t>10</w:t>
      </w:r>
      <w:r>
        <w:rPr>
          <w:rFonts w:ascii="宋体" w:hAnsi="宋体" w:cs="仿宋"/>
          <w:color w:val="000000" w:themeColor="text1"/>
          <w:sz w:val="24"/>
          <w14:textFill>
            <w14:solidFill>
              <w14:schemeClr w14:val="tx1"/>
            </w14:solidFill>
          </w14:textFill>
        </w:rPr>
        <w:t>万元的违约金；</w:t>
      </w:r>
    </w:p>
    <w:p>
      <w:pPr>
        <w:adjustRightInd w:val="0"/>
        <w:snapToGrid w:val="0"/>
        <w:spacing w:line="360" w:lineRule="auto"/>
        <w:ind w:firstLine="480" w:firstLineChars="200"/>
        <w:rPr>
          <w:rFonts w:ascii="宋体" w:hAnsi="宋体" w:cs="仿宋"/>
          <w:bCs/>
          <w:color w:val="000000" w:themeColor="text1"/>
          <w:sz w:val="24"/>
          <w:u w:val="single"/>
          <w14:textFill>
            <w14:solidFill>
              <w14:schemeClr w14:val="tx1"/>
            </w14:solidFill>
          </w14:textFill>
        </w:rPr>
      </w:pPr>
      <w:r>
        <w:rPr>
          <w:rFonts w:ascii="宋体" w:hAnsi="宋体" w:cs="仿宋"/>
          <w:color w:val="000000" w:themeColor="text1"/>
          <w:sz w:val="24"/>
          <w14:textFill>
            <w14:solidFill>
              <w14:schemeClr w14:val="tx1"/>
            </w14:solidFill>
          </w14:textFill>
        </w:rPr>
        <w:t>（3）发生一次重大伤亡事故，承包人向发包人支付人民币</w:t>
      </w:r>
      <w:r>
        <w:rPr>
          <w:rFonts w:ascii="宋体" w:hAnsi="宋体" w:cs="仿宋"/>
          <w:color w:val="000000" w:themeColor="text1"/>
          <w:sz w:val="24"/>
          <w:u w:val="single"/>
          <w14:textFill>
            <w14:solidFill>
              <w14:schemeClr w14:val="tx1"/>
            </w14:solidFill>
          </w14:textFill>
        </w:rPr>
        <w:t>50</w:t>
      </w:r>
      <w:r>
        <w:rPr>
          <w:rFonts w:ascii="宋体" w:hAnsi="宋体" w:cs="仿宋"/>
          <w:color w:val="000000" w:themeColor="text1"/>
          <w:sz w:val="24"/>
          <w14:textFill>
            <w14:solidFill>
              <w14:schemeClr w14:val="tx1"/>
            </w14:solidFill>
          </w14:textFill>
        </w:rPr>
        <w:t>万元的违约金</w:t>
      </w:r>
      <w:r>
        <w:rPr>
          <w:rFonts w:hint="eastAsia" w:ascii="宋体" w:hAnsi="宋体" w:cs="仿宋"/>
          <w:color w:val="000000" w:themeColor="text1"/>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6.1.4 关于治安保卫的特别约定：</w:t>
      </w:r>
      <w:r>
        <w:rPr>
          <w:rFonts w:hint="eastAsia" w:ascii="宋体" w:hAnsi="宋体" w:cs="宋体"/>
          <w:color w:val="000000" w:themeColor="text1"/>
          <w:kern w:val="0"/>
          <w:sz w:val="24"/>
          <w:u w:val="single"/>
          <w14:textFill>
            <w14:solidFill>
              <w14:schemeClr w14:val="tx1"/>
            </w14:solidFill>
          </w14:textFill>
        </w:rPr>
        <w:t>承包人应做好治安保卫工作及各类危险指示牌，指示牌需清晰可辨，如外来人员或外来车辆在施工现场出现事故，经有关部门鉴定，是由于承包人的责任，承包人应承担该项赔偿费用和责任</w:t>
      </w:r>
      <w:r>
        <w:rPr>
          <w:rFonts w:ascii="宋体" w:hAnsi="宋体"/>
          <w:color w:val="000000" w:themeColor="text1"/>
          <w:kern w:val="0"/>
          <w:sz w:val="24"/>
          <w:u w:val="single"/>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关于编制施工场地治安管理计划的约定：</w:t>
      </w:r>
      <w:r>
        <w:rPr>
          <w:rFonts w:hint="eastAsia" w:ascii="宋体" w:hAnsi="宋体" w:cs="宋体"/>
          <w:color w:val="000000" w:themeColor="text1"/>
          <w:kern w:val="0"/>
          <w:sz w:val="24"/>
          <w:u w:val="single"/>
          <w14:textFill>
            <w14:solidFill>
              <w14:schemeClr w14:val="tx1"/>
            </w14:solidFill>
          </w14:textFill>
        </w:rPr>
        <w:t>开工前14天提供《施工场地治安管理方案(计划)和《突发治安事件应急预案》报监理审核，并报发包人审批。</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6.1.5 文明施工</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合同当事人对文明施工的要求：</w:t>
      </w:r>
      <w:r>
        <w:rPr>
          <w:rFonts w:hint="eastAsia" w:ascii="宋体" w:hAnsi="宋体"/>
          <w:color w:val="000000" w:themeColor="text1"/>
          <w:kern w:val="0"/>
          <w:sz w:val="24"/>
          <w:u w:val="single"/>
          <w14:textFill>
            <w14:solidFill>
              <w14:schemeClr w14:val="tx1"/>
            </w14:solidFill>
          </w14:textFill>
        </w:rPr>
        <w:t>执行省、市及当地行政主管部门对施工现场文明施工的相关管理规定，且服从发包人的相关管理要求。</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①承包人必须严格按昆明市有关部门的有关规定及现场安全文明施工管理规定组织施工，保证本工程施工现场达到昆明市安全、文明、卫生合格工地。若未达到现场安全文明施工管理规定的要求，按照相关规定进行处罚。</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②现场文明施工除满足国家及当地相关部门要求外，尚应服从发包人工程管理部门、监理工程师的统一管理，达不到工程管理部门、监理工程师的管理要求将按相关规定进行处罚。</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③如未达到上述要求被媒体曝光的，承包人须向发包人支付20万元/次的违约金。</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6.1.6 关于安全文明施工费支付比例和支付期限的约定：</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开工阶段，施工单位提出申请，提交安全防护、文明施工措施项目清单及使用计划，完善开工安全前提条件，报项目总监理工程师审查确认，建设单位批准拨付。</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合同工程量过半阶段，施工单位提出申请，由项目总监理工程师组织监理人员会同建设单位管理人员，对照施工合同及施工单位提交的安全防护、文明施工措施项目清单检查实体确认，工程所在地建筑安全监督机构签署意见，建设单位批准拨付。未按照安全防护、文明施工措施项目清单实施的部分，或实施的质量达不到标准规定要求的作相应扣减。</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竣工阶段，施工单位提出申请，提交安全防护、文明施工措施项目清单完成情况报告，由项目总监理工程师审查确认，工程所在地建筑安全监督机构对安全生产、文明施工综合评定合格，建设单位批准拨付。剩余的款项及利息建设单位收回。</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上述支付条款与12.4条款合并审核支付，但不得超付。</w:t>
      </w:r>
    </w:p>
    <w:bookmarkEnd w:id="688"/>
    <w:bookmarkEnd w:id="689"/>
    <w:bookmarkEnd w:id="690"/>
    <w:bookmarkEnd w:id="691"/>
    <w:bookmarkEnd w:id="692"/>
    <w:bookmarkEnd w:id="693"/>
    <w:bookmarkEnd w:id="694"/>
    <w:p>
      <w:pPr>
        <w:spacing w:line="360" w:lineRule="auto"/>
        <w:ind w:firstLine="482" w:firstLineChars="200"/>
        <w:jc w:val="left"/>
        <w:rPr>
          <w:rFonts w:ascii="宋体" w:hAnsi="宋体"/>
          <w:b/>
          <w:color w:val="000000" w:themeColor="text1"/>
          <w:sz w:val="24"/>
          <w14:textFill>
            <w14:solidFill>
              <w14:schemeClr w14:val="tx1"/>
            </w14:solidFill>
          </w14:textFill>
        </w:rPr>
      </w:pPr>
      <w:bookmarkStart w:id="698" w:name="_Toc351203639"/>
      <w:r>
        <w:rPr>
          <w:rFonts w:ascii="宋体" w:hAnsi="宋体"/>
          <w:b/>
          <w:color w:val="000000" w:themeColor="text1"/>
          <w:sz w:val="24"/>
          <w14:textFill>
            <w14:solidFill>
              <w14:schemeClr w14:val="tx1"/>
            </w14:solidFill>
          </w14:textFill>
        </w:rPr>
        <w:t>7. 工期和进度</w:t>
      </w:r>
      <w:bookmarkEnd w:id="698"/>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7.1 施工组织设计</w:t>
      </w:r>
    </w:p>
    <w:p>
      <w:pPr>
        <w:widowControl/>
        <w:autoSpaceDE w:val="0"/>
        <w:autoSpaceDN w:val="0"/>
        <w:adjustRightInd w:val="0"/>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7.1.</w:t>
      </w:r>
      <w:r>
        <w:rPr>
          <w:rFonts w:hint="eastAsia" w:ascii="宋体" w:hAnsi="宋体"/>
          <w:color w:val="000000" w:themeColor="text1"/>
          <w:kern w:val="0"/>
          <w:sz w:val="24"/>
          <w14:textFill>
            <w14:solidFill>
              <w14:schemeClr w14:val="tx1"/>
            </w14:solidFill>
          </w14:textFill>
        </w:rPr>
        <w:t>1 合同当事人约定的</w:t>
      </w:r>
      <w:r>
        <w:rPr>
          <w:rFonts w:ascii="宋体" w:hAnsi="宋体"/>
          <w:color w:val="000000" w:themeColor="text1"/>
          <w:kern w:val="0"/>
          <w:sz w:val="24"/>
          <w14:textFill>
            <w14:solidFill>
              <w14:schemeClr w14:val="tx1"/>
            </w14:solidFill>
          </w14:textFill>
        </w:rPr>
        <w:t>施工组织设计</w:t>
      </w:r>
      <w:r>
        <w:rPr>
          <w:rFonts w:hint="eastAsia" w:ascii="宋体" w:hAnsi="宋体"/>
          <w:color w:val="000000" w:themeColor="text1"/>
          <w:kern w:val="0"/>
          <w:sz w:val="24"/>
          <w14:textFill>
            <w14:solidFill>
              <w14:schemeClr w14:val="tx1"/>
            </w14:solidFill>
          </w14:textFill>
        </w:rPr>
        <w:t>应包括的其他内容</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u w:val="single"/>
          <w14:textFill>
            <w14:solidFill>
              <w14:schemeClr w14:val="tx1"/>
            </w14:solidFill>
          </w14:textFill>
        </w:rPr>
        <w:t>按</w:t>
      </w:r>
      <w:r>
        <w:rPr>
          <w:rFonts w:hint="eastAsia" w:ascii="宋体" w:hAnsi="宋体" w:cs="仿宋"/>
          <w:color w:val="000000" w:themeColor="text1"/>
          <w:sz w:val="24"/>
          <w:u w:val="single"/>
          <w14:textFill>
            <w14:solidFill>
              <w14:schemeClr w14:val="tx1"/>
            </w14:solidFill>
          </w14:textFill>
        </w:rPr>
        <w:t>通用合同条款及</w:t>
      </w:r>
      <w:r>
        <w:rPr>
          <w:rFonts w:hint="eastAsia" w:ascii="宋体" w:hAnsi="宋体"/>
          <w:color w:val="000000" w:themeColor="text1"/>
          <w:kern w:val="0"/>
          <w:sz w:val="24"/>
          <w:u w:val="single"/>
          <w14:textFill>
            <w14:solidFill>
              <w14:schemeClr w14:val="tx1"/>
            </w14:solidFill>
          </w14:textFill>
        </w:rPr>
        <w:t xml:space="preserve">国家相关规范、标准执行 </w:t>
      </w:r>
      <w:r>
        <w:rPr>
          <w:rFonts w:ascii="宋体" w:hAnsi="宋体"/>
          <w:color w:val="000000" w:themeColor="text1"/>
          <w:kern w:val="0"/>
          <w:sz w:val="24"/>
          <w14:textFill>
            <w14:solidFill>
              <w14:schemeClr w14:val="tx1"/>
            </w14:solidFill>
          </w14:textFill>
        </w:rPr>
        <w:t>。</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7.1.2 施工组织设计的提交和修改</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承包人提交详细施工组织设计的期限的约定：</w:t>
      </w:r>
      <w:r>
        <w:rPr>
          <w:rFonts w:hint="eastAsia" w:ascii="宋体" w:hAnsi="宋体"/>
          <w:color w:val="000000" w:themeColor="text1"/>
          <w:kern w:val="0"/>
          <w:sz w:val="24"/>
          <w:u w:val="single"/>
          <w14:textFill>
            <w14:solidFill>
              <w14:schemeClr w14:val="tx1"/>
            </w14:solidFill>
          </w14:textFill>
        </w:rPr>
        <w:t>设计交底、图纸会审后1</w:t>
      </w:r>
      <w:r>
        <w:rPr>
          <w:rFonts w:ascii="宋体" w:hAnsi="宋体"/>
          <w:color w:val="000000" w:themeColor="text1"/>
          <w:kern w:val="0"/>
          <w:sz w:val="24"/>
          <w:u w:val="single"/>
          <w14:textFill>
            <w14:solidFill>
              <w14:schemeClr w14:val="tx1"/>
            </w14:solidFill>
          </w14:textFill>
        </w:rPr>
        <w:t>5</w:t>
      </w:r>
      <w:r>
        <w:rPr>
          <w:rFonts w:hint="eastAsia" w:ascii="宋体" w:hAnsi="宋体"/>
          <w:color w:val="000000" w:themeColor="text1"/>
          <w:kern w:val="0"/>
          <w:sz w:val="24"/>
          <w:u w:val="single"/>
          <w14:textFill>
            <w14:solidFill>
              <w14:schemeClr w14:val="tx1"/>
            </w14:solidFill>
          </w14:textFill>
        </w:rPr>
        <w:t xml:space="preserve">个工作日内 </w:t>
      </w:r>
      <w:r>
        <w:rPr>
          <w:rFonts w:ascii="宋体" w:hAnsi="宋体"/>
          <w:color w:val="000000" w:themeColor="text1"/>
          <w:kern w:val="0"/>
          <w:sz w:val="24"/>
          <w14:textFill>
            <w14:solidFill>
              <w14:schemeClr w14:val="tx1"/>
            </w14:solidFill>
          </w14:textFill>
        </w:rPr>
        <w:t>。</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发包人和监理人在收到</w:t>
      </w:r>
      <w:r>
        <w:rPr>
          <w:rFonts w:hint="eastAsia" w:ascii="宋体" w:hAnsi="宋体"/>
          <w:color w:val="000000" w:themeColor="text1"/>
          <w:kern w:val="0"/>
          <w:sz w:val="24"/>
          <w14:textFill>
            <w14:solidFill>
              <w14:schemeClr w14:val="tx1"/>
            </w14:solidFill>
          </w14:textFill>
        </w:rPr>
        <w:t>详细的施工组织设计</w:t>
      </w:r>
      <w:r>
        <w:rPr>
          <w:rFonts w:ascii="宋体" w:hAnsi="宋体"/>
          <w:color w:val="000000" w:themeColor="text1"/>
          <w:kern w:val="0"/>
          <w:sz w:val="24"/>
          <w14:textFill>
            <w14:solidFill>
              <w14:schemeClr w14:val="tx1"/>
            </w14:solidFill>
          </w14:textFill>
        </w:rPr>
        <w:t>后确认或提出修改意见的期限：</w:t>
      </w:r>
      <w:r>
        <w:rPr>
          <w:rFonts w:hint="eastAsia" w:ascii="宋体" w:hAnsi="宋体"/>
          <w:color w:val="000000" w:themeColor="text1"/>
          <w:kern w:val="0"/>
          <w:sz w:val="24"/>
          <w:u w:val="single"/>
          <w14:textFill>
            <w14:solidFill>
              <w14:schemeClr w14:val="tx1"/>
            </w14:solidFill>
          </w14:textFill>
        </w:rPr>
        <w:t>按通用条款第7.1.2条执行</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w:t>
      </w:r>
      <w:bookmarkStart w:id="699" w:name="_Toc297216173"/>
      <w:bookmarkStart w:id="700" w:name="_Toc312678005"/>
      <w:bookmarkStart w:id="701" w:name="_Toc312677479"/>
      <w:bookmarkStart w:id="702" w:name="_Toc297123514"/>
      <w:bookmarkStart w:id="703" w:name="_Toc303539123"/>
      <w:bookmarkStart w:id="704" w:name="_Toc300934966"/>
      <w:bookmarkStart w:id="705" w:name="_Toc304295541"/>
      <w:r>
        <w:rPr>
          <w:rFonts w:ascii="宋体" w:hAnsi="宋体"/>
          <w:color w:val="000000" w:themeColor="text1"/>
          <w:kern w:val="0"/>
          <w:sz w:val="24"/>
          <w14:textFill>
            <w14:solidFill>
              <w14:schemeClr w14:val="tx1"/>
            </w14:solidFill>
          </w14:textFill>
        </w:rPr>
        <w:t>.2 施工进度计划</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7.2.2 施工进度计划的修订</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发包人和监理人在收到修订的施工进度计划后确认或提出修改意见的期限：</w:t>
      </w:r>
      <w:r>
        <w:rPr>
          <w:rFonts w:hint="eastAsia" w:ascii="宋体" w:hAnsi="宋体"/>
          <w:color w:val="000000" w:themeColor="text1"/>
          <w:kern w:val="0"/>
          <w:sz w:val="24"/>
          <w:u w:val="single"/>
          <w14:textFill>
            <w14:solidFill>
              <w14:schemeClr w14:val="tx1"/>
            </w14:solidFill>
          </w14:textFill>
        </w:rPr>
        <w:t xml:space="preserve">按通用条款第7.2.2条执行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7.3 开工</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7.3.1 开工准备</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关于承包人提交工程开工报审表的期限：</w:t>
      </w:r>
      <w:r>
        <w:rPr>
          <w:rFonts w:hint="eastAsia" w:ascii="宋体" w:hAnsi="宋体"/>
          <w:color w:val="000000" w:themeColor="text1"/>
          <w:kern w:val="0"/>
          <w:sz w:val="24"/>
          <w:u w:val="single"/>
          <w14:textFill>
            <w14:solidFill>
              <w14:schemeClr w14:val="tx1"/>
            </w14:solidFill>
          </w14:textFill>
        </w:rPr>
        <w:t>开工前2日内</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关于发包人应完成的其他开工准备工作及期限：</w:t>
      </w:r>
      <w:r>
        <w:rPr>
          <w:rFonts w:hint="eastAsia" w:ascii="宋体" w:hAnsi="宋体"/>
          <w:color w:val="000000" w:themeColor="text1"/>
          <w:kern w:val="0"/>
          <w:sz w:val="24"/>
          <w:u w:val="single"/>
          <w14:textFill>
            <w14:solidFill>
              <w14:schemeClr w14:val="tx1"/>
            </w14:solidFill>
          </w14:textFill>
        </w:rPr>
        <w:t>开工前2日内</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关于承包人应完成的其他开工准备工作及期限：</w:t>
      </w:r>
      <w:r>
        <w:rPr>
          <w:rFonts w:hint="eastAsia" w:ascii="宋体" w:hAnsi="宋体"/>
          <w:color w:val="000000" w:themeColor="text1"/>
          <w:kern w:val="0"/>
          <w:sz w:val="24"/>
          <w:u w:val="single"/>
          <w14:textFill>
            <w14:solidFill>
              <w14:schemeClr w14:val="tx1"/>
            </w14:solidFill>
          </w14:textFill>
        </w:rPr>
        <w:t>开工前2日内</w:t>
      </w:r>
      <w:r>
        <w:rPr>
          <w:rFonts w:ascii="宋体" w:hAnsi="宋体"/>
          <w:color w:val="000000" w:themeColor="text1"/>
          <w:kern w:val="0"/>
          <w:sz w:val="24"/>
          <w14:textFill>
            <w14:solidFill>
              <w14:schemeClr w14:val="tx1"/>
            </w14:solidFill>
          </w14:textFill>
        </w:rPr>
        <w:t>。</w:t>
      </w:r>
    </w:p>
    <w:bookmarkEnd w:id="699"/>
    <w:bookmarkEnd w:id="700"/>
    <w:bookmarkEnd w:id="701"/>
    <w:bookmarkEnd w:id="702"/>
    <w:bookmarkEnd w:id="703"/>
    <w:bookmarkEnd w:id="704"/>
    <w:bookmarkEnd w:id="705"/>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7.3.2开工通知</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以发包人下发的任务书通知为准。</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7.4 测量放线</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7.4.1发包人通过监理人向承包人提供测量基准点、基准线和水准点及其书面资料的期限：</w:t>
      </w:r>
      <w:r>
        <w:rPr>
          <w:rFonts w:hint="eastAsia" w:ascii="宋体" w:hAnsi="宋体"/>
          <w:color w:val="000000" w:themeColor="text1"/>
          <w:kern w:val="0"/>
          <w:sz w:val="24"/>
          <w:u w:val="single"/>
          <w14:textFill>
            <w14:solidFill>
              <w14:schemeClr w14:val="tx1"/>
            </w14:solidFill>
          </w14:textFill>
        </w:rPr>
        <w:t xml:space="preserve">开工后3日内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w:t>
      </w:r>
      <w:bookmarkStart w:id="706" w:name="_Toc297123516"/>
      <w:bookmarkStart w:id="707" w:name="_Toc300934968"/>
      <w:bookmarkStart w:id="708" w:name="_Toc303539125"/>
      <w:bookmarkStart w:id="709" w:name="_Toc304295546"/>
      <w:bookmarkStart w:id="710" w:name="_Toc297216175"/>
      <w:bookmarkStart w:id="711" w:name="_Toc312678010"/>
      <w:bookmarkStart w:id="712" w:name="_Toc312677484"/>
      <w:r>
        <w:rPr>
          <w:rFonts w:ascii="宋体" w:hAnsi="宋体"/>
          <w:color w:val="000000" w:themeColor="text1"/>
          <w:kern w:val="0"/>
          <w:sz w:val="24"/>
          <w14:textFill>
            <w14:solidFill>
              <w14:schemeClr w14:val="tx1"/>
            </w14:solidFill>
          </w14:textFill>
        </w:rPr>
        <w:t>.5 工期延误</w:t>
      </w:r>
    </w:p>
    <w:bookmarkEnd w:id="706"/>
    <w:bookmarkEnd w:id="707"/>
    <w:bookmarkEnd w:id="708"/>
    <w:bookmarkEnd w:id="709"/>
    <w:bookmarkEnd w:id="710"/>
    <w:bookmarkEnd w:id="711"/>
    <w:bookmarkEnd w:id="712"/>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7.5.1 因发包人原因导致工期延误</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因发包人原因导致工期延误的其他情形：</w:t>
      </w:r>
      <w:r>
        <w:rPr>
          <w:rFonts w:hint="eastAsia" w:ascii="宋体" w:hAnsi="宋体" w:cs="仿宋"/>
          <w:color w:val="000000" w:themeColor="text1"/>
          <w:sz w:val="24"/>
          <w:u w:val="single"/>
          <w14:textFill>
            <w14:solidFill>
              <w14:schemeClr w14:val="tx1"/>
            </w14:solidFill>
          </w14:textFill>
        </w:rPr>
        <w:t>发包人视具体情况顺延工期</w:t>
      </w:r>
      <w:r>
        <w:rPr>
          <w:rFonts w:hint="eastAsia" w:ascii="宋体" w:hAnsi="宋体"/>
          <w:color w:val="000000" w:themeColor="text1"/>
          <w:kern w:val="0"/>
          <w:sz w:val="24"/>
          <w:u w:val="single"/>
          <w14:textFill>
            <w14:solidFill>
              <w14:schemeClr w14:val="tx1"/>
            </w14:solidFill>
          </w14:textFill>
        </w:rPr>
        <w:t>。</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只有因以下原因造成工期延误，经发包人确认，工期才能相应顺延：</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（1）必须是非承包人自身原因造成的延期，才可以考虑承包人的延期申请；</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（2）如非承包人自身原因造成且只是局部工程受影响，承包人应考虑采取补救措施予以弥补，而不应考虑推迟工期；</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（3）延期的工程项目如不在工程进度网络计划的关键线路上，不应考虑延长总工期；</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（4）如发生受现场条件的限制导致的工期延长，发包人根据实际情况延长工期。</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任何工期延误，须承包人向发包人提出书面请求且发包人同意后，才可作为延长的依据。</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双方约定工期顺延的其他情况：无。</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w:t>
      </w:r>
      <w:bookmarkStart w:id="713" w:name="_Toc312677486"/>
      <w:bookmarkStart w:id="714" w:name="_Toc318581169"/>
      <w:bookmarkStart w:id="715" w:name="_Toc312678012"/>
      <w:bookmarkStart w:id="716" w:name="_Toc303539127"/>
      <w:bookmarkStart w:id="717" w:name="_Toc297216177"/>
      <w:bookmarkStart w:id="718" w:name="_Toc304295548"/>
      <w:bookmarkStart w:id="719" w:name="_Toc300934970"/>
      <w:bookmarkStart w:id="720" w:name="_Toc297123518"/>
      <w:r>
        <w:rPr>
          <w:rFonts w:ascii="宋体" w:hAnsi="宋体"/>
          <w:color w:val="000000" w:themeColor="text1"/>
          <w:kern w:val="0"/>
          <w:sz w:val="24"/>
          <w14:textFill>
            <w14:solidFill>
              <w14:schemeClr w14:val="tx1"/>
            </w14:solidFill>
          </w14:textFill>
        </w:rPr>
        <w:t>.5.2 因承包人原因导致工期延误</w:t>
      </w:r>
    </w:p>
    <w:bookmarkEnd w:id="713"/>
    <w:bookmarkEnd w:id="714"/>
    <w:bookmarkEnd w:id="715"/>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因</w:t>
      </w:r>
      <w:bookmarkStart w:id="721" w:name="_Toc312678013"/>
      <w:bookmarkStart w:id="722" w:name="_Toc312677487"/>
      <w:bookmarkStart w:id="723" w:name="_Toc318581170"/>
      <w:r>
        <w:rPr>
          <w:rFonts w:ascii="宋体" w:hAnsi="宋体"/>
          <w:color w:val="000000" w:themeColor="text1"/>
          <w:kern w:val="0"/>
          <w:sz w:val="24"/>
          <w14:textFill>
            <w14:solidFill>
              <w14:schemeClr w14:val="tx1"/>
            </w14:solidFill>
          </w14:textFill>
        </w:rPr>
        <w:t>承包人原因造成工期延误，逾期竣工违约金的计算方法为：</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1）依据承包人编报经监理人与发包人确认的《工程施工进度计划》中的项目工程施工总工期、节点工期进行考核。</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2）依据发包人、监理人在工程例会或专题会议中明确的</w:t>
      </w:r>
      <w:r>
        <w:rPr>
          <w:rFonts w:hint="eastAsia" w:ascii="宋体" w:hAnsi="宋体"/>
          <w:color w:val="000000" w:themeColor="text1"/>
          <w:kern w:val="0"/>
          <w:sz w:val="24"/>
          <w14:textFill>
            <w14:solidFill>
              <w14:schemeClr w14:val="tx1"/>
            </w14:solidFill>
          </w14:textFill>
        </w:rPr>
        <w:t>工作</w:t>
      </w:r>
      <w:r>
        <w:rPr>
          <w:rFonts w:ascii="宋体" w:hAnsi="宋体"/>
          <w:color w:val="000000" w:themeColor="text1"/>
          <w:kern w:val="0"/>
          <w:sz w:val="24"/>
          <w14:textFill>
            <w14:solidFill>
              <w14:schemeClr w14:val="tx1"/>
            </w14:solidFill>
          </w14:textFill>
        </w:rPr>
        <w:t>要求或文件提交的时限要求进行考核，逾期按5000元/天计算违约金，累计计算。</w:t>
      </w:r>
      <w:bookmarkEnd w:id="716"/>
      <w:bookmarkEnd w:id="717"/>
      <w:bookmarkEnd w:id="718"/>
      <w:bookmarkEnd w:id="719"/>
      <w:bookmarkEnd w:id="720"/>
      <w:bookmarkEnd w:id="721"/>
      <w:bookmarkEnd w:id="722"/>
    </w:p>
    <w:bookmarkEnd w:id="723"/>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因承包人原因造成工期延误，逾</w:t>
      </w:r>
      <w:bookmarkStart w:id="724" w:name="_Toc312678014"/>
      <w:bookmarkStart w:id="725" w:name="_Toc318581171"/>
      <w:r>
        <w:rPr>
          <w:rFonts w:ascii="宋体" w:hAnsi="宋体"/>
          <w:color w:val="000000" w:themeColor="text1"/>
          <w:kern w:val="0"/>
          <w:sz w:val="24"/>
          <w14:textFill>
            <w14:solidFill>
              <w14:schemeClr w14:val="tx1"/>
            </w14:solidFill>
          </w14:textFill>
        </w:rPr>
        <w:t>期竣工违约金的上限</w:t>
      </w:r>
      <w:r>
        <w:rPr>
          <w:rFonts w:hint="eastAsia" w:ascii="宋体" w:hAnsi="宋体"/>
          <w:color w:val="000000" w:themeColor="text1"/>
          <w:kern w:val="0"/>
          <w:sz w:val="24"/>
          <w14:textFill>
            <w14:solidFill>
              <w14:schemeClr w14:val="tx1"/>
            </w14:solidFill>
          </w14:textFill>
        </w:rPr>
        <w:t>累计计算，无上限。</w:t>
      </w:r>
    </w:p>
    <w:bookmarkEnd w:id="724"/>
    <w:bookmarkEnd w:id="725"/>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w:t>
      </w:r>
      <w:bookmarkStart w:id="726" w:name="_Toc300934971"/>
      <w:bookmarkStart w:id="727" w:name="_Toc297216178"/>
      <w:bookmarkStart w:id="728" w:name="_Toc303539128"/>
      <w:bookmarkStart w:id="729" w:name="_Toc312678015"/>
      <w:bookmarkStart w:id="730" w:name="_Toc297123519"/>
      <w:bookmarkStart w:id="731" w:name="_Toc304295549"/>
      <w:r>
        <w:rPr>
          <w:rFonts w:ascii="宋体" w:hAnsi="宋体"/>
          <w:color w:val="000000" w:themeColor="text1"/>
          <w:kern w:val="0"/>
          <w:sz w:val="24"/>
          <w14:textFill>
            <w14:solidFill>
              <w14:schemeClr w14:val="tx1"/>
            </w14:solidFill>
          </w14:textFill>
        </w:rPr>
        <w:t>.6 不</w:t>
      </w:r>
      <w:bookmarkEnd w:id="726"/>
      <w:bookmarkEnd w:id="727"/>
      <w:bookmarkEnd w:id="728"/>
      <w:bookmarkEnd w:id="729"/>
      <w:bookmarkEnd w:id="730"/>
      <w:bookmarkEnd w:id="731"/>
      <w:r>
        <w:rPr>
          <w:rFonts w:ascii="宋体" w:hAnsi="宋体"/>
          <w:color w:val="000000" w:themeColor="text1"/>
          <w:kern w:val="0"/>
          <w:sz w:val="24"/>
          <w14:textFill>
            <w14:solidFill>
              <w14:schemeClr w14:val="tx1"/>
            </w14:solidFill>
          </w14:textFill>
        </w:rPr>
        <w:t>利物质条件</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bookmarkStart w:id="732" w:name="_Toc300934972"/>
      <w:bookmarkStart w:id="733" w:name="_Toc318581172"/>
      <w:bookmarkStart w:id="734" w:name="_Toc312678016"/>
      <w:bookmarkStart w:id="735" w:name="_Toc303539129"/>
      <w:bookmarkStart w:id="736" w:name="_Toc297123520"/>
      <w:bookmarkStart w:id="737" w:name="_Toc304295550"/>
      <w:bookmarkStart w:id="738" w:name="_Toc297216179"/>
      <w:r>
        <w:rPr>
          <w:rFonts w:ascii="宋体" w:hAnsi="宋体"/>
          <w:color w:val="000000" w:themeColor="text1"/>
          <w:kern w:val="0"/>
          <w:sz w:val="24"/>
          <w14:textFill>
            <w14:solidFill>
              <w14:schemeClr w14:val="tx1"/>
            </w14:solidFill>
          </w14:textFill>
        </w:rPr>
        <w:t>不利物质条件的其他情形和有关约定：</w:t>
      </w:r>
      <w:r>
        <w:rPr>
          <w:rFonts w:hint="eastAsia" w:ascii="宋体" w:hAnsi="宋体" w:cs="仿宋"/>
          <w:color w:val="000000" w:themeColor="text1"/>
          <w:sz w:val="24"/>
          <w:u w:val="single"/>
          <w14:textFill>
            <w14:solidFill>
              <w14:schemeClr w14:val="tx1"/>
            </w14:solidFill>
          </w14:textFill>
        </w:rPr>
        <w:t>按通用合同条款</w:t>
      </w:r>
      <w:r>
        <w:rPr>
          <w:rFonts w:ascii="宋体" w:hAnsi="宋体" w:cs="仿宋"/>
          <w:color w:val="000000" w:themeColor="text1"/>
          <w:sz w:val="24"/>
          <w:u w:val="single"/>
          <w14:textFill>
            <w14:solidFill>
              <w14:schemeClr w14:val="tx1"/>
            </w14:solidFill>
          </w14:textFill>
        </w:rPr>
        <w:t>7.6条执行</w:t>
      </w:r>
      <w:r>
        <w:rPr>
          <w:rFonts w:ascii="宋体" w:hAnsi="宋体"/>
          <w:color w:val="000000" w:themeColor="text1"/>
          <w:kern w:val="0"/>
          <w:sz w:val="24"/>
          <w14:textFill>
            <w14:solidFill>
              <w14:schemeClr w14:val="tx1"/>
            </w14:solidFill>
          </w14:textFill>
        </w:rPr>
        <w:t>。</w:t>
      </w:r>
    </w:p>
    <w:bookmarkEnd w:id="732"/>
    <w:bookmarkEnd w:id="733"/>
    <w:bookmarkEnd w:id="734"/>
    <w:bookmarkEnd w:id="735"/>
    <w:bookmarkEnd w:id="736"/>
    <w:bookmarkEnd w:id="737"/>
    <w:bookmarkEnd w:id="738"/>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w:t>
      </w:r>
      <w:bookmarkStart w:id="739" w:name="_Toc297123521"/>
      <w:bookmarkStart w:id="740" w:name="_Toc297216180"/>
      <w:bookmarkStart w:id="741" w:name="_Toc303539130"/>
      <w:bookmarkStart w:id="742" w:name="_Toc304295551"/>
      <w:bookmarkStart w:id="743" w:name="_Toc312678017"/>
      <w:bookmarkStart w:id="744" w:name="_Toc300934973"/>
      <w:r>
        <w:rPr>
          <w:rFonts w:ascii="宋体" w:hAnsi="宋体"/>
          <w:color w:val="000000" w:themeColor="text1"/>
          <w:kern w:val="0"/>
          <w:sz w:val="24"/>
          <w14:textFill>
            <w14:solidFill>
              <w14:schemeClr w14:val="tx1"/>
            </w14:solidFill>
          </w14:textFill>
        </w:rPr>
        <w:t>.7异常恶劣的气候条件</w:t>
      </w:r>
    </w:p>
    <w:bookmarkEnd w:id="739"/>
    <w:bookmarkEnd w:id="740"/>
    <w:bookmarkEnd w:id="741"/>
    <w:bookmarkEnd w:id="742"/>
    <w:bookmarkEnd w:id="743"/>
    <w:bookmarkEnd w:id="744"/>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发包人和承包人同意以下情形视为异常恶劣的气候条件：</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（1）24小时内降水量达到99.9mm的暴雨；</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（2）风速达到8级；</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（3）日气温超过39°或低于零下10°。</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7.9 提前竣工的奖励</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7.9.2提前竣工的奖励：</w:t>
      </w:r>
      <w:r>
        <w:rPr>
          <w:rFonts w:hint="eastAsia" w:ascii="宋体" w:hAnsi="宋体"/>
          <w:color w:val="000000" w:themeColor="text1"/>
          <w:kern w:val="0"/>
          <w:sz w:val="24"/>
          <w:u w:val="single"/>
          <w14:textFill>
            <w14:solidFill>
              <w14:schemeClr w14:val="tx1"/>
            </w14:solidFill>
          </w14:textFill>
        </w:rPr>
        <w:t>无</w:t>
      </w:r>
      <w:r>
        <w:rPr>
          <w:rFonts w:ascii="宋体" w:hAnsi="宋体"/>
          <w:color w:val="000000" w:themeColor="text1"/>
          <w:kern w:val="0"/>
          <w:sz w:val="24"/>
          <w14:textFill>
            <w14:solidFill>
              <w14:schemeClr w14:val="tx1"/>
            </w14:solidFill>
          </w14:textFill>
        </w:rPr>
        <w:t>。</w:t>
      </w:r>
    </w:p>
    <w:p>
      <w:pPr>
        <w:spacing w:line="360" w:lineRule="auto"/>
        <w:ind w:firstLine="482" w:firstLineChars="200"/>
        <w:jc w:val="left"/>
        <w:rPr>
          <w:rFonts w:ascii="宋体" w:hAnsi="宋体"/>
          <w:b/>
          <w:color w:val="000000" w:themeColor="text1"/>
          <w:sz w:val="24"/>
          <w14:textFill>
            <w14:solidFill>
              <w14:schemeClr w14:val="tx1"/>
            </w14:solidFill>
          </w14:textFill>
        </w:rPr>
      </w:pPr>
      <w:bookmarkStart w:id="745" w:name="_Toc351203640"/>
      <w:r>
        <w:rPr>
          <w:rFonts w:ascii="宋体" w:hAnsi="宋体"/>
          <w:b/>
          <w:color w:val="000000" w:themeColor="text1"/>
          <w:sz w:val="24"/>
          <w14:textFill>
            <w14:solidFill>
              <w14:schemeClr w14:val="tx1"/>
            </w14:solidFill>
          </w14:textFill>
        </w:rPr>
        <w:t>8. 材料与设备</w:t>
      </w:r>
      <w:bookmarkEnd w:id="745"/>
    </w:p>
    <w:bookmarkEnd w:id="678"/>
    <w:bookmarkEnd w:id="679"/>
    <w:bookmarkEnd w:id="680"/>
    <w:bookmarkEnd w:id="681"/>
    <w:bookmarkEnd w:id="682"/>
    <w:bookmarkEnd w:id="683"/>
    <w:bookmarkEnd w:id="684"/>
    <w:bookmarkEnd w:id="685"/>
    <w:bookmarkEnd w:id="686"/>
    <w:bookmarkEnd w:id="687"/>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8</w:t>
      </w:r>
      <w:bookmarkStart w:id="746" w:name="_Toc292559877"/>
      <w:bookmarkStart w:id="747" w:name="_Toc304295556"/>
      <w:bookmarkStart w:id="748" w:name="_Toc312677493"/>
      <w:bookmarkStart w:id="749" w:name="_Toc292559372"/>
      <w:bookmarkStart w:id="750" w:name="_Toc297048353"/>
      <w:bookmarkStart w:id="751" w:name="_Toc300934979"/>
      <w:bookmarkStart w:id="752" w:name="_Toc296944506"/>
      <w:bookmarkStart w:id="753" w:name="_Toc297120467"/>
      <w:bookmarkStart w:id="754" w:name="_Toc296890995"/>
      <w:bookmarkStart w:id="755" w:name="_Toc296891207"/>
      <w:bookmarkStart w:id="756" w:name="_Toc280868654"/>
      <w:bookmarkStart w:id="757" w:name="_Toc297123527"/>
      <w:bookmarkStart w:id="758" w:name="_Toc297216186"/>
      <w:bookmarkStart w:id="759" w:name="_Toc303539136"/>
      <w:bookmarkStart w:id="760" w:name="_Toc296503167"/>
      <w:bookmarkStart w:id="761" w:name="_Toc296346668"/>
      <w:bookmarkStart w:id="762" w:name="_Toc312678019"/>
      <w:bookmarkStart w:id="763" w:name="_Toc296347166"/>
      <w:r>
        <w:rPr>
          <w:rFonts w:ascii="宋体" w:hAnsi="宋体"/>
          <w:color w:val="000000" w:themeColor="text1"/>
          <w:kern w:val="0"/>
          <w:sz w:val="24"/>
          <w14:textFill>
            <w14:solidFill>
              <w14:schemeClr w14:val="tx1"/>
            </w14:solidFill>
          </w14:textFill>
        </w:rPr>
        <w:t>.4材料与工程设备的保管与使用</w:t>
      </w:r>
    </w:p>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8</w:t>
      </w:r>
      <w:bookmarkStart w:id="764" w:name="_Toc292559373"/>
      <w:bookmarkStart w:id="765" w:name="_Toc292559878"/>
      <w:r>
        <w:rPr>
          <w:rFonts w:ascii="宋体" w:hAnsi="宋体"/>
          <w:color w:val="000000" w:themeColor="text1"/>
          <w:kern w:val="0"/>
          <w:sz w:val="24"/>
          <w14:textFill>
            <w14:solidFill>
              <w14:schemeClr w14:val="tx1"/>
            </w14:solidFill>
          </w14:textFill>
        </w:rPr>
        <w:t>.4.1发包人供应的材料设备的保管费用的承担：</w:t>
      </w:r>
      <w:bookmarkEnd w:id="764"/>
      <w:bookmarkEnd w:id="765"/>
      <w:r>
        <w:rPr>
          <w:rFonts w:hint="eastAsia" w:ascii="宋体" w:hAnsi="宋体" w:cs="仿宋"/>
          <w:bCs/>
          <w:color w:val="000000" w:themeColor="text1"/>
          <w:sz w:val="24"/>
          <w:u w:val="single"/>
          <w14:textFill>
            <w14:solidFill>
              <w14:schemeClr w14:val="tx1"/>
            </w14:solidFill>
          </w14:textFill>
        </w:rPr>
        <w:t>本工程所使用的材料由承包人自行采购，承包人承担采购保管费用。</w:t>
      </w:r>
    </w:p>
    <w:p>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 xml:space="preserve">8.4.2 </w:t>
      </w:r>
      <w:r>
        <w:rPr>
          <w:rFonts w:hint="eastAsia" w:ascii="宋体" w:hAnsi="宋体" w:cs="仿宋"/>
          <w:color w:val="000000" w:themeColor="text1"/>
          <w:sz w:val="24"/>
          <w14:textFill>
            <w14:solidFill>
              <w14:schemeClr w14:val="tx1"/>
            </w14:solidFill>
          </w14:textFill>
        </w:rPr>
        <w:t>承包人采购的材料设备：</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本工程所使用的材料及设备原则上由承包人自行采购，所购材料及设备必须符合设计要求，并经监理验收后方可使用。对材料、设备和建材制品，承包人必须提供生产厂家相关产品的生产许可证、强制认证书、质量证书和产品材料清单，如需检测的还应提供相应的检测报告，并经发包人、监理工程师看样，书面认可后方可订货使用，以确保工程质量，杜绝不合格材料及设备进场。进口材料及设备除提交以上条款要求的以外，还需要提交原产地证明、报关单、完税证明。</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（2）不符合设计和质量标准要求的材料及设备，发包方代表可拒绝验收，并由承包人按发包方代表要求的时间退出施工现场，重新采购符合要求的材料及设备，承担由此产生的费用，工期不予顺延。</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在合同履行过程中，承包人所采用材料的规格、型号、质量标准、档次等技术参数应不低于合同及审定的施工图预算中工程量清单中的相应要求。如承包人未经发包人同意降低所采用材料的规格、型号、质量标准、档次等技术参数，发包人有权拒付相应工程款项。施工用水费、电费，均由承包人承担。。</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（4）在工程实施过程中，承包人不能因与发包人在材料及设备价格审核、进度款审核等方面存在争议而拖延材料、设备采购及工程施工，否则造成的工期延误责任一律由承包人承担。</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（5）承包人原则上自行负责设备、材料的采购，但发包人对承包人所采购的设备、材料品牌拥有最终的决定权。</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（6）在保证材料、设备品质及价格更优的前提下，发包人保留另行确定供应方式的权利。</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bookmarkStart w:id="766" w:name="_Toc296503168"/>
      <w:bookmarkStart w:id="767" w:name="_Toc312677494"/>
      <w:bookmarkStart w:id="768" w:name="_Toc297120468"/>
      <w:bookmarkStart w:id="769" w:name="_Toc296891208"/>
      <w:bookmarkStart w:id="770" w:name="_Toc300934980"/>
      <w:bookmarkStart w:id="771" w:name="_Toc303539137"/>
      <w:bookmarkStart w:id="772" w:name="_Toc296890996"/>
      <w:bookmarkStart w:id="773" w:name="_Toc304295557"/>
      <w:bookmarkStart w:id="774" w:name="_Toc296944507"/>
      <w:bookmarkStart w:id="775" w:name="_Toc296347167"/>
      <w:bookmarkStart w:id="776" w:name="_Toc312678020"/>
      <w:bookmarkStart w:id="777" w:name="_Toc296346669"/>
      <w:bookmarkStart w:id="778" w:name="_Toc318581173"/>
      <w:bookmarkStart w:id="779" w:name="_Toc297123528"/>
      <w:bookmarkStart w:id="780" w:name="_Toc297216187"/>
      <w:bookmarkStart w:id="781" w:name="_Toc297048354"/>
      <w:bookmarkStart w:id="782" w:name="_Toc280868656"/>
      <w:bookmarkStart w:id="783" w:name="_Toc280868655"/>
      <w:bookmarkStart w:id="784" w:name="_Toc267251424"/>
      <w:r>
        <w:rPr>
          <w:rFonts w:ascii="宋体" w:hAnsi="宋体"/>
          <w:color w:val="000000" w:themeColor="text1"/>
          <w:kern w:val="0"/>
          <w:sz w:val="24"/>
          <w14:textFill>
            <w14:solidFill>
              <w14:schemeClr w14:val="tx1"/>
            </w14:solidFill>
          </w14:textFill>
        </w:rPr>
        <w:t>8.6 样品</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8.6.1</w:t>
      </w:r>
      <w:r>
        <w:rPr>
          <w:rFonts w:ascii="宋体" w:hAnsi="宋体"/>
          <w:color w:val="000000" w:themeColor="text1"/>
          <w:kern w:val="0"/>
          <w:sz w:val="24"/>
          <w14:textFill>
            <w14:solidFill>
              <w14:schemeClr w14:val="tx1"/>
            </w14:solidFill>
          </w14:textFill>
        </w:rPr>
        <w:tab/>
      </w:r>
      <w:r>
        <w:rPr>
          <w:rFonts w:ascii="宋体" w:hAnsi="宋体"/>
          <w:color w:val="000000" w:themeColor="text1"/>
          <w:kern w:val="0"/>
          <w:sz w:val="24"/>
          <w14:textFill>
            <w14:solidFill>
              <w14:schemeClr w14:val="tx1"/>
            </w14:solidFill>
          </w14:textFill>
        </w:rPr>
        <w:t>样品的报送</w:t>
      </w:r>
      <w:r>
        <w:rPr>
          <w:rFonts w:hint="eastAsia" w:ascii="宋体" w:hAnsi="宋体"/>
          <w:color w:val="000000" w:themeColor="text1"/>
          <w:kern w:val="0"/>
          <w:sz w:val="24"/>
          <w14:textFill>
            <w14:solidFill>
              <w14:schemeClr w14:val="tx1"/>
            </w14:solidFill>
          </w14:textFill>
        </w:rPr>
        <w:t>与封存</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需要承包人报送样品的材料或工程设备，样品的种类、名称、规格、数量要求：</w:t>
      </w:r>
      <w:r>
        <w:rPr>
          <w:rFonts w:hint="eastAsia" w:ascii="宋体" w:hAnsi="宋体"/>
          <w:color w:val="000000" w:themeColor="text1"/>
          <w:kern w:val="0"/>
          <w:sz w:val="24"/>
          <w:u w:val="single"/>
          <w14:textFill>
            <w14:solidFill>
              <w14:schemeClr w14:val="tx1"/>
            </w14:solidFill>
          </w14:textFill>
        </w:rPr>
        <w:t>材料必须提供产品合格证书、材质证明书、数量清单及产品生产厂家营业执照的复印件，主要材料均由发包人、承包人、监理方三方看样确认，未经发包人及监理公司认可的材料、设备不得进入现场使用，所有材料均应办理报验手续。</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8.8 施工设备和临时设施</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8.8.1 承包人提供的施工设备和临时设施</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关于修建临时设施费用承担的约定：</w:t>
      </w:r>
      <w:r>
        <w:rPr>
          <w:rFonts w:hint="eastAsia" w:ascii="宋体" w:hAnsi="宋体"/>
          <w:color w:val="000000" w:themeColor="text1"/>
          <w:kern w:val="0"/>
          <w:sz w:val="24"/>
          <w:u w:val="single"/>
          <w14:textFill>
            <w14:solidFill>
              <w14:schemeClr w14:val="tx1"/>
            </w14:solidFill>
          </w14:textFill>
        </w:rPr>
        <w:t>承包人应自行承担修建临时设施的费用</w:t>
      </w:r>
      <w:r>
        <w:rPr>
          <w:rFonts w:ascii="宋体" w:hAnsi="宋体"/>
          <w:color w:val="000000" w:themeColor="text1"/>
          <w:kern w:val="0"/>
          <w:sz w:val="24"/>
          <w14:textFill>
            <w14:solidFill>
              <w14:schemeClr w14:val="tx1"/>
            </w14:solidFill>
          </w14:textFill>
        </w:rPr>
        <w:t>。</w:t>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Pr>
        <w:spacing w:line="360" w:lineRule="auto"/>
        <w:ind w:firstLine="482" w:firstLineChars="200"/>
        <w:jc w:val="left"/>
        <w:rPr>
          <w:rFonts w:ascii="宋体" w:hAnsi="宋体"/>
          <w:b/>
          <w:color w:val="000000" w:themeColor="text1"/>
          <w:sz w:val="24"/>
          <w14:textFill>
            <w14:solidFill>
              <w14:schemeClr w14:val="tx1"/>
            </w14:solidFill>
          </w14:textFill>
        </w:rPr>
      </w:pPr>
      <w:bookmarkStart w:id="785" w:name="_Toc351203641"/>
      <w:r>
        <w:rPr>
          <w:rFonts w:ascii="宋体" w:hAnsi="宋体"/>
          <w:b/>
          <w:color w:val="000000" w:themeColor="text1"/>
          <w:sz w:val="24"/>
          <w14:textFill>
            <w14:solidFill>
              <w14:schemeClr w14:val="tx1"/>
            </w14:solidFill>
          </w14:textFill>
        </w:rPr>
        <w:t>9</w:t>
      </w:r>
      <w:bookmarkEnd w:id="782"/>
      <w:bookmarkEnd w:id="783"/>
      <w:bookmarkEnd w:id="784"/>
      <w:bookmarkStart w:id="786" w:name="_Toc304295559"/>
      <w:bookmarkStart w:id="787" w:name="_Toc300934982"/>
      <w:bookmarkStart w:id="788" w:name="_Toc312678021"/>
      <w:bookmarkStart w:id="789" w:name="_Toc312677495"/>
      <w:bookmarkStart w:id="790" w:name="_Toc297123533"/>
      <w:bookmarkStart w:id="791" w:name="_Toc297216192"/>
      <w:bookmarkStart w:id="792" w:name="_Toc303539139"/>
      <w:bookmarkStart w:id="793" w:name="_Toc296944512"/>
      <w:bookmarkStart w:id="794" w:name="_Toc292559378"/>
      <w:bookmarkStart w:id="795" w:name="_Toc267251427"/>
      <w:bookmarkStart w:id="796" w:name="_Toc296891213"/>
      <w:bookmarkStart w:id="797" w:name="_Toc292559883"/>
      <w:bookmarkStart w:id="798" w:name="_Toc297048359"/>
      <w:bookmarkStart w:id="799" w:name="_Toc267251428"/>
      <w:bookmarkStart w:id="800" w:name="_Toc296503173"/>
      <w:bookmarkStart w:id="801" w:name="_Toc296347172"/>
      <w:bookmarkStart w:id="802" w:name="_Toc296891001"/>
      <w:bookmarkStart w:id="803" w:name="_Toc296346674"/>
      <w:bookmarkStart w:id="804" w:name="_Toc297120473"/>
      <w:r>
        <w:rPr>
          <w:rFonts w:ascii="宋体" w:hAnsi="宋体"/>
          <w:b/>
          <w:color w:val="000000" w:themeColor="text1"/>
          <w:sz w:val="24"/>
          <w14:textFill>
            <w14:solidFill>
              <w14:schemeClr w14:val="tx1"/>
            </w14:solidFill>
          </w14:textFill>
        </w:rPr>
        <w:t>. 试验与检验</w:t>
      </w:r>
      <w:bookmarkEnd w:id="785"/>
    </w:p>
    <w:bookmarkEnd w:id="786"/>
    <w:bookmarkEnd w:id="787"/>
    <w:bookmarkEnd w:id="788"/>
    <w:bookmarkEnd w:id="789"/>
    <w:bookmarkEnd w:id="790"/>
    <w:bookmarkEnd w:id="791"/>
    <w:bookmarkEnd w:id="792"/>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9</w:t>
      </w:r>
      <w:bookmarkStart w:id="805" w:name="_Toc297216193"/>
      <w:bookmarkStart w:id="806" w:name="_Toc312678022"/>
      <w:bookmarkStart w:id="807" w:name="_Toc304295560"/>
      <w:bookmarkStart w:id="808" w:name="_Toc303539140"/>
      <w:bookmarkStart w:id="809" w:name="_Toc312677496"/>
      <w:bookmarkStart w:id="810" w:name="_Toc297123534"/>
      <w:bookmarkStart w:id="811" w:name="_Toc300934983"/>
      <w:r>
        <w:rPr>
          <w:rFonts w:ascii="宋体" w:hAnsi="宋体"/>
          <w:color w:val="000000" w:themeColor="text1"/>
          <w:kern w:val="0"/>
          <w:sz w:val="24"/>
          <w14:textFill>
            <w14:solidFill>
              <w14:schemeClr w14:val="tx1"/>
            </w14:solidFill>
          </w14:textFill>
        </w:rPr>
        <w:t>.1试验设备与试验人员</w:t>
      </w:r>
    </w:p>
    <w:bookmarkEnd w:id="805"/>
    <w:bookmarkEnd w:id="806"/>
    <w:bookmarkEnd w:id="807"/>
    <w:bookmarkEnd w:id="808"/>
    <w:bookmarkEnd w:id="809"/>
    <w:bookmarkEnd w:id="810"/>
    <w:bookmarkEnd w:id="811"/>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9</w:t>
      </w:r>
      <w:bookmarkStart w:id="812" w:name="_Toc304295561"/>
      <w:bookmarkStart w:id="813" w:name="_Toc303539141"/>
      <w:bookmarkStart w:id="814" w:name="_Toc312678023"/>
      <w:bookmarkStart w:id="815" w:name="_Toc297216194"/>
      <w:bookmarkStart w:id="816" w:name="_Toc300934984"/>
      <w:bookmarkStart w:id="817" w:name="_Toc312677497"/>
      <w:bookmarkStart w:id="818" w:name="_Toc297123535"/>
      <w:bookmarkStart w:id="819" w:name="_Toc318581174"/>
      <w:r>
        <w:rPr>
          <w:rFonts w:ascii="宋体" w:hAnsi="宋体"/>
          <w:color w:val="000000" w:themeColor="text1"/>
          <w:kern w:val="0"/>
          <w:sz w:val="24"/>
          <w14:textFill>
            <w14:solidFill>
              <w14:schemeClr w14:val="tx1"/>
            </w14:solidFill>
          </w14:textFill>
        </w:rPr>
        <w:t>.1.2 试验设备</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施工现场需要配置的试验场所：</w:t>
      </w:r>
      <w:bookmarkEnd w:id="812"/>
      <w:bookmarkEnd w:id="813"/>
      <w:bookmarkEnd w:id="814"/>
      <w:bookmarkEnd w:id="815"/>
      <w:bookmarkEnd w:id="816"/>
      <w:bookmarkEnd w:id="817"/>
      <w:bookmarkEnd w:id="818"/>
      <w:bookmarkStart w:id="820" w:name="_Toc300934985"/>
      <w:bookmarkStart w:id="821" w:name="_Toc312677498"/>
      <w:bookmarkStart w:id="822" w:name="_Toc304295562"/>
      <w:bookmarkStart w:id="823" w:name="_Toc297123536"/>
      <w:bookmarkStart w:id="824" w:name="_Toc297216195"/>
      <w:bookmarkStart w:id="825" w:name="_Toc303539142"/>
      <w:bookmarkStart w:id="826" w:name="_Toc312678024"/>
      <w:r>
        <w:rPr>
          <w:rFonts w:hint="eastAsia" w:ascii="宋体" w:hAnsi="宋体" w:cs="仿宋"/>
          <w:color w:val="000000" w:themeColor="text1"/>
          <w:sz w:val="24"/>
          <w:u w:val="single"/>
          <w14:textFill>
            <w14:solidFill>
              <w14:schemeClr w14:val="tx1"/>
            </w14:solidFill>
          </w14:textFill>
        </w:rPr>
        <w:t>按通用合同条款执行</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施工现场需要配备的试验设备：</w:t>
      </w:r>
      <w:r>
        <w:rPr>
          <w:rFonts w:hint="eastAsia" w:ascii="宋体" w:hAnsi="宋体" w:cs="仿宋"/>
          <w:color w:val="000000" w:themeColor="text1"/>
          <w:sz w:val="24"/>
          <w:u w:val="single"/>
          <w14:textFill>
            <w14:solidFill>
              <w14:schemeClr w14:val="tx1"/>
            </w14:solidFill>
          </w14:textFill>
        </w:rPr>
        <w:t>按通用合同条款执行</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施工现场需要具备的其他试验条件：</w:t>
      </w:r>
      <w:r>
        <w:rPr>
          <w:rFonts w:hint="eastAsia" w:ascii="宋体" w:hAnsi="宋体" w:cs="仿宋"/>
          <w:color w:val="000000" w:themeColor="text1"/>
          <w:sz w:val="24"/>
          <w:u w:val="single"/>
          <w14:textFill>
            <w14:solidFill>
              <w14:schemeClr w14:val="tx1"/>
            </w14:solidFill>
          </w14:textFill>
        </w:rPr>
        <w:t>按通用合同条款执行</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9.4 现场工艺试验</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现场工艺试验的有关约定：</w:t>
      </w:r>
      <w:r>
        <w:rPr>
          <w:rFonts w:hint="eastAsia" w:ascii="宋体" w:hAnsi="宋体" w:cs="仿宋"/>
          <w:color w:val="000000" w:themeColor="text1"/>
          <w:sz w:val="24"/>
          <w:u w:val="single"/>
          <w14:textFill>
            <w14:solidFill>
              <w14:schemeClr w14:val="tx1"/>
            </w14:solidFill>
          </w14:textFill>
        </w:rPr>
        <w:t>按通用合同条款执行</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所有隐蔽工序和影响安全的部位必须验收，其它按照国家规范标准执行。</w:t>
      </w:r>
    </w:p>
    <w:bookmarkEnd w:id="819"/>
    <w:bookmarkEnd w:id="820"/>
    <w:bookmarkEnd w:id="821"/>
    <w:bookmarkEnd w:id="822"/>
    <w:bookmarkEnd w:id="823"/>
    <w:bookmarkEnd w:id="824"/>
    <w:bookmarkEnd w:id="825"/>
    <w:bookmarkEnd w:id="826"/>
    <w:p>
      <w:pPr>
        <w:spacing w:line="360" w:lineRule="auto"/>
        <w:ind w:firstLine="482" w:firstLineChars="200"/>
        <w:jc w:val="left"/>
        <w:rPr>
          <w:rFonts w:ascii="宋体" w:hAnsi="宋体"/>
          <w:b/>
          <w:color w:val="000000" w:themeColor="text1"/>
          <w:sz w:val="24"/>
          <w14:textFill>
            <w14:solidFill>
              <w14:schemeClr w14:val="tx1"/>
            </w14:solidFill>
          </w14:textFill>
        </w:rPr>
      </w:pPr>
      <w:bookmarkStart w:id="827" w:name="_Toc351203642"/>
      <w:r>
        <w:rPr>
          <w:rFonts w:ascii="宋体" w:hAnsi="宋体"/>
          <w:b/>
          <w:color w:val="000000" w:themeColor="text1"/>
          <w:sz w:val="24"/>
          <w14:textFill>
            <w14:solidFill>
              <w14:schemeClr w14:val="tx1"/>
            </w14:solidFill>
          </w14:textFill>
        </w:rPr>
        <w:t>1</w:t>
      </w:r>
      <w:bookmarkEnd w:id="793"/>
      <w:bookmarkEnd w:id="794"/>
      <w:bookmarkEnd w:id="795"/>
      <w:bookmarkEnd w:id="796"/>
      <w:bookmarkEnd w:id="797"/>
      <w:bookmarkEnd w:id="798"/>
      <w:bookmarkEnd w:id="799"/>
      <w:bookmarkEnd w:id="800"/>
      <w:bookmarkEnd w:id="801"/>
      <w:bookmarkEnd w:id="802"/>
      <w:bookmarkEnd w:id="803"/>
      <w:bookmarkEnd w:id="804"/>
      <w:bookmarkStart w:id="828" w:name="_Toc303539146"/>
      <w:bookmarkStart w:id="829" w:name="_Toc304295566"/>
      <w:bookmarkStart w:id="830" w:name="_Toc297048379"/>
      <w:bookmarkStart w:id="831" w:name="_Toc296891021"/>
      <w:bookmarkStart w:id="832" w:name="_Toc292559903"/>
      <w:bookmarkStart w:id="833" w:name="_Toc297123540"/>
      <w:bookmarkStart w:id="834" w:name="_Toc296503193"/>
      <w:bookmarkStart w:id="835" w:name="_Toc296347192"/>
      <w:bookmarkStart w:id="836" w:name="_Toc296891233"/>
      <w:bookmarkStart w:id="837" w:name="_Toc300934989"/>
      <w:bookmarkStart w:id="838" w:name="_Toc292559398"/>
      <w:bookmarkStart w:id="839" w:name="_Toc297120493"/>
      <w:bookmarkStart w:id="840" w:name="_Toc297216199"/>
      <w:bookmarkStart w:id="841" w:name="_Toc296346694"/>
      <w:bookmarkStart w:id="842" w:name="_Toc296944532"/>
      <w:bookmarkStart w:id="843" w:name="_Toc312677499"/>
      <w:bookmarkStart w:id="844" w:name="_Toc312678025"/>
      <w:bookmarkStart w:id="845" w:name="_Toc267251433"/>
      <w:bookmarkStart w:id="846" w:name="_Toc267251441"/>
      <w:bookmarkStart w:id="847" w:name="_Toc267251440"/>
      <w:bookmarkStart w:id="848" w:name="_Toc267251439"/>
      <w:bookmarkStart w:id="849" w:name="_Toc267251435"/>
      <w:bookmarkStart w:id="850" w:name="_Toc267251437"/>
      <w:r>
        <w:rPr>
          <w:rFonts w:ascii="宋体" w:hAnsi="宋体"/>
          <w:b/>
          <w:color w:val="000000" w:themeColor="text1"/>
          <w:sz w:val="24"/>
          <w14:textFill>
            <w14:solidFill>
              <w14:schemeClr w14:val="tx1"/>
            </w14:solidFill>
          </w14:textFill>
        </w:rPr>
        <w:t>0. 变更</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bookmarkEnd w:id="843"/>
    <w:bookmarkEnd w:id="844"/>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bookmarkStart w:id="851" w:name="_Toc296891022"/>
      <w:bookmarkStart w:id="852" w:name="_Toc297120494"/>
      <w:bookmarkStart w:id="853" w:name="_Toc296891234"/>
      <w:bookmarkStart w:id="854" w:name="_Toc292559399"/>
      <w:bookmarkStart w:id="855" w:name="_Toc296347193"/>
      <w:bookmarkStart w:id="856" w:name="_Toc297123541"/>
      <w:bookmarkStart w:id="857" w:name="_Toc297216200"/>
      <w:bookmarkStart w:id="858" w:name="_Toc296503194"/>
      <w:bookmarkStart w:id="859" w:name="_Toc300934990"/>
      <w:bookmarkStart w:id="860" w:name="_Toc292559904"/>
      <w:bookmarkStart w:id="861" w:name="_Toc304295567"/>
      <w:bookmarkStart w:id="862" w:name="_Toc297048380"/>
      <w:bookmarkStart w:id="863" w:name="_Toc296944533"/>
      <w:bookmarkStart w:id="864" w:name="_Toc312677500"/>
      <w:bookmarkStart w:id="865" w:name="_Toc303539147"/>
      <w:bookmarkStart w:id="866" w:name="_Toc312678026"/>
      <w:bookmarkStart w:id="867" w:name="_Toc296346695"/>
      <w:r>
        <w:rPr>
          <w:rFonts w:ascii="宋体" w:hAnsi="宋体"/>
          <w:color w:val="000000" w:themeColor="text1"/>
          <w:kern w:val="0"/>
          <w:sz w:val="24"/>
          <w14:textFill>
            <w14:solidFill>
              <w14:schemeClr w14:val="tx1"/>
            </w14:solidFill>
          </w14:textFill>
        </w:rPr>
        <w:t>0.1变更的范围</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关于变更的范围的约定：</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执行通用条款，并增加如下条款：</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非承包人原因引起的设计变更项目以设计院出具并经发包人、监理方确认的设计变更通知书为准。其它变更项目执行“通用条款”的规定。</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10.</w:t>
      </w:r>
      <w:r>
        <w:rPr>
          <w:rFonts w:hint="eastAsia" w:ascii="宋体" w:hAnsi="宋体"/>
          <w:color w:val="000000" w:themeColor="text1"/>
          <w:kern w:val="0"/>
          <w:sz w:val="24"/>
          <w14:textFill>
            <w14:solidFill>
              <w14:schemeClr w14:val="tx1"/>
            </w14:solidFill>
          </w14:textFill>
        </w:rPr>
        <w:t>3 变更程序</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按照《昆明经济技术开发区规划建设局造价管理办法》相关规定执行</w:t>
      </w:r>
      <w:r>
        <w:rPr>
          <w:rFonts w:ascii="宋体" w:hAnsi="宋体"/>
          <w:color w:val="000000" w:themeColor="text1"/>
          <w:kern w:val="0"/>
          <w:sz w:val="24"/>
          <w:u w:val="single"/>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10.4 变更估价</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10.4.1 变更估价原则</w:t>
      </w:r>
    </w:p>
    <w:p>
      <w:pPr>
        <w:widowControl/>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关于变更估价的约定</w:t>
      </w:r>
      <w:r>
        <w:rPr>
          <w:rFonts w:hint="eastAsia" w:ascii="宋体" w:hAnsi="宋体"/>
          <w:color w:val="000000" w:themeColor="text1"/>
          <w:kern w:val="0"/>
          <w:sz w:val="24"/>
          <w14:textFill>
            <w14:solidFill>
              <w14:schemeClr w14:val="tx1"/>
            </w14:solidFill>
          </w14:textFill>
        </w:rPr>
        <w:t>：</w:t>
      </w:r>
      <w:r>
        <w:rPr>
          <w:rFonts w:hint="eastAsia" w:ascii="宋体" w:hAnsi="宋体" w:cs="仿宋"/>
          <w:color w:val="000000" w:themeColor="text1"/>
          <w:sz w:val="24"/>
          <w:u w:val="single"/>
          <w14:textFill>
            <w14:solidFill>
              <w14:schemeClr w14:val="tx1"/>
            </w14:solidFill>
          </w14:textFill>
        </w:rPr>
        <w:t>参照专用条款</w:t>
      </w:r>
      <w:r>
        <w:rPr>
          <w:rFonts w:ascii="宋体" w:hAnsi="宋体" w:cs="仿宋"/>
          <w:color w:val="000000" w:themeColor="text1"/>
          <w:sz w:val="24"/>
          <w:u w:val="single"/>
          <w14:textFill>
            <w14:solidFill>
              <w14:schemeClr w14:val="tx1"/>
            </w14:solidFill>
          </w14:textFill>
        </w:rPr>
        <w:t>11.3</w:t>
      </w:r>
      <w:r>
        <w:rPr>
          <w:rFonts w:ascii="宋体" w:hAnsi="宋体"/>
          <w:color w:val="000000" w:themeColor="text1"/>
          <w:sz w:val="24"/>
          <w14:textFill>
            <w14:solidFill>
              <w14:schemeClr w14:val="tx1"/>
            </w14:solidFill>
          </w14:textFill>
        </w:rPr>
        <w:t>新增单价的确定</w:t>
      </w:r>
      <w:r>
        <w:rPr>
          <w:rFonts w:hint="eastAsia" w:ascii="宋体" w:hAnsi="宋体"/>
          <w:color w:val="000000" w:themeColor="text1"/>
          <w:sz w:val="24"/>
          <w14:textFill>
            <w14:solidFill>
              <w14:schemeClr w14:val="tx1"/>
            </w14:solidFill>
          </w14:textFill>
        </w:rPr>
        <w:t>执行。</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Start w:id="868" w:name="_Toc297216203"/>
      <w:bookmarkStart w:id="869" w:name="_Toc297123544"/>
      <w:bookmarkStart w:id="870" w:name="_Toc296347196"/>
      <w:bookmarkStart w:id="871" w:name="_Toc297048383"/>
      <w:bookmarkStart w:id="872" w:name="_Toc296891025"/>
      <w:bookmarkStart w:id="873" w:name="_Toc292559402"/>
      <w:bookmarkStart w:id="874" w:name="_Toc296891237"/>
      <w:bookmarkStart w:id="875" w:name="_Toc296944536"/>
      <w:bookmarkStart w:id="876" w:name="_Toc300934993"/>
      <w:bookmarkStart w:id="877" w:name="_Toc292559907"/>
      <w:bookmarkStart w:id="878" w:name="_Toc297120497"/>
      <w:bookmarkStart w:id="879" w:name="_Toc296346698"/>
      <w:bookmarkStart w:id="880" w:name="_Toc296503197"/>
      <w:bookmarkStart w:id="881" w:name="_Toc303539150"/>
      <w:bookmarkStart w:id="882" w:name="_Toc312678029"/>
      <w:bookmarkStart w:id="883" w:name="_Toc304295570"/>
      <w:bookmarkStart w:id="884" w:name="_Toc312677503"/>
      <w:r>
        <w:rPr>
          <w:rFonts w:ascii="宋体" w:hAnsi="宋体"/>
          <w:color w:val="000000" w:themeColor="text1"/>
          <w:kern w:val="0"/>
          <w:sz w:val="24"/>
          <w14:textFill>
            <w14:solidFill>
              <w14:schemeClr w14:val="tx1"/>
            </w14:solidFill>
          </w14:textFill>
        </w:rPr>
        <w:t>0.5承</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Start w:id="885" w:name="_Toc297216204"/>
      <w:bookmarkStart w:id="886" w:name="_Toc296891031"/>
      <w:bookmarkStart w:id="887" w:name="_Toc292559408"/>
      <w:bookmarkStart w:id="888" w:name="_Toc296347202"/>
      <w:bookmarkStart w:id="889" w:name="_Toc297120503"/>
      <w:bookmarkStart w:id="890" w:name="_Toc296346704"/>
      <w:bookmarkStart w:id="891" w:name="_Toc296503203"/>
      <w:bookmarkStart w:id="892" w:name="_Toc292559913"/>
      <w:bookmarkStart w:id="893" w:name="_Toc296891243"/>
      <w:bookmarkStart w:id="894" w:name="_Toc297048389"/>
      <w:bookmarkStart w:id="895" w:name="_Toc296944542"/>
      <w:bookmarkStart w:id="896" w:name="_Toc300934994"/>
      <w:bookmarkStart w:id="897" w:name="_Toc303539151"/>
      <w:bookmarkStart w:id="898" w:name="_Toc297123545"/>
      <w:r>
        <w:rPr>
          <w:rFonts w:ascii="宋体" w:hAnsi="宋体"/>
          <w:color w:val="000000" w:themeColor="text1"/>
          <w:kern w:val="0"/>
          <w:sz w:val="24"/>
          <w14:textFill>
            <w14:solidFill>
              <w14:schemeClr w14:val="tx1"/>
            </w14:solidFill>
          </w14:textFill>
        </w:rPr>
        <w:t>包人的合理化建议</w:t>
      </w:r>
    </w:p>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监理人审查承包人合理化建议的期限：</w:t>
      </w:r>
      <w:r>
        <w:rPr>
          <w:rFonts w:hint="eastAsia" w:ascii="宋体" w:hAnsi="宋体"/>
          <w:color w:val="000000" w:themeColor="text1"/>
          <w:kern w:val="0"/>
          <w:sz w:val="24"/>
          <w:u w:val="single"/>
          <w14:textFill>
            <w14:solidFill>
              <w14:schemeClr w14:val="tx1"/>
            </w14:solidFill>
          </w14:textFill>
        </w:rPr>
        <w:t>收到承包人提交的合理化建议后2天内审查完毕并报送发包人</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发包人审批承包人合理化建议的期限：</w:t>
      </w:r>
      <w:r>
        <w:rPr>
          <w:rFonts w:hint="eastAsia" w:ascii="宋体" w:hAnsi="宋体"/>
          <w:color w:val="000000" w:themeColor="text1"/>
          <w:kern w:val="0"/>
          <w:sz w:val="24"/>
          <w:u w:val="single"/>
          <w14:textFill>
            <w14:solidFill>
              <w14:schemeClr w14:val="tx1"/>
            </w14:solidFill>
          </w14:textFill>
        </w:rPr>
        <w:t>收到监理人报送的合理化建议后3天内审批完毕</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承</w:t>
      </w:r>
      <w:bookmarkStart w:id="899" w:name="_Toc292559409"/>
      <w:bookmarkStart w:id="900" w:name="_Toc296346705"/>
      <w:bookmarkStart w:id="901" w:name="_Toc297216205"/>
      <w:bookmarkStart w:id="902" w:name="_Toc296503204"/>
      <w:bookmarkStart w:id="903" w:name="_Toc296944543"/>
      <w:bookmarkStart w:id="904" w:name="_Toc297120504"/>
      <w:bookmarkStart w:id="905" w:name="_Toc304295571"/>
      <w:bookmarkStart w:id="906" w:name="_Toc303539152"/>
      <w:bookmarkStart w:id="907" w:name="_Toc297123546"/>
      <w:bookmarkStart w:id="908" w:name="_Toc296891032"/>
      <w:bookmarkStart w:id="909" w:name="_Toc300934995"/>
      <w:bookmarkStart w:id="910" w:name="_Toc312678030"/>
      <w:bookmarkStart w:id="911" w:name="_Toc297048390"/>
      <w:bookmarkStart w:id="912" w:name="_Toc296891244"/>
      <w:bookmarkStart w:id="913" w:name="_Toc296347203"/>
      <w:bookmarkStart w:id="914" w:name="_Toc292559914"/>
      <w:bookmarkStart w:id="915" w:name="_Toc312677504"/>
      <w:bookmarkStart w:id="916" w:name="_Toc318581175"/>
      <w:r>
        <w:rPr>
          <w:rFonts w:ascii="宋体" w:hAnsi="宋体"/>
          <w:color w:val="000000" w:themeColor="text1"/>
          <w:kern w:val="0"/>
          <w:sz w:val="24"/>
          <w14:textFill>
            <w14:solidFill>
              <w14:schemeClr w14:val="tx1"/>
            </w14:solidFill>
          </w14:textFill>
        </w:rPr>
        <w:t>包人提出的合理化建议降低了合同价格或者提高了工程经济效益的奖励的方法和金额为：</w:t>
      </w:r>
      <w:r>
        <w:rPr>
          <w:rFonts w:hint="eastAsia" w:ascii="宋体" w:hAnsi="宋体"/>
          <w:color w:val="000000" w:themeColor="text1"/>
          <w:kern w:val="0"/>
          <w:sz w:val="24"/>
          <w:u w:val="single"/>
          <w14:textFill>
            <w14:solidFill>
              <w14:schemeClr w14:val="tx1"/>
            </w14:solidFill>
          </w14:textFill>
        </w:rPr>
        <w:t>无</w:t>
      </w:r>
      <w:r>
        <w:rPr>
          <w:rFonts w:ascii="宋体" w:hAnsi="宋体"/>
          <w:color w:val="000000" w:themeColor="text1"/>
          <w:kern w:val="0"/>
          <w:sz w:val="24"/>
          <w14:textFill>
            <w14:solidFill>
              <w14:schemeClr w14:val="tx1"/>
            </w14:solidFill>
          </w14:textFill>
        </w:rPr>
        <w:t>。</w:t>
      </w:r>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bookmarkStart w:id="917" w:name="_Toc297216207"/>
      <w:bookmarkStart w:id="918" w:name="_Toc296347198"/>
      <w:bookmarkStart w:id="919" w:name="_Toc292559404"/>
      <w:bookmarkStart w:id="920" w:name="_Toc312678033"/>
      <w:bookmarkStart w:id="921" w:name="_Toc312677507"/>
      <w:bookmarkStart w:id="922" w:name="_Toc296891239"/>
      <w:bookmarkStart w:id="923" w:name="_Toc292559909"/>
      <w:bookmarkStart w:id="924" w:name="_Toc296944538"/>
      <w:bookmarkStart w:id="925" w:name="_Toc300934997"/>
      <w:bookmarkStart w:id="926" w:name="_Toc297048385"/>
      <w:bookmarkStart w:id="927" w:name="_Toc296346700"/>
      <w:bookmarkStart w:id="928" w:name="_Toc297123548"/>
      <w:bookmarkStart w:id="929" w:name="_Toc297120499"/>
      <w:bookmarkStart w:id="930" w:name="_Toc296891027"/>
      <w:bookmarkStart w:id="931" w:name="_Toc296503199"/>
      <w:bookmarkStart w:id="932" w:name="_Toc304295574"/>
      <w:bookmarkStart w:id="933" w:name="_Toc303539154"/>
      <w:r>
        <w:rPr>
          <w:rFonts w:ascii="宋体" w:hAnsi="宋体"/>
          <w:color w:val="000000" w:themeColor="text1"/>
          <w:kern w:val="0"/>
          <w:sz w:val="24"/>
          <w14:textFill>
            <w14:solidFill>
              <w14:schemeClr w14:val="tx1"/>
            </w14:solidFill>
          </w14:textFill>
        </w:rPr>
        <w:t>0.7 暂估价</w:t>
      </w:r>
    </w:p>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暂估价材料和工程设备的明细详见：</w:t>
      </w:r>
      <w:r>
        <w:rPr>
          <w:rFonts w:hint="eastAsia" w:ascii="宋体" w:hAnsi="宋体" w:cs="仿宋"/>
          <w:color w:val="000000" w:themeColor="text1"/>
          <w:sz w:val="24"/>
          <w:u w:val="single"/>
          <w14:textFill>
            <w14:solidFill>
              <w14:schemeClr w14:val="tx1"/>
            </w14:solidFill>
          </w14:textFill>
        </w:rPr>
        <w:t>经发包人及其委托的造价咨询单位审核确认的施工图预算中的《其他项目清单与计价汇总表》</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bookmarkStart w:id="934" w:name="_Toc312677509"/>
      <w:bookmarkStart w:id="935" w:name="_Toc318581177"/>
      <w:bookmarkStart w:id="936" w:name="_Toc312678035"/>
      <w:r>
        <w:rPr>
          <w:rFonts w:ascii="宋体" w:hAnsi="宋体"/>
          <w:color w:val="000000" w:themeColor="text1"/>
          <w:kern w:val="0"/>
          <w:sz w:val="24"/>
          <w14:textFill>
            <w14:solidFill>
              <w14:schemeClr w14:val="tx1"/>
            </w14:solidFill>
          </w14:textFill>
        </w:rPr>
        <w:t>0.7.1 依法必须招标的暂估价项目</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对于依法必须招标的暂估价项目的确认和批准采取第1种方式确定（详见通用条款</w:t>
      </w:r>
      <w:r>
        <w:rPr>
          <w:rFonts w:ascii="宋体" w:hAnsi="宋体"/>
          <w:color w:val="000000" w:themeColor="text1"/>
          <w:kern w:val="0"/>
          <w:sz w:val="24"/>
          <w14:textFill>
            <w14:solidFill>
              <w14:schemeClr w14:val="tx1"/>
            </w14:solidFill>
          </w14:textFill>
        </w:rPr>
        <w:t>10.7.1）</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但工程量清单及招标控制价须经发包人审核，招标完成后应以专业工程发包中标价为依据取代专业工程暂估价，调整合同价款。</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在保证材料、设备品质、工期要求及价格更优的前提下，发包人保留单独另行招标的权利，承包人应予以配合且不得拒绝。</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补充内容如下：</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（1）专业工程暂估价部分由承包人无条件配合设计单位进行限额深化设计。发包人委托的第三方造价咨询单位协助发包人确定标准计价材料设备选型。</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）由承包人提供工程量清单，并在专业暂估价限额内确定招标控制价。</w:t>
      </w:r>
    </w:p>
    <w:bookmarkEnd w:id="934"/>
    <w:bookmarkEnd w:id="935"/>
    <w:bookmarkEnd w:id="936"/>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10.7.2 不属于依法必须招标的暂估价项目</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对于不属于依法必须招标的暂估价项目的确认和批准采取第</w:t>
      </w:r>
      <w:r>
        <w:rPr>
          <w:rFonts w:ascii="宋体" w:hAnsi="宋体"/>
          <w:color w:val="000000" w:themeColor="text1"/>
          <w:kern w:val="0"/>
          <w:sz w:val="24"/>
          <w:u w:val="single"/>
          <w14:textFill>
            <w14:solidFill>
              <w14:schemeClr w14:val="tx1"/>
            </w14:solidFill>
          </w14:textFill>
        </w:rPr>
        <w:t>3</w:t>
      </w:r>
      <w:r>
        <w:rPr>
          <w:rFonts w:ascii="宋体" w:hAnsi="宋体"/>
          <w:color w:val="000000" w:themeColor="text1"/>
          <w:kern w:val="0"/>
          <w:sz w:val="24"/>
          <w14:textFill>
            <w14:solidFill>
              <w14:schemeClr w14:val="tx1"/>
            </w14:solidFill>
          </w14:textFill>
        </w:rPr>
        <w:t>种方式确定。</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第3种方式：</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承包人直接实施的暂估价项目</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承包人直接实施的暂估价项目的约定：承包人须报监理单位、造价单位审核确定后报发包人审批确认；计价原则按专用条款相关约定执行。</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10.8 暂列金额</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合同当事人关于暂列金额使用的约定：</w:t>
      </w:r>
      <w:r>
        <w:rPr>
          <w:rFonts w:hint="eastAsia" w:ascii="宋体" w:hAnsi="宋体"/>
          <w:color w:val="000000" w:themeColor="text1"/>
          <w:kern w:val="0"/>
          <w:sz w:val="24"/>
          <w:u w:val="single"/>
          <w14:textFill>
            <w14:solidFill>
              <w14:schemeClr w14:val="tx1"/>
            </w14:solidFill>
          </w14:textFill>
        </w:rPr>
        <w:t>执行《建设工程工程量清单计价规范》（GB50500—2013）</w:t>
      </w:r>
      <w:r>
        <w:rPr>
          <w:rFonts w:hint="eastAsia" w:ascii="宋体" w:hAnsi="宋体"/>
          <w:color w:val="000000" w:themeColor="text1"/>
          <w:kern w:val="0"/>
          <w:sz w:val="24"/>
          <w14:textFill>
            <w14:solidFill>
              <w14:schemeClr w14:val="tx1"/>
            </w14:solidFill>
          </w14:textFill>
        </w:rPr>
        <w:t>。</w:t>
      </w:r>
    </w:p>
    <w:p>
      <w:pPr>
        <w:spacing w:line="360" w:lineRule="auto"/>
        <w:ind w:firstLine="482" w:firstLineChars="200"/>
        <w:jc w:val="left"/>
        <w:rPr>
          <w:rFonts w:ascii="宋体" w:hAnsi="宋体"/>
          <w:b/>
          <w:color w:val="000000" w:themeColor="text1"/>
          <w:sz w:val="24"/>
          <w14:textFill>
            <w14:solidFill>
              <w14:schemeClr w14:val="tx1"/>
            </w14:solidFill>
          </w14:textFill>
        </w:rPr>
      </w:pPr>
      <w:bookmarkStart w:id="937" w:name="_Toc351203643"/>
      <w:r>
        <w:rPr>
          <w:rFonts w:ascii="宋体" w:hAnsi="宋体"/>
          <w:b/>
          <w:color w:val="000000" w:themeColor="text1"/>
          <w:sz w:val="24"/>
          <w14:textFill>
            <w14:solidFill>
              <w14:schemeClr w14:val="tx1"/>
            </w14:solidFill>
          </w14:textFill>
        </w:rPr>
        <w:t>11. 价格调整</w:t>
      </w:r>
      <w:bookmarkEnd w:id="937"/>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bookmarkStart w:id="938" w:name="_Toc312678039"/>
      <w:bookmarkStart w:id="939" w:name="_Toc296503201"/>
      <w:bookmarkStart w:id="940" w:name="_Toc297123550"/>
      <w:bookmarkStart w:id="941" w:name="_Toc292559406"/>
      <w:bookmarkStart w:id="942" w:name="_Toc300935000"/>
      <w:bookmarkStart w:id="943" w:name="_Toc297216209"/>
      <w:bookmarkStart w:id="944" w:name="_Toc296346702"/>
      <w:bookmarkStart w:id="945" w:name="_Toc297120501"/>
      <w:bookmarkStart w:id="946" w:name="_Toc296347200"/>
      <w:bookmarkStart w:id="947" w:name="_Toc304295577"/>
      <w:bookmarkStart w:id="948" w:name="_Toc297048387"/>
      <w:bookmarkStart w:id="949" w:name="_Toc296944540"/>
      <w:bookmarkStart w:id="950" w:name="_Toc292559911"/>
      <w:bookmarkStart w:id="951" w:name="_Toc296891029"/>
      <w:bookmarkStart w:id="952" w:name="_Toc296891241"/>
      <w:bookmarkStart w:id="953" w:name="_Toc303539157"/>
      <w:r>
        <w:rPr>
          <w:rFonts w:ascii="宋体" w:hAnsi="宋体"/>
          <w:color w:val="000000" w:themeColor="text1"/>
          <w:kern w:val="0"/>
          <w:sz w:val="24"/>
          <w14:textFill>
            <w14:solidFill>
              <w14:schemeClr w14:val="tx1"/>
            </w14:solidFill>
          </w14:textFill>
        </w:rPr>
        <w:t>11.1 市场价格波动引起的调整</w:t>
      </w:r>
    </w:p>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市场价格波动是否调整合同价格的约定：</w:t>
      </w:r>
    </w:p>
    <w:p>
      <w:pPr>
        <w:widowControl/>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经发包人委托的造价咨询单位审核，发承包双方确认的施工图预算中的材料价格风险按以下条款执行：</w:t>
      </w:r>
    </w:p>
    <w:p>
      <w:pPr>
        <w:widowControl/>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经发包人委托</w:t>
      </w:r>
      <w:r>
        <w:rPr>
          <w:rFonts w:hint="eastAsia" w:ascii="宋体" w:hAnsi="宋体"/>
          <w:color w:val="000000" w:themeColor="text1"/>
          <w:sz w:val="24"/>
          <w14:textFill>
            <w14:solidFill>
              <w14:schemeClr w14:val="tx1"/>
            </w14:solidFill>
          </w14:textFill>
        </w:rPr>
        <w:t>的</w:t>
      </w:r>
      <w:r>
        <w:rPr>
          <w:rFonts w:ascii="宋体" w:hAnsi="宋体"/>
          <w:color w:val="000000" w:themeColor="text1"/>
          <w:sz w:val="24"/>
          <w14:textFill>
            <w14:solidFill>
              <w14:schemeClr w14:val="tx1"/>
            </w14:solidFill>
          </w14:textFill>
        </w:rPr>
        <w:t>造价咨询</w:t>
      </w:r>
      <w:r>
        <w:rPr>
          <w:rFonts w:hint="eastAsia" w:ascii="宋体" w:hAnsi="宋体"/>
          <w:color w:val="000000" w:themeColor="text1"/>
          <w:sz w:val="24"/>
          <w14:textFill>
            <w14:solidFill>
              <w14:schemeClr w14:val="tx1"/>
            </w14:solidFill>
          </w14:textFill>
        </w:rPr>
        <w:t>单位</w:t>
      </w:r>
      <w:r>
        <w:rPr>
          <w:rFonts w:ascii="宋体" w:hAnsi="宋体"/>
          <w:color w:val="000000" w:themeColor="text1"/>
          <w:sz w:val="24"/>
          <w14:textFill>
            <w14:solidFill>
              <w14:schemeClr w14:val="tx1"/>
            </w14:solidFill>
          </w14:textFill>
        </w:rPr>
        <w:t>审核，发承包双方确认的</w:t>
      </w:r>
      <w:r>
        <w:rPr>
          <w:rFonts w:hint="eastAsia" w:ascii="宋体" w:hAnsi="宋体"/>
          <w:color w:val="000000" w:themeColor="text1"/>
          <w:sz w:val="24"/>
          <w14:textFill>
            <w14:solidFill>
              <w14:schemeClr w14:val="tx1"/>
            </w14:solidFill>
          </w14:textFill>
        </w:rPr>
        <w:t>施工图预算</w:t>
      </w:r>
      <w:r>
        <w:rPr>
          <w:rFonts w:ascii="宋体" w:hAnsi="宋体"/>
          <w:color w:val="000000" w:themeColor="text1"/>
          <w:sz w:val="24"/>
          <w14:textFill>
            <w14:solidFill>
              <w14:schemeClr w14:val="tx1"/>
            </w14:solidFill>
          </w14:textFill>
        </w:rPr>
        <w:t>采用固定单价，但合同履行期间的</w:t>
      </w:r>
      <w:r>
        <w:rPr>
          <w:rFonts w:hint="eastAsia" w:ascii="宋体" w:hAnsi="宋体"/>
          <w:color w:val="000000" w:themeColor="text1"/>
          <w:sz w:val="24"/>
          <w14:textFill>
            <w14:solidFill>
              <w14:schemeClr w14:val="tx1"/>
            </w14:solidFill>
          </w14:textFill>
        </w:rPr>
        <w:t>可调主要材料单价发生上涨或下降的情况，其幅度在±</w:t>
      </w:r>
      <w:r>
        <w:rPr>
          <w:rFonts w:ascii="宋体" w:hAnsi="宋体"/>
          <w:color w:val="000000" w:themeColor="text1"/>
          <w:sz w:val="24"/>
          <w14:textFill>
            <w14:solidFill>
              <w14:schemeClr w14:val="tx1"/>
            </w14:solidFill>
          </w14:textFill>
        </w:rPr>
        <w:t>5%以内（含5%）的，其价差由承包人承担或受益；幅度在±5%以外的，其超过部分的价差由发包人承担或受益。</w:t>
      </w:r>
      <w:r>
        <w:rPr>
          <w:rFonts w:hint="eastAsia" w:ascii="宋体" w:hAnsi="宋体"/>
          <w:color w:val="000000" w:themeColor="text1"/>
          <w:sz w:val="24"/>
          <w14:textFill>
            <w14:solidFill>
              <w14:schemeClr w14:val="tx1"/>
            </w14:solidFill>
          </w14:textFill>
        </w:rPr>
        <w:t>可调</w:t>
      </w:r>
      <w:r>
        <w:rPr>
          <w:rFonts w:hint="eastAsia" w:ascii="宋体" w:hAnsi="宋体" w:cs="仿宋"/>
          <w:color w:val="000000" w:themeColor="text1"/>
          <w:sz w:val="24"/>
          <w:u w:val="single"/>
          <w14:textFill>
            <w14:solidFill>
              <w14:schemeClr w14:val="tx1"/>
            </w14:solidFill>
          </w14:textFill>
        </w:rPr>
        <w:t>主要材料仅限于：钢材、砂、水泥、沥青、混凝土、砌体砖、电线电缆、铝合金，其他未明确的材料将不予调整。</w:t>
      </w:r>
    </w:p>
    <w:p>
      <w:pPr>
        <w:widowControl/>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基准单价：项目开工当月（以监理单位下发的开工令为准）为基准日的单价。</w:t>
      </w:r>
    </w:p>
    <w:p>
      <w:pPr>
        <w:widowControl/>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期间材料单价涨、跌幅以基准单价为基础超合同约定的风险幅度值时，其超过部分按实调整（若材料价格上涨或下降，差价为施工期间同类材料加权平均指导价格与经审定确认的施工图预算价中单价的差额）。</w:t>
      </w:r>
    </w:p>
    <w:p>
      <w:pPr>
        <w:widowControl/>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关于基准价格的约定：以单个项目开工当月（以监理单位下发的开工令为准）的</w:t>
      </w:r>
      <w:r>
        <w:rPr>
          <w:rFonts w:hint="eastAsia" w:ascii="宋体" w:hAnsi="宋体" w:cs="仿宋"/>
          <w:color w:val="000000" w:themeColor="text1"/>
          <w:sz w:val="24"/>
          <w14:textFill>
            <w14:solidFill>
              <w14:schemeClr w14:val="tx1"/>
            </w14:solidFill>
          </w14:textFill>
        </w:rPr>
        <w:t>昆明市建筑工程定额站发布的昆明市建设工程材料及设备《价格指导》信息执行，昆明市《价格指导》中没有对应材料单价时，材料价格参照云南省建设工程材料及设备价格信息中心发布的云南省建设工程材料及设备《价格信息》执行</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施工期材料加权平均指导价按下列公式计算：</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施工期材料加权平均指导价</w:t>
      </w:r>
      <w:r>
        <w:rPr>
          <w:rFonts w:ascii="宋体" w:hAnsi="宋体"/>
          <w:color w:val="000000" w:themeColor="text1"/>
          <w:sz w:val="24"/>
          <w14:textFill>
            <w14:solidFill>
              <w14:schemeClr w14:val="tx1"/>
            </w14:solidFill>
          </w14:textFill>
        </w:rPr>
        <w:t xml:space="preserve">=∑（每月实际使用量×当期材料指导价）／同类材料总用量 </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u w:val="single"/>
          <w14:textFill>
            <w14:solidFill>
              <w14:schemeClr w14:val="tx1"/>
            </w14:solidFill>
          </w14:textFill>
        </w:rPr>
        <w:t>可调材料价差计算公式：</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u w:val="single"/>
          <w14:textFill>
            <w14:solidFill>
              <w14:schemeClr w14:val="tx1"/>
            </w14:solidFill>
          </w14:textFill>
        </w:rPr>
        <w:t>材料价格向上波动且浮度超过</w:t>
      </w:r>
      <w:r>
        <w:rPr>
          <w:rFonts w:ascii="宋体" w:hAnsi="宋体" w:cs="仿宋"/>
          <w:color w:val="000000" w:themeColor="text1"/>
          <w:sz w:val="24"/>
          <w:u w:val="single"/>
          <w14:textFill>
            <w14:solidFill>
              <w14:schemeClr w14:val="tx1"/>
            </w14:solidFill>
          </w14:textFill>
        </w:rPr>
        <w:t>5%时：</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u w:val="single"/>
          <w14:textFill>
            <w14:solidFill>
              <w14:schemeClr w14:val="tx1"/>
            </w14:solidFill>
          </w14:textFill>
        </w:rPr>
        <w:t>可调材料价差</w:t>
      </w:r>
      <w:r>
        <w:rPr>
          <w:rFonts w:ascii="宋体" w:hAnsi="宋体" w:cs="仿宋"/>
          <w:color w:val="000000" w:themeColor="text1"/>
          <w:sz w:val="24"/>
          <w:u w:val="single"/>
          <w14:textFill>
            <w14:solidFill>
              <w14:schemeClr w14:val="tx1"/>
            </w14:solidFill>
          </w14:textFill>
        </w:rPr>
        <w:t>=可调材料数量×[（施工期材料加权平均价-编制“</w:t>
      </w:r>
      <w:r>
        <w:rPr>
          <w:rFonts w:hint="eastAsia" w:ascii="宋体" w:hAnsi="宋体"/>
          <w:color w:val="000000" w:themeColor="text1"/>
          <w:sz w:val="24"/>
          <w:u w:val="single"/>
          <w14:textFill>
            <w14:solidFill>
              <w14:schemeClr w14:val="tx1"/>
            </w14:solidFill>
          </w14:textFill>
        </w:rPr>
        <w:t>单个项目</w:t>
      </w:r>
      <w:r>
        <w:rPr>
          <w:rFonts w:ascii="宋体" w:hAnsi="宋体" w:cs="仿宋"/>
          <w:color w:val="000000" w:themeColor="text1"/>
          <w:sz w:val="24"/>
          <w:u w:val="single"/>
          <w14:textFill>
            <w14:solidFill>
              <w14:schemeClr w14:val="tx1"/>
            </w14:solidFill>
          </w14:textFill>
        </w:rPr>
        <w:t>”</w:t>
      </w:r>
      <w:r>
        <w:rPr>
          <w:rFonts w:hint="eastAsia" w:ascii="宋体" w:hAnsi="宋体" w:cs="仿宋"/>
          <w:color w:val="000000" w:themeColor="text1"/>
          <w:sz w:val="24"/>
          <w:u w:val="single"/>
          <w14:textFill>
            <w14:solidFill>
              <w14:schemeClr w14:val="tx1"/>
            </w14:solidFill>
          </w14:textFill>
        </w:rPr>
        <w:t>开工当月</w:t>
      </w:r>
      <w:r>
        <w:rPr>
          <w:rFonts w:ascii="宋体" w:hAnsi="宋体" w:cs="仿宋"/>
          <w:color w:val="000000" w:themeColor="text1"/>
          <w:sz w:val="24"/>
          <w:u w:val="single"/>
          <w14:textFill>
            <w14:solidFill>
              <w14:schemeClr w14:val="tx1"/>
            </w14:solidFill>
          </w14:textFill>
        </w:rPr>
        <w:t>的价格指导价）-编制“</w:t>
      </w:r>
      <w:r>
        <w:rPr>
          <w:rFonts w:hint="eastAsia" w:ascii="宋体" w:hAnsi="宋体"/>
          <w:color w:val="000000" w:themeColor="text1"/>
          <w:sz w:val="24"/>
          <w:u w:val="single"/>
          <w14:textFill>
            <w14:solidFill>
              <w14:schemeClr w14:val="tx1"/>
            </w14:solidFill>
          </w14:textFill>
        </w:rPr>
        <w:t>单个项目</w:t>
      </w:r>
      <w:r>
        <w:rPr>
          <w:rFonts w:ascii="宋体" w:hAnsi="宋体" w:cs="仿宋"/>
          <w:color w:val="000000" w:themeColor="text1"/>
          <w:sz w:val="24"/>
          <w:u w:val="single"/>
          <w14:textFill>
            <w14:solidFill>
              <w14:schemeClr w14:val="tx1"/>
            </w14:solidFill>
          </w14:textFill>
        </w:rPr>
        <w:t>”</w:t>
      </w:r>
      <w:r>
        <w:rPr>
          <w:rFonts w:hint="eastAsia" w:ascii="宋体" w:hAnsi="宋体" w:cs="仿宋"/>
          <w:color w:val="000000" w:themeColor="text1"/>
          <w:sz w:val="24"/>
          <w:u w:val="single"/>
          <w14:textFill>
            <w14:solidFill>
              <w14:schemeClr w14:val="tx1"/>
            </w14:solidFill>
          </w14:textFill>
        </w:rPr>
        <w:t>开工当月</w:t>
      </w:r>
      <w:r>
        <w:rPr>
          <w:rFonts w:ascii="宋体" w:hAnsi="宋体" w:cs="仿宋"/>
          <w:color w:val="000000" w:themeColor="text1"/>
          <w:sz w:val="24"/>
          <w:u w:val="single"/>
          <w14:textFill>
            <w14:solidFill>
              <w14:schemeClr w14:val="tx1"/>
            </w14:solidFill>
          </w14:textFill>
        </w:rPr>
        <w:t>的价格指导价×5%]。</w:t>
      </w:r>
    </w:p>
    <w:p>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u w:val="single"/>
          <w14:textFill>
            <w14:solidFill>
              <w14:schemeClr w14:val="tx1"/>
            </w14:solidFill>
          </w14:textFill>
        </w:rPr>
        <w:t>材料价格向下波动且浮度超过</w:t>
      </w:r>
      <w:r>
        <w:rPr>
          <w:rFonts w:ascii="宋体" w:hAnsi="宋体" w:cs="仿宋"/>
          <w:color w:val="000000" w:themeColor="text1"/>
          <w:sz w:val="24"/>
          <w:u w:val="single"/>
          <w14:textFill>
            <w14:solidFill>
              <w14:schemeClr w14:val="tx1"/>
            </w14:solidFill>
          </w14:textFill>
        </w:rPr>
        <w:t>5%时：</w:t>
      </w:r>
    </w:p>
    <w:p>
      <w:pPr>
        <w:adjustRightInd w:val="0"/>
        <w:snapToGrid w:val="0"/>
        <w:spacing w:line="360" w:lineRule="auto"/>
        <w:ind w:firstLine="480" w:firstLineChars="200"/>
        <w:rPr>
          <w:color w:val="000000" w:themeColor="text1"/>
          <w14:textFill>
            <w14:solidFill>
              <w14:schemeClr w14:val="tx1"/>
            </w14:solidFill>
          </w14:textFill>
        </w:rPr>
      </w:pPr>
      <w:r>
        <w:rPr>
          <w:rFonts w:hint="eastAsia" w:ascii="宋体" w:hAnsi="宋体" w:cs="仿宋"/>
          <w:color w:val="000000" w:themeColor="text1"/>
          <w:sz w:val="24"/>
          <w:u w:val="single"/>
          <w14:textFill>
            <w14:solidFill>
              <w14:schemeClr w14:val="tx1"/>
            </w14:solidFill>
          </w14:textFill>
        </w:rPr>
        <w:t>可调材料价差</w:t>
      </w:r>
      <w:r>
        <w:rPr>
          <w:rFonts w:ascii="宋体" w:hAnsi="宋体" w:cs="仿宋"/>
          <w:color w:val="000000" w:themeColor="text1"/>
          <w:sz w:val="24"/>
          <w:u w:val="single"/>
          <w14:textFill>
            <w14:solidFill>
              <w14:schemeClr w14:val="tx1"/>
            </w14:solidFill>
          </w14:textFill>
        </w:rPr>
        <w:t>=可调材料数量×[（施工期材料加权平均价-编制“</w:t>
      </w:r>
      <w:r>
        <w:rPr>
          <w:rFonts w:hint="eastAsia" w:ascii="宋体" w:hAnsi="宋体"/>
          <w:color w:val="000000" w:themeColor="text1"/>
          <w:sz w:val="24"/>
          <w:u w:val="single"/>
          <w14:textFill>
            <w14:solidFill>
              <w14:schemeClr w14:val="tx1"/>
            </w14:solidFill>
          </w14:textFill>
        </w:rPr>
        <w:t>单个项目</w:t>
      </w:r>
      <w:r>
        <w:rPr>
          <w:rFonts w:ascii="宋体" w:hAnsi="宋体" w:cs="仿宋"/>
          <w:color w:val="000000" w:themeColor="text1"/>
          <w:sz w:val="24"/>
          <w:u w:val="single"/>
          <w14:textFill>
            <w14:solidFill>
              <w14:schemeClr w14:val="tx1"/>
            </w14:solidFill>
          </w14:textFill>
        </w:rPr>
        <w:t>”</w:t>
      </w:r>
      <w:r>
        <w:rPr>
          <w:rFonts w:hint="eastAsia" w:ascii="宋体" w:hAnsi="宋体" w:cs="仿宋"/>
          <w:color w:val="000000" w:themeColor="text1"/>
          <w:sz w:val="24"/>
          <w:u w:val="single"/>
          <w14:textFill>
            <w14:solidFill>
              <w14:schemeClr w14:val="tx1"/>
            </w14:solidFill>
          </w14:textFill>
        </w:rPr>
        <w:t>开工当月</w:t>
      </w:r>
      <w:r>
        <w:rPr>
          <w:rFonts w:ascii="宋体" w:hAnsi="宋体" w:cs="仿宋"/>
          <w:color w:val="000000" w:themeColor="text1"/>
          <w:sz w:val="24"/>
          <w:u w:val="single"/>
          <w14:textFill>
            <w14:solidFill>
              <w14:schemeClr w14:val="tx1"/>
            </w14:solidFill>
          </w14:textFill>
        </w:rPr>
        <w:t>的价格指导价）+编制“</w:t>
      </w:r>
      <w:r>
        <w:rPr>
          <w:rFonts w:hint="eastAsia" w:ascii="宋体" w:hAnsi="宋体"/>
          <w:color w:val="000000" w:themeColor="text1"/>
          <w:sz w:val="24"/>
          <w:u w:val="single"/>
          <w14:textFill>
            <w14:solidFill>
              <w14:schemeClr w14:val="tx1"/>
            </w14:solidFill>
          </w14:textFill>
        </w:rPr>
        <w:t>单个项目</w:t>
      </w:r>
      <w:r>
        <w:rPr>
          <w:rFonts w:ascii="宋体" w:hAnsi="宋体" w:cs="仿宋"/>
          <w:color w:val="000000" w:themeColor="text1"/>
          <w:sz w:val="24"/>
          <w:u w:val="single"/>
          <w14:textFill>
            <w14:solidFill>
              <w14:schemeClr w14:val="tx1"/>
            </w14:solidFill>
          </w14:textFill>
        </w:rPr>
        <w:t>”</w:t>
      </w:r>
      <w:r>
        <w:rPr>
          <w:rFonts w:hint="eastAsia" w:ascii="宋体" w:hAnsi="宋体" w:cs="仿宋"/>
          <w:color w:val="000000" w:themeColor="text1"/>
          <w:sz w:val="24"/>
          <w:u w:val="single"/>
          <w14:textFill>
            <w14:solidFill>
              <w14:schemeClr w14:val="tx1"/>
            </w14:solidFill>
          </w14:textFill>
        </w:rPr>
        <w:t>开工当月</w:t>
      </w:r>
      <w:r>
        <w:rPr>
          <w:rFonts w:ascii="宋体" w:hAnsi="宋体" w:cs="仿宋"/>
          <w:color w:val="000000" w:themeColor="text1"/>
          <w:sz w:val="24"/>
          <w:u w:val="single"/>
          <w14:textFill>
            <w14:solidFill>
              <w14:schemeClr w14:val="tx1"/>
            </w14:solidFill>
          </w14:textFill>
        </w:rPr>
        <w:t>的价格指导价×5%]。</w:t>
      </w:r>
    </w:p>
    <w:p>
      <w:pPr>
        <w:pStyle w:val="1100"/>
        <w:spacing w:before="0" w:after="0"/>
        <w:ind w:firstLine="482" w:firstLineChars="200"/>
        <w:rPr>
          <w:color w:val="000000" w:themeColor="text1"/>
          <w:sz w:val="24"/>
          <w14:textFill>
            <w14:solidFill>
              <w14:schemeClr w14:val="tx1"/>
            </w14:solidFill>
          </w14:textFill>
        </w:rPr>
      </w:pPr>
      <w:bookmarkStart w:id="954" w:name="_Toc117340079"/>
      <w:bookmarkStart w:id="955" w:name="_Toc116261158"/>
      <w:bookmarkStart w:id="956" w:name="_Toc136956369"/>
      <w:bookmarkStart w:id="957" w:name="_Toc116461896"/>
      <w:r>
        <w:rPr>
          <w:rFonts w:hint="eastAsia"/>
          <w:color w:val="000000" w:themeColor="text1"/>
          <w:sz w:val="24"/>
          <w14:textFill>
            <w14:solidFill>
              <w14:schemeClr w14:val="tx1"/>
            </w14:solidFill>
          </w14:textFill>
        </w:rPr>
        <w:t>以上内容在项目实施过程中承包人应完善相关资料，与竣工结算同时报送，统一调整。</w:t>
      </w:r>
      <w:bookmarkEnd w:id="954"/>
      <w:bookmarkEnd w:id="955"/>
      <w:bookmarkEnd w:id="956"/>
      <w:bookmarkEnd w:id="957"/>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11.2法律变化引起的调整</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因政策法规调整合同价格，采用以下方式对合同价格进行调整：</w:t>
      </w:r>
      <w:r>
        <w:rPr>
          <w:rFonts w:hint="eastAsia" w:ascii="宋体" w:hAnsi="宋体"/>
          <w:color w:val="000000" w:themeColor="text1"/>
          <w:sz w:val="24"/>
          <w14:textFill>
            <w14:solidFill>
              <w14:schemeClr w14:val="tx1"/>
            </w14:solidFill>
          </w14:textFill>
        </w:rPr>
        <w:t>/</w:t>
      </w:r>
    </w:p>
    <w:bookmarkEnd w:id="845"/>
    <w:bookmarkEnd w:id="846"/>
    <w:bookmarkEnd w:id="847"/>
    <w:bookmarkEnd w:id="848"/>
    <w:bookmarkEnd w:id="849"/>
    <w:bookmarkEnd w:id="850"/>
    <w:p>
      <w:pPr>
        <w:widowControl/>
        <w:spacing w:line="360" w:lineRule="auto"/>
        <w:ind w:firstLine="482" w:firstLineChars="200"/>
        <w:jc w:val="left"/>
        <w:rPr>
          <w:rFonts w:ascii="宋体" w:hAnsi="宋体"/>
          <w:b/>
          <w:color w:val="000000" w:themeColor="text1"/>
          <w:sz w:val="24"/>
          <w14:textFill>
            <w14:solidFill>
              <w14:schemeClr w14:val="tx1"/>
            </w14:solidFill>
          </w14:textFill>
        </w:rPr>
      </w:pPr>
      <w:bookmarkStart w:id="958" w:name="_Toc296944544"/>
      <w:bookmarkStart w:id="959" w:name="_Toc296891245"/>
      <w:bookmarkStart w:id="960" w:name="_Toc296347204"/>
      <w:bookmarkStart w:id="961" w:name="_Toc296346706"/>
      <w:bookmarkStart w:id="962" w:name="_Toc297120505"/>
      <w:bookmarkStart w:id="963" w:name="_Toc297048391"/>
      <w:bookmarkStart w:id="964" w:name="_Toc296891033"/>
      <w:bookmarkStart w:id="965" w:name="_Toc292559915"/>
      <w:bookmarkStart w:id="966" w:name="_Toc292559410"/>
      <w:bookmarkStart w:id="967" w:name="_Toc296503205"/>
      <w:bookmarkStart w:id="968" w:name="_Toc351203644"/>
      <w:bookmarkStart w:id="969" w:name="_Toc297216211"/>
      <w:bookmarkStart w:id="970" w:name="_Toc312678040"/>
      <w:bookmarkStart w:id="971" w:name="_Toc303539159"/>
      <w:bookmarkStart w:id="972" w:name="_Toc297123552"/>
      <w:bookmarkStart w:id="973" w:name="_Toc304295579"/>
      <w:bookmarkStart w:id="974" w:name="_Toc300935002"/>
      <w:r>
        <w:rPr>
          <w:rFonts w:ascii="宋体" w:hAnsi="宋体"/>
          <w:b/>
          <w:color w:val="000000" w:themeColor="text1"/>
          <w:sz w:val="24"/>
          <w14:textFill>
            <w14:solidFill>
              <w14:schemeClr w14:val="tx1"/>
            </w14:solidFill>
          </w14:textFill>
        </w:rPr>
        <w:t xml:space="preserve">12. </w:t>
      </w:r>
      <w:bookmarkEnd w:id="958"/>
      <w:bookmarkEnd w:id="959"/>
      <w:bookmarkEnd w:id="960"/>
      <w:bookmarkEnd w:id="961"/>
      <w:bookmarkEnd w:id="962"/>
      <w:bookmarkEnd w:id="963"/>
      <w:bookmarkEnd w:id="964"/>
      <w:bookmarkEnd w:id="965"/>
      <w:bookmarkEnd w:id="966"/>
      <w:bookmarkEnd w:id="967"/>
      <w:r>
        <w:rPr>
          <w:rFonts w:ascii="宋体" w:hAnsi="宋体"/>
          <w:b/>
          <w:color w:val="000000" w:themeColor="text1"/>
          <w:sz w:val="24"/>
          <w14:textFill>
            <w14:solidFill>
              <w14:schemeClr w14:val="tx1"/>
            </w14:solidFill>
          </w14:textFill>
        </w:rPr>
        <w:t>合同价格、计量与支付</w:t>
      </w:r>
      <w:bookmarkEnd w:id="968"/>
    </w:p>
    <w:bookmarkEnd w:id="969"/>
    <w:bookmarkEnd w:id="970"/>
    <w:bookmarkEnd w:id="971"/>
    <w:bookmarkEnd w:id="972"/>
    <w:bookmarkEnd w:id="973"/>
    <w:bookmarkEnd w:id="974"/>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bookmarkStart w:id="975" w:name="_Toc292559411"/>
      <w:bookmarkStart w:id="976" w:name="_Toc292559916"/>
      <w:bookmarkStart w:id="977" w:name="_Toc267251461"/>
      <w:bookmarkStart w:id="978" w:name="_Toc297048392"/>
      <w:bookmarkStart w:id="979" w:name="_Toc296347205"/>
      <w:bookmarkStart w:id="980" w:name="_Toc297120506"/>
      <w:bookmarkStart w:id="981" w:name="_Toc296891246"/>
      <w:bookmarkStart w:id="982" w:name="_Toc296891034"/>
      <w:bookmarkStart w:id="983" w:name="_Toc296503206"/>
      <w:bookmarkStart w:id="984" w:name="_Toc296944545"/>
      <w:bookmarkStart w:id="985" w:name="_Toc296346707"/>
      <w:bookmarkStart w:id="986" w:name="_Toc297216212"/>
      <w:bookmarkStart w:id="987" w:name="_Toc304295580"/>
      <w:bookmarkStart w:id="988" w:name="_Toc312678041"/>
      <w:bookmarkStart w:id="989" w:name="_Toc300935003"/>
      <w:bookmarkStart w:id="990" w:name="_Toc297123553"/>
      <w:bookmarkStart w:id="991" w:name="_Toc303539160"/>
      <w:r>
        <w:rPr>
          <w:rFonts w:ascii="宋体" w:hAnsi="宋体"/>
          <w:color w:val="000000" w:themeColor="text1"/>
          <w:kern w:val="0"/>
          <w:sz w:val="24"/>
          <w14:textFill>
            <w14:solidFill>
              <w14:schemeClr w14:val="tx1"/>
            </w14:solidFill>
          </w14:textFill>
        </w:rPr>
        <w:t>12.1 合</w:t>
      </w:r>
      <w:bookmarkEnd w:id="975"/>
      <w:bookmarkEnd w:id="976"/>
      <w:bookmarkEnd w:id="977"/>
      <w:r>
        <w:rPr>
          <w:rFonts w:ascii="宋体" w:hAnsi="宋体"/>
          <w:color w:val="000000" w:themeColor="text1"/>
          <w:kern w:val="0"/>
          <w:sz w:val="24"/>
          <w14:textFill>
            <w14:solidFill>
              <w14:schemeClr w14:val="tx1"/>
            </w14:solidFill>
          </w14:textFill>
        </w:rPr>
        <w:t>同价</w:t>
      </w:r>
      <w:bookmarkEnd w:id="978"/>
      <w:bookmarkEnd w:id="979"/>
      <w:bookmarkEnd w:id="980"/>
      <w:bookmarkEnd w:id="981"/>
      <w:bookmarkEnd w:id="982"/>
      <w:bookmarkEnd w:id="983"/>
      <w:bookmarkEnd w:id="984"/>
      <w:bookmarkEnd w:id="985"/>
      <w:r>
        <w:rPr>
          <w:rFonts w:ascii="宋体" w:hAnsi="宋体"/>
          <w:color w:val="000000" w:themeColor="text1"/>
          <w:kern w:val="0"/>
          <w:sz w:val="24"/>
          <w14:textFill>
            <w14:solidFill>
              <w14:schemeClr w14:val="tx1"/>
            </w14:solidFill>
          </w14:textFill>
        </w:rPr>
        <w:t>格形式</w:t>
      </w:r>
    </w:p>
    <w:bookmarkEnd w:id="986"/>
    <w:bookmarkEnd w:id="987"/>
    <w:bookmarkEnd w:id="988"/>
    <w:bookmarkEnd w:id="989"/>
    <w:bookmarkEnd w:id="990"/>
    <w:bookmarkEnd w:id="991"/>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12.1.1、本合同价款采用</w:t>
      </w:r>
      <w:r>
        <w:rPr>
          <w:rFonts w:hint="eastAsia" w:ascii="宋体" w:hAnsi="宋体"/>
          <w:color w:val="000000" w:themeColor="text1"/>
          <w:kern w:val="0"/>
          <w:sz w:val="24"/>
          <w:u w:val="single"/>
          <w14:textFill>
            <w14:solidFill>
              <w14:schemeClr w14:val="tx1"/>
            </w14:solidFill>
          </w14:textFill>
        </w:rPr>
        <w:t xml:space="preserve"> 固定单价合同 </w:t>
      </w:r>
      <w:r>
        <w:rPr>
          <w:rFonts w:hint="eastAsia" w:ascii="宋体" w:hAnsi="宋体"/>
          <w:color w:val="000000" w:themeColor="text1"/>
          <w:kern w:val="0"/>
          <w:sz w:val="24"/>
          <w14:textFill>
            <w14:solidFill>
              <w14:schemeClr w14:val="tx1"/>
            </w14:solidFill>
          </w14:textFill>
        </w:rPr>
        <w:t>方式确定。</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工程采用下浮率的方式进行招标，本合同的综合单价以经发包人及其委托的造价咨询单位审核确认的施工图预算中分部分项工程清单、单价措施项目清单、总价措施项目清单（除安全文明施工费外）、其他项目清单（除暂列金额、总承包服务费外）中各项综合单价为基数，按中标下浮率进行统一平行下浮。</w:t>
      </w:r>
    </w:p>
    <w:p>
      <w:pPr>
        <w:numPr>
          <w:ilvl w:val="255"/>
          <w:numId w:val="0"/>
        </w:num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12.1.2</w:t>
      </w:r>
      <w:r>
        <w:rPr>
          <w:rFonts w:hint="eastAsia" w:ascii="宋体" w:hAnsi="宋体"/>
          <w:color w:val="000000" w:themeColor="text1"/>
          <w:sz w:val="24"/>
          <w14:textFill>
            <w14:solidFill>
              <w14:schemeClr w14:val="tx1"/>
            </w14:solidFill>
          </w14:textFill>
        </w:rPr>
        <w:t>、施工图预算编制依据</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①经发包方委托的审图公司审定的设计施工图。</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②工程量清单计价、计量规范：《建设工程工程量清单计价规范》（</w:t>
      </w:r>
      <w:r>
        <w:rPr>
          <w:rFonts w:ascii="宋体" w:hAnsi="宋体"/>
          <w:color w:val="000000" w:themeColor="text1"/>
          <w:kern w:val="0"/>
          <w:sz w:val="24"/>
          <w14:textFill>
            <w14:solidFill>
              <w14:schemeClr w14:val="tx1"/>
            </w14:solidFill>
          </w14:textFill>
        </w:rPr>
        <w:t>GB50500-2013）、《通用安装工程工程量计算规范》（GB50856-2013）、《市政工程工程量计算规范》（GB50857-2013）、《园林绿化工程工程量计算规范》（GB50858-2013）、《构筑物工程工程量计算规范》（GB50860-2013）等相关配套规范。</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③计价规范、标准和相关配套文件：“《云南省住房和城乡建设厅关于云南省建设工程造价计价标准（</w:t>
      </w:r>
      <w:r>
        <w:rPr>
          <w:rFonts w:ascii="宋体" w:hAnsi="宋体"/>
          <w:color w:val="000000" w:themeColor="text1"/>
          <w:kern w:val="0"/>
          <w:sz w:val="24"/>
          <w14:textFill>
            <w14:solidFill>
              <w14:schemeClr w14:val="tx1"/>
            </w14:solidFill>
          </w14:textFill>
        </w:rPr>
        <w:t>2020版）发布实施的通知》（云建科【2021】15号）”，包括：《云南省建设工程造价计价规则及机械仪器仪表台班费用定额》（DBJ53/T－58－2020）、《云南省市政工程计价标准》（DBJ53/T－59－2020）、《云南省园林绿化工程计价标准》（DBJ53/T－60－2020）、《云南省建筑工程计价标准》（DBJ53/T－61－2020）、《云南省通用安装工程计价标准》（DBJ53/T－63－2020）等，以及国家、云南省、县级以上行政及行业主管部门颁布的相关法律、法规及相关配套计价调整文件执行（若有最新调整文件则按最新文件执行）进行计量计价。</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④施工组织设计按常规考虑。</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⑤税金及定额人工费根据编制施工图预算当期最新相关政策文件执行；</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⑥安全防护、文明施工措施费按相关国家及地方规范规定执行；</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⑦材料价格按单个项目开工当月的昆明市建筑工程定额站发布的昆明市建设工程材料及设备《价格指导》信息执行，昆明市《价格指导》中没有对应材料单价时，材料价格参照云南省建设工程材料及设备价格信息中心发布的云南省建设工程材料及设备《价格信息》执行；如《价格信息》中也没有对应单价的，以发包人、承包人、造价咨询公司、监理公司四方共同询价后的材料价确定，并经发包人审核后作为中间支付的依据。</w:t>
      </w:r>
    </w:p>
    <w:p>
      <w:pPr>
        <w:pStyle w:val="2"/>
        <w:numPr>
          <w:ilvl w:val="255"/>
          <w:numId w:val="0"/>
        </w:numPr>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12.1.3、</w:t>
      </w:r>
      <w:r>
        <w:rPr>
          <w:rFonts w:hint="eastAsia" w:ascii="宋体" w:hAnsi="宋体"/>
          <w:snapToGrid w:val="0"/>
          <w:color w:val="000000" w:themeColor="text1"/>
          <w:kern w:val="0"/>
          <w:sz w:val="24"/>
          <w14:textFill>
            <w14:solidFill>
              <w14:schemeClr w14:val="tx1"/>
            </w14:solidFill>
          </w14:textFill>
        </w:rPr>
        <w:t>施工图预算编制及审核流程</w:t>
      </w:r>
    </w:p>
    <w:p>
      <w:pPr>
        <w:widowControl/>
        <w:spacing w:line="360" w:lineRule="auto"/>
        <w:ind w:firstLine="42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由承包人依据</w:t>
      </w:r>
      <w:r>
        <w:rPr>
          <w:rFonts w:hint="eastAsia" w:ascii="宋体" w:hAnsi="宋体"/>
          <w:snapToGrid w:val="0"/>
          <w:color w:val="000000" w:themeColor="text1"/>
          <w:kern w:val="0"/>
          <w:sz w:val="24"/>
          <w14:textFill>
            <w14:solidFill>
              <w14:schemeClr w14:val="tx1"/>
            </w14:solidFill>
          </w14:textFill>
        </w:rPr>
        <w:t>本合同12.1.2条款编制施工图预算报送发包人，施工图预算经发包人及发包人委托的造价咨询单位审核确定并按</w:t>
      </w:r>
      <w:r>
        <w:rPr>
          <w:rFonts w:hint="eastAsia"/>
          <w:color w:val="000000" w:themeColor="text1"/>
          <w:sz w:val="24"/>
          <w14:textFill>
            <w14:solidFill>
              <w14:schemeClr w14:val="tx1"/>
            </w14:solidFill>
          </w14:textFill>
        </w:rPr>
        <w:t>承包人所报综合单价下浮率下浮后</w:t>
      </w:r>
      <w:r>
        <w:rPr>
          <w:rFonts w:hint="eastAsia" w:ascii="宋体" w:hAnsi="宋体"/>
          <w:snapToGrid w:val="0"/>
          <w:color w:val="000000" w:themeColor="text1"/>
          <w:kern w:val="0"/>
          <w:sz w:val="24"/>
          <w14:textFill>
            <w14:solidFill>
              <w14:schemeClr w14:val="tx1"/>
            </w14:solidFill>
          </w14:textFill>
        </w:rPr>
        <w:t>另行签订补充协议，确定单个合同价款及综合单价，作为施工过程中进度款支付及结算的依据。</w:t>
      </w:r>
    </w:p>
    <w:p>
      <w:pPr>
        <w:widowControl/>
        <w:spacing w:line="360" w:lineRule="auto"/>
        <w:ind w:firstLine="480" w:firstLineChars="200"/>
        <w:jc w:val="left"/>
        <w:rPr>
          <w:rFonts w:ascii="宋体" w:hAnsi="宋体" w:cs="宋体"/>
          <w:b/>
          <w:bCs/>
          <w:snapToGrid w:val="0"/>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 xml:space="preserve">12.2 </w:t>
      </w:r>
      <w:r>
        <w:rPr>
          <w:rFonts w:hint="eastAsia" w:ascii="宋体" w:hAnsi="宋体" w:cs="宋体"/>
          <w:b/>
          <w:bCs/>
          <w:snapToGrid w:val="0"/>
          <w:color w:val="000000" w:themeColor="text1"/>
          <w:kern w:val="0"/>
          <w:sz w:val="24"/>
          <w14:textFill>
            <w14:solidFill>
              <w14:schemeClr w14:val="tx1"/>
            </w14:solidFill>
          </w14:textFill>
        </w:rPr>
        <w:t>合同履行过程中包含的风险范围</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12.2.1合同履行过程中，合同价款中包括的风险范围：</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投标人所报的综合单价下浮率为投标人按期完成本招标文件和合同条款上所列招标范围内所有工程内容的一个统一的优惠比例，该下浮率在整个合同签订及合同履行中固定不变，中标人不得以任何理由更改该中标的下浮率。</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（3）本合同条款约定的可调价主材价格发生在±5%内(含5%)市场波动不得调整；</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（4）本合同条款约定的可调价材料以外的主材、辅材、周转材料、燃料动力发生的一切市场波动不得调整；</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（5）合同履行中，经审定的施工图预算的总价措施项目清单（除安全文明施工费外）在合同履行过程中包干使用，不作调整。</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（6）临时停水停电由承包人自行考虑相关措施，费用自理。</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12.2.2合同价款中不包括的风险范围：</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（1）非承包人原因发生的设计变更、零星签证等引起的工程项目，按《昆明经济技术开发区规划建设局造价管理办法》执行，并经相关审计单位确认。</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（2）合同履行期间，由于非承包人原因导致的工程变更引起经审定的施工图预算中工程量清单项目其工程量偏差超过±15%的。 </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（3）合同履行期间，由于非承包人原因导致的实际工程量与经审定的施工图工程量偏差超过±15%的。</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（4）施工期间人工费、税金的政策变化；</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（5）合同履行期间，可调价主材价格发生在±5%以外的；</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12.2.3风险范围以外合同价款调整方法：</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 非承包人原因发生的设计变更、零星签证等引起的工程项目的综合单价调整按下列方法确定：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①签订的</w:t>
      </w:r>
      <w:r>
        <w:rPr>
          <w:rFonts w:hint="eastAsia" w:ascii="宋体" w:hAnsi="宋体"/>
          <w:snapToGrid w:val="0"/>
          <w:color w:val="000000" w:themeColor="text1"/>
          <w:kern w:val="0"/>
          <w:sz w:val="24"/>
          <w14:textFill>
            <w14:solidFill>
              <w14:schemeClr w14:val="tx1"/>
            </w14:solidFill>
          </w14:textFill>
        </w:rPr>
        <w:t>单个补充协议</w:t>
      </w:r>
      <w:r>
        <w:rPr>
          <w:rFonts w:hint="eastAsia" w:ascii="宋体" w:hAnsi="宋体"/>
          <w:color w:val="000000" w:themeColor="text1"/>
          <w:sz w:val="24"/>
          <w14:textFill>
            <w14:solidFill>
              <w14:schemeClr w14:val="tx1"/>
            </w14:solidFill>
          </w14:textFill>
        </w:rPr>
        <w:t>中约定的合同综合单价有适用综合单价的，按补充协议中约定的综合单价执行；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②签订的</w:t>
      </w:r>
      <w:r>
        <w:rPr>
          <w:rFonts w:hint="eastAsia" w:ascii="宋体" w:hAnsi="宋体"/>
          <w:snapToGrid w:val="0"/>
          <w:color w:val="000000" w:themeColor="text1"/>
          <w:kern w:val="0"/>
          <w:sz w:val="24"/>
          <w14:textFill>
            <w14:solidFill>
              <w14:schemeClr w14:val="tx1"/>
            </w14:solidFill>
          </w14:textFill>
        </w:rPr>
        <w:t>单个补充协议</w:t>
      </w:r>
      <w:r>
        <w:rPr>
          <w:rFonts w:hint="eastAsia" w:ascii="宋体" w:hAnsi="宋体"/>
          <w:color w:val="000000" w:themeColor="text1"/>
          <w:sz w:val="24"/>
          <w14:textFill>
            <w14:solidFill>
              <w14:schemeClr w14:val="tx1"/>
            </w14:solidFill>
          </w14:textFill>
        </w:rPr>
        <w:t>中约定的合同综合单价有类似综合单价的，参照补充协议中约定的类似综合单价确定；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③签订的</w:t>
      </w:r>
      <w:r>
        <w:rPr>
          <w:rFonts w:hint="eastAsia" w:ascii="宋体" w:hAnsi="宋体"/>
          <w:snapToGrid w:val="0"/>
          <w:color w:val="000000" w:themeColor="text1"/>
          <w:kern w:val="0"/>
          <w:sz w:val="24"/>
          <w14:textFill>
            <w14:solidFill>
              <w14:schemeClr w14:val="tx1"/>
            </w14:solidFill>
          </w14:textFill>
        </w:rPr>
        <w:t>单个补充协议</w:t>
      </w:r>
      <w:r>
        <w:rPr>
          <w:rFonts w:hint="eastAsia" w:ascii="宋体" w:hAnsi="宋体"/>
          <w:color w:val="000000" w:themeColor="text1"/>
          <w:sz w:val="24"/>
          <w14:textFill>
            <w14:solidFill>
              <w14:schemeClr w14:val="tx1"/>
            </w14:solidFill>
          </w14:textFill>
        </w:rPr>
        <w:t>中约定的合同综合单价没有适用或类似综合单价的，由承包人按《建设工程工程量清单计价规范》（GB50500—2013）和《云南省住房和城乡建设厅关于云南省建设工程造价计价标准（2020版）发布实施的通知》（云建科【2021】15号）及其相关配套定额标准等规定进行组价；新组价的材料单价中，如经审定的施工图预算中有相同材料时，材料价格按投标文件中的对应单价执行，经审定的施工图预算中没有相同材料时，材料价格按照施工同期的昆明市建筑工程定额站发布的昆明市建设工程材料及设备《价格指导》信息执行，昆明市《价格指导》中没有对应材料单价时，材料价格参照云南省建设工程材料及设备价格信息中心发布的云南省建设工程材料及设备《价格信息》执行，如《价格信息》中也没有对应材料单价的，材料价格须经发包人、发包人委托的造价机构、施工方三方共同确定；如该种新组价的材料单价施工期超过一个月，则按上述方法以施工期加权平均价格确定；</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合同履行期间，由于非承包人原因导致的工程量偏差超过±15%的，调整的原则为：当工程量增加15%以上时，其增加部分的工程量的综合单价应予调低；当工程量减少15%以上时，减少后剩余部分的工程量的综合单价应予调高。此时，按下列公式调整结算分部分项工程费：</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1.当Q1›1.15Q0时，S=1.15 Q0×P0+(Q1-1.15 Q0) ×P1</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2.当Q1‹0.85 Q0时，S= Q1×P1</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式中：S=调整后的某一分部分项工程费结算价；</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Q1=最终完成的工程量；</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Q0=审核施工图预算工程量清单中列出的工程量；</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P1=按照最终完成工程量重新调整后的综合单价（调整方法按《建设工程工程量清单计价规范》（GB50500-2013）及配套教材）；</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P0=审核施工图预算清单中的综合单价。</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3.如果工程量出现本条的变化，且该变化引起相关措施项目相应发生变化，如按系数或单一总价方式计价的，工程量增加的措施项目费调增，工程量减少的措施项目费适当调减。</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（3）施工期间人工费、税金的政策变化，其调整按云南省建设厅相关文件，并以施工单位根据政策变化时间及现场实际进度报送，经过各方签认的形象进度进行调整；</w:t>
      </w:r>
    </w:p>
    <w:p>
      <w:pPr>
        <w:adjustRightInd w:val="0"/>
        <w:snapToGrid w:val="0"/>
        <w:spacing w:line="360" w:lineRule="auto"/>
        <w:ind w:firstLine="562"/>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（4）合同履行期间，可调价主材价格发生在±5%以外的，其调整参照第11.1条款执行；</w:t>
      </w:r>
    </w:p>
    <w:p>
      <w:pPr>
        <w:spacing w:after="120" w:line="360" w:lineRule="auto"/>
        <w:ind w:firstLine="600" w:firstLineChars="200"/>
        <w:rPr>
          <w:rFonts w:ascii="Times New Roman" w:hAnsi="Times New Roman" w:eastAsia="黑体"/>
          <w:color w:val="000000"/>
          <w:sz w:val="30"/>
          <w:szCs w:val="32"/>
        </w:rPr>
      </w:pPr>
      <w:bookmarkStart w:id="992" w:name="_Toc296347206"/>
      <w:bookmarkStart w:id="993" w:name="_Toc296891247"/>
      <w:bookmarkStart w:id="994" w:name="_Toc303539161"/>
      <w:bookmarkStart w:id="995" w:name="_Toc297048393"/>
      <w:bookmarkStart w:id="996" w:name="_Toc296346708"/>
      <w:bookmarkStart w:id="997" w:name="_Toc296503207"/>
      <w:bookmarkStart w:id="998" w:name="_Toc297123554"/>
      <w:bookmarkStart w:id="999" w:name="_Toc292559412"/>
      <w:bookmarkStart w:id="1000" w:name="_Toc296891035"/>
      <w:bookmarkStart w:id="1001" w:name="_Toc297120507"/>
      <w:bookmarkStart w:id="1002" w:name="_Toc300935004"/>
      <w:bookmarkStart w:id="1003" w:name="_Toc297216213"/>
      <w:bookmarkStart w:id="1004" w:name="_Toc312678042"/>
      <w:bookmarkStart w:id="1005" w:name="_Toc304295581"/>
      <w:bookmarkStart w:id="1006" w:name="_Toc292559917"/>
      <w:bookmarkStart w:id="1007" w:name="_Toc296944546"/>
      <w:r>
        <w:rPr>
          <w:rFonts w:ascii="Times New Roman" w:hAnsi="Times New Roman" w:eastAsia="黑体"/>
          <w:color w:val="000000"/>
          <w:sz w:val="30"/>
          <w:szCs w:val="32"/>
        </w:rPr>
        <w:t>12.2 预付款</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12.2.1 预付款的支付</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预付款支付比例或金额：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10%</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预付款支付期限：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开工令下发且实质性动工之日起30日内</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预付款扣回的方式：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按支付周期等比例扣回</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12.2.2 预付款担保</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承包人提交预付款担保的期限：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预付款支付前7日</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预付款担保的形式为：</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符合国家相关规定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12.3 计量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12.3.1 计量原则</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工程量计算规则：</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按照云南省现行工程量计算规则计算</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12.3.2 计量周期</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关于计量周期的约定：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按季度计量</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12.3.3 单价合同的计量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关于单价合同计量的约定：</w:t>
      </w:r>
      <w:r>
        <w:rPr>
          <w:rFonts w:hint="eastAsia" w:ascii="Times New Roman" w:hAnsi="Times New Roman" w:eastAsia="仿宋_GB2312"/>
          <w:color w:val="000000"/>
          <w:sz w:val="30"/>
          <w:szCs w:val="32"/>
          <w:u w:val="single"/>
        </w:rPr>
        <w:t>进行计量的工程量应符合现行的工程质量验收标准且经过甲方委托的第三方质量检测机构检测合格的工程方可进入当期工程计量，所有工程计量均需由发包人、承包人、监理单位、造价咨询单位和第三方检测单位共同收方确认，并于每个计量周期的第二个月的20日前完成相关计量确认工作</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12.3.4 总价合同的计量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关于总价合同计量的约定：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不适用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12.3.5总价合同采用支付分解表计量支付的，是否适用第</w:t>
      </w:r>
      <w:r>
        <w:rPr>
          <w:rFonts w:ascii="Times New Roman" w:hAnsi="Times New Roman" w:eastAsia="仿宋_GB2312"/>
          <w:color w:val="000000"/>
          <w:kern w:val="0"/>
          <w:sz w:val="30"/>
          <w:szCs w:val="32"/>
        </w:rPr>
        <w:t xml:space="preserve">12.3.4 </w:t>
      </w:r>
      <w:r>
        <w:rPr>
          <w:rFonts w:ascii="Times New Roman" w:hAnsi="Times New Roman" w:eastAsia="仿宋_GB2312"/>
          <w:color w:val="000000"/>
          <w:sz w:val="30"/>
          <w:szCs w:val="32"/>
        </w:rPr>
        <w:t>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总价合同的计量</w:t>
      </w:r>
      <w:r>
        <w:rPr>
          <w:rFonts w:hint="eastAsia" w:ascii="Times New Roman" w:hAnsi="Times New Roman" w:eastAsia="仿宋_GB2312"/>
          <w:color w:val="000000"/>
          <w:kern w:val="0"/>
          <w:sz w:val="30"/>
          <w:szCs w:val="32"/>
        </w:rPr>
        <w:t>〕</w:t>
      </w:r>
      <w:r>
        <w:rPr>
          <w:rFonts w:ascii="Times New Roman" w:hAnsi="Times New Roman" w:eastAsia="仿宋_GB2312"/>
          <w:color w:val="000000"/>
          <w:sz w:val="30"/>
          <w:szCs w:val="32"/>
        </w:rPr>
        <w:t>约定</w:t>
      </w:r>
      <w:r>
        <w:rPr>
          <w:rFonts w:hint="eastAsia" w:ascii="Times New Roman" w:hAnsi="Times New Roman" w:eastAsia="仿宋_GB2312"/>
          <w:color w:val="000000"/>
          <w:sz w:val="30"/>
          <w:szCs w:val="32"/>
        </w:rPr>
        <w:t>进行计量：</w:t>
      </w:r>
      <w:r>
        <w:rPr>
          <w:rFonts w:hint="eastAsia" w:ascii="Times New Roman" w:hAnsi="Times New Roman" w:eastAsia="仿宋_GB2312"/>
          <w:color w:val="000000"/>
          <w:sz w:val="30"/>
          <w:szCs w:val="32"/>
          <w:u w:val="single"/>
        </w:rPr>
        <w:t xml:space="preserve">不适用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12.3.6 其他价格形式合同的计量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其他价格形式的计量方式和程序：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不适用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12.4 工程进度款支付</w:t>
      </w:r>
    </w:p>
    <w:p>
      <w:pPr>
        <w:spacing w:line="360" w:lineRule="auto"/>
        <w:ind w:firstLine="600" w:firstLineChars="200"/>
        <w:jc w:val="left"/>
        <w:rPr>
          <w:rFonts w:ascii="Times New Roman" w:hAnsi="Times New Roman" w:eastAsia="仿宋_GB2312"/>
          <w:color w:val="000000"/>
          <w:sz w:val="30"/>
          <w:szCs w:val="32"/>
        </w:rPr>
      </w:pPr>
      <w:bookmarkStart w:id="1008" w:name="_Toc296944550"/>
      <w:bookmarkStart w:id="1009" w:name="_Toc297048397"/>
      <w:bookmarkStart w:id="1010" w:name="_Toc303539163"/>
      <w:bookmarkStart w:id="1011" w:name="_Toc297216215"/>
      <w:bookmarkStart w:id="1012" w:name="_Toc296347210"/>
      <w:bookmarkStart w:id="1013" w:name="_Toc292559921"/>
      <w:bookmarkStart w:id="1014" w:name="_Toc297120511"/>
      <w:bookmarkStart w:id="1015" w:name="_Toc296346712"/>
      <w:bookmarkStart w:id="1016" w:name="_Toc296891251"/>
      <w:bookmarkStart w:id="1017" w:name="_Toc292559416"/>
      <w:bookmarkStart w:id="1018" w:name="_Toc300935006"/>
      <w:bookmarkStart w:id="1019" w:name="_Toc296891039"/>
      <w:bookmarkStart w:id="1020" w:name="_Toc297123556"/>
      <w:bookmarkStart w:id="1021" w:name="_Toc296503211"/>
      <w:r>
        <w:rPr>
          <w:rFonts w:hint="eastAsia" w:ascii="Times New Roman" w:hAnsi="Times New Roman" w:eastAsia="仿宋_GB2312"/>
          <w:color w:val="000000"/>
          <w:sz w:val="30"/>
          <w:szCs w:val="32"/>
        </w:rPr>
        <w:t>本工程的工程款和勘察设计费由联合体牵头单位向发包人申请支付。发包人根据工程进度和勘察设计进度向联合体牵头单位进行支付。</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12.4.1 付款周期</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关于付款周期的约定：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按季度支付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12.4.2 进度付款申请单的编制</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关于进度付款申请单编制的约定：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由联合体牵头单位根据计量周期所确认的工程量编制进度支付报表，由监理单位和造价咨询服务单位进行审核后上报发包人</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Pr>
          <w:rFonts w:ascii="Times New Roman" w:hAnsi="Times New Roman" w:eastAsia="仿宋_GB2312"/>
          <w:color w:val="000000"/>
          <w:sz w:val="30"/>
          <w:szCs w:val="32"/>
        </w:rPr>
        <w:t>2.4.3 进度付款申请单的提交</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（1）单价合同进度付款申请单提交的约定</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每个支付周期的第二个月的25号前上报经监理单位和造价咨询单位审核的进度报表及相关支付资料</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（2）总价合同进度付款申请单提交的约定</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不适用</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（3）其他价格形式合同进度付款申请单提交的约定：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不适用</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12.4.4 进度款审核和支付</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（1）监理人审查并报送发包人的期限：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监理人和造价咨询单位3个工作日内完成审核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发包人完成审批并签发进度款支付证书的期限：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发包人收到经监理单位和造价咨询单位审核的进度报表和支付申请后，经发包人审核后由监理单位按照支付周期验工计价款的60%比例签发支付证书，根据进度款额编报本次支付周期的资金计划列入本次支付周期第三个月的支付计划内，并于支付周期的第三月的15日前完成发包人的相关审批</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（2）发包人支付进度款的期限：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发包人审批完成后10个工作日内进行支付</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750" w:firstLineChars="25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发包人逾期支付进度款的违约金的计算方式：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不适用</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750" w:firstLineChars="25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12.4.6 支付分解表的编制</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2、总价合同支付分解表的编制与审批：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不适用</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widowControl/>
        <w:spacing w:line="360" w:lineRule="auto"/>
        <w:ind w:firstLine="600" w:firstLineChars="200"/>
        <w:jc w:val="left"/>
        <w:rPr>
          <w:rFonts w:ascii="宋体" w:hAnsi="宋体"/>
          <w:color w:val="000000" w:themeColor="text1"/>
          <w:kern w:val="0"/>
          <w:sz w:val="24"/>
          <w14:textFill>
            <w14:solidFill>
              <w14:schemeClr w14:val="tx1"/>
            </w14:solidFill>
          </w14:textFill>
        </w:rPr>
      </w:pPr>
      <w:r>
        <w:rPr>
          <w:rFonts w:ascii="Times New Roman" w:hAnsi="Times New Roman" w:eastAsia="仿宋_GB2312"/>
          <w:color w:val="000000"/>
          <w:sz w:val="30"/>
          <w:szCs w:val="32"/>
        </w:rPr>
        <w:t>3、单价合同的总价项目支付分解表的编制与审批：</w:t>
      </w:r>
      <w:r>
        <w:rPr>
          <w:rFonts w:hint="eastAsia" w:ascii="Times New Roman" w:hAnsi="Times New Roman" w:eastAsia="仿宋_GB2312"/>
          <w:color w:val="000000"/>
          <w:sz w:val="30"/>
          <w:szCs w:val="32"/>
          <w:u w:val="single"/>
        </w:rPr>
        <w:t>不适用</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pPr>
        <w:spacing w:line="360"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13.验收和工程试车</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13.1 分部分项工程验收</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13.1.2监理人不能按时进行验收时，应提前</w:t>
      </w:r>
      <w:r>
        <w:rPr>
          <w:rFonts w:hint="eastAsia" w:ascii="宋体" w:hAnsi="宋体"/>
          <w:color w:val="000000" w:themeColor="text1"/>
          <w:kern w:val="0"/>
          <w:sz w:val="24"/>
          <w:u w:val="single"/>
          <w14:textFill>
            <w14:solidFill>
              <w14:schemeClr w14:val="tx1"/>
            </w14:solidFill>
          </w14:textFill>
        </w:rPr>
        <w:t>24</w:t>
      </w:r>
      <w:r>
        <w:rPr>
          <w:rFonts w:ascii="宋体" w:hAnsi="宋体"/>
          <w:color w:val="000000" w:themeColor="text1"/>
          <w:kern w:val="0"/>
          <w:sz w:val="24"/>
          <w14:textFill>
            <w14:solidFill>
              <w14:schemeClr w14:val="tx1"/>
            </w14:solidFill>
          </w14:textFill>
        </w:rPr>
        <w:t>小时提交书面延期要求。</w:t>
      </w:r>
    </w:p>
    <w:p>
      <w:pPr>
        <w:widowControl/>
        <w:spacing w:line="360" w:lineRule="auto"/>
        <w:ind w:firstLine="480" w:firstLineChars="200"/>
        <w:jc w:val="left"/>
        <w:rPr>
          <w:rFonts w:ascii="宋体" w:hAnsi="宋体"/>
          <w:b/>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关于延期最长不得超过：</w:t>
      </w:r>
      <w:r>
        <w:rPr>
          <w:rFonts w:hint="eastAsia" w:ascii="宋体" w:hAnsi="宋体"/>
          <w:color w:val="000000" w:themeColor="text1"/>
          <w:kern w:val="0"/>
          <w:sz w:val="24"/>
          <w:u w:val="single"/>
          <w14:textFill>
            <w14:solidFill>
              <w14:schemeClr w14:val="tx1"/>
            </w14:solidFill>
          </w14:textFill>
        </w:rPr>
        <w:t>48</w:t>
      </w:r>
      <w:r>
        <w:rPr>
          <w:rFonts w:ascii="宋体" w:hAnsi="宋体"/>
          <w:color w:val="000000" w:themeColor="text1"/>
          <w:kern w:val="0"/>
          <w:sz w:val="24"/>
          <w14:textFill>
            <w14:solidFill>
              <w14:schemeClr w14:val="tx1"/>
            </w14:solidFill>
          </w14:textFill>
        </w:rPr>
        <w:t>小时。</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13.2 竣工验收</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13.2.2竣工验收程序</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关于竣工验收程序的约定：</w:t>
      </w:r>
      <w:r>
        <w:rPr>
          <w:rFonts w:hint="eastAsia" w:ascii="宋体" w:hAnsi="宋体"/>
          <w:color w:val="000000" w:themeColor="text1"/>
          <w:kern w:val="0"/>
          <w:sz w:val="24"/>
          <w:u w:val="single"/>
          <w14:textFill>
            <w14:solidFill>
              <w14:schemeClr w14:val="tx1"/>
            </w14:solidFill>
          </w14:textFill>
        </w:rPr>
        <w:t>按通用条款规定执行</w:t>
      </w:r>
      <w:r>
        <w:rPr>
          <w:rFonts w:ascii="宋体" w:hAnsi="宋体"/>
          <w:color w:val="000000" w:themeColor="text1"/>
          <w:kern w:val="0"/>
          <w:sz w:val="24"/>
          <w14:textFill>
            <w14:solidFill>
              <w14:schemeClr w14:val="tx1"/>
            </w14:solidFill>
          </w14:textFill>
        </w:rPr>
        <w:t xml:space="preserve"> 。</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发包人不按照本项约定组织竣工验收、颁发工程接收证书的违约金的计算方法：</w:t>
      </w:r>
      <w:r>
        <w:rPr>
          <w:rFonts w:hint="eastAsia" w:ascii="宋体" w:hAnsi="宋体"/>
          <w:color w:val="000000" w:themeColor="text1"/>
          <w:kern w:val="0"/>
          <w:sz w:val="24"/>
          <w:u w:val="single"/>
          <w14:textFill>
            <w14:solidFill>
              <w14:schemeClr w14:val="tx1"/>
            </w14:solidFill>
          </w14:textFill>
        </w:rPr>
        <w:t>不计违约金。</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13.2.5移交、接收全部与部分工程</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承包人向发包人移交工程的期限：</w:t>
      </w:r>
      <w:r>
        <w:rPr>
          <w:rFonts w:hint="eastAsia" w:ascii="宋体" w:hAnsi="宋体"/>
          <w:color w:val="000000" w:themeColor="text1"/>
          <w:kern w:val="0"/>
          <w:sz w:val="24"/>
          <w:u w:val="single"/>
          <w14:textFill>
            <w14:solidFill>
              <w14:schemeClr w14:val="tx1"/>
            </w14:solidFill>
          </w14:textFill>
        </w:rPr>
        <w:t>颁发工程接收证书后7天内完成工程的移交，如发包人根据项目开发需要分部验收和分部移交的，承包人须按发包人要求完成</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发包人未按本合同约定接收全部或部分工程的，违约金的计算方法为：</w:t>
      </w:r>
      <w:r>
        <w:rPr>
          <w:rFonts w:hint="eastAsia" w:ascii="宋体" w:hAnsi="宋体"/>
          <w:color w:val="000000" w:themeColor="text1"/>
          <w:kern w:val="0"/>
          <w:sz w:val="24"/>
          <w:u w:val="single"/>
          <w14:textFill>
            <w14:solidFill>
              <w14:schemeClr w14:val="tx1"/>
            </w14:solidFill>
          </w14:textFill>
        </w:rPr>
        <w:t>不计违约金</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承包人未按时移交工程的，违约金的计算方法为：</w:t>
      </w:r>
      <w:r>
        <w:rPr>
          <w:rFonts w:hint="eastAsia" w:ascii="宋体" w:hAnsi="宋体"/>
          <w:color w:val="000000" w:themeColor="text1"/>
          <w:kern w:val="0"/>
          <w:sz w:val="24"/>
          <w:u w:val="single"/>
          <w14:textFill>
            <w14:solidFill>
              <w14:schemeClr w14:val="tx1"/>
            </w14:solidFill>
          </w14:textFill>
        </w:rPr>
        <w:t>承包人向发包人支付10万元/天的违约金；如因此导致逾期移交的，发包人因逾期移交导致的损失由承包人承担，承包人应按发包人实际发生损失承担违约金</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13.3 工程试车</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13.3.1 试车程序</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工程试车内容：</w:t>
      </w:r>
      <w:r>
        <w:rPr>
          <w:rFonts w:hint="eastAsia" w:ascii="宋体" w:hAnsi="宋体"/>
          <w:color w:val="000000" w:themeColor="text1"/>
          <w:kern w:val="0"/>
          <w:sz w:val="24"/>
          <w:u w:val="single"/>
          <w14:textFill>
            <w14:solidFill>
              <w14:schemeClr w14:val="tx1"/>
            </w14:solidFill>
          </w14:textFill>
        </w:rPr>
        <w:t>工程需要试车的，试车内容应与承包人承包范围相一致，试车费用由承包人承担，工程试车程序应按通用条款规定执行</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（1）单机无负荷试车费用由</w:t>
      </w:r>
      <w:r>
        <w:rPr>
          <w:rFonts w:hint="eastAsia" w:ascii="宋体" w:hAnsi="宋体"/>
          <w:color w:val="000000" w:themeColor="text1"/>
          <w:kern w:val="0"/>
          <w:sz w:val="24"/>
          <w:u w:val="single"/>
          <w14:textFill>
            <w14:solidFill>
              <w14:schemeClr w14:val="tx1"/>
            </w14:solidFill>
          </w14:textFill>
        </w:rPr>
        <w:t>承包人</w:t>
      </w:r>
      <w:r>
        <w:rPr>
          <w:rFonts w:ascii="宋体" w:hAnsi="宋体"/>
          <w:color w:val="000000" w:themeColor="text1"/>
          <w:kern w:val="0"/>
          <w:sz w:val="24"/>
          <w14:textFill>
            <w14:solidFill>
              <w14:schemeClr w14:val="tx1"/>
            </w14:solidFill>
          </w14:textFill>
        </w:rPr>
        <w:t>承担；</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（2）无负荷联动试车费用由</w:t>
      </w:r>
      <w:r>
        <w:rPr>
          <w:rFonts w:hint="eastAsia" w:ascii="宋体" w:hAnsi="宋体"/>
          <w:color w:val="000000" w:themeColor="text1"/>
          <w:kern w:val="0"/>
          <w:sz w:val="24"/>
          <w:u w:val="single"/>
          <w14:textFill>
            <w14:solidFill>
              <w14:schemeClr w14:val="tx1"/>
            </w14:solidFill>
          </w14:textFill>
        </w:rPr>
        <w:t xml:space="preserve">承包人 </w:t>
      </w:r>
      <w:r>
        <w:rPr>
          <w:rFonts w:ascii="宋体" w:hAnsi="宋体"/>
          <w:color w:val="000000" w:themeColor="text1"/>
          <w:kern w:val="0"/>
          <w:sz w:val="24"/>
          <w14:textFill>
            <w14:solidFill>
              <w14:schemeClr w14:val="tx1"/>
            </w14:solidFill>
          </w14:textFill>
        </w:rPr>
        <w:t>承担。</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13.3.3 投料试车</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关于投料试车相关事项的约定：</w:t>
      </w:r>
      <w:r>
        <w:rPr>
          <w:rFonts w:hint="eastAsia" w:ascii="宋体" w:hAnsi="宋体"/>
          <w:color w:val="000000" w:themeColor="text1"/>
          <w:kern w:val="0"/>
          <w:sz w:val="24"/>
          <w:u w:val="single"/>
          <w14:textFill>
            <w14:solidFill>
              <w14:schemeClr w14:val="tx1"/>
            </w14:solidFill>
          </w14:textFill>
        </w:rPr>
        <w:t xml:space="preserve">如需进行投料试车的，按通用条款规定执行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13.6 竣工退场</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13.6.1 竣工退场</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承包人完成竣工退场的期限：</w:t>
      </w:r>
      <w:r>
        <w:rPr>
          <w:rFonts w:hint="eastAsia" w:ascii="宋体" w:hAnsi="宋体"/>
          <w:color w:val="000000" w:themeColor="text1"/>
          <w:kern w:val="0"/>
          <w:sz w:val="24"/>
          <w:u w:val="single"/>
          <w14:textFill>
            <w14:solidFill>
              <w14:schemeClr w14:val="tx1"/>
            </w14:solidFill>
          </w14:textFill>
        </w:rPr>
        <w:t>颁发工程接收证书后7天内</w:t>
      </w:r>
      <w:r>
        <w:rPr>
          <w:rFonts w:ascii="宋体" w:hAnsi="宋体"/>
          <w:color w:val="000000" w:themeColor="text1"/>
          <w:kern w:val="0"/>
          <w:sz w:val="24"/>
          <w14:textFill>
            <w14:solidFill>
              <w14:schemeClr w14:val="tx1"/>
            </w14:solidFill>
          </w14:textFill>
        </w:rPr>
        <w:t>。</w:t>
      </w:r>
    </w:p>
    <w:p>
      <w:pPr>
        <w:spacing w:line="360"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14. 竣工结算</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14.1</w:t>
      </w:r>
      <w:r>
        <w:rPr>
          <w:rFonts w:hint="eastAsia" w:ascii="宋体" w:hAnsi="宋体" w:cs="仿宋"/>
          <w:color w:val="000000" w:themeColor="text1"/>
          <w:sz w:val="24"/>
          <w14:textFill>
            <w14:solidFill>
              <w14:schemeClr w14:val="tx1"/>
            </w14:solidFill>
          </w14:textFill>
        </w:rPr>
        <w:t>结算原则</w:t>
      </w:r>
    </w:p>
    <w:p>
      <w:pPr>
        <w:widowControl/>
        <w:spacing w:line="360" w:lineRule="auto"/>
        <w:ind w:firstLine="480" w:firstLineChars="200"/>
        <w:rPr>
          <w:rFonts w:ascii="宋体" w:hAnsi="宋体" w:cs="宋体"/>
          <w:snapToGrid w:val="0"/>
          <w:color w:val="000000" w:themeColor="text1"/>
          <w:kern w:val="0"/>
          <w:sz w:val="24"/>
          <w:u w:val="single"/>
          <w14:textFill>
            <w14:solidFill>
              <w14:schemeClr w14:val="tx1"/>
            </w14:solidFill>
          </w14:textFill>
        </w:rPr>
      </w:pPr>
      <w:r>
        <w:rPr>
          <w:rFonts w:hint="eastAsia" w:ascii="宋体" w:hAnsi="宋体" w:cs="仿宋"/>
          <w:color w:val="000000" w:themeColor="text1"/>
          <w:sz w:val="24"/>
          <w14:textFill>
            <w14:solidFill>
              <w14:schemeClr w14:val="tx1"/>
            </w14:solidFill>
          </w14:textFill>
        </w:rPr>
        <w:t>以按实结算的方式进行结算。根据住建部《住房和城乡建设部关于印发“十四五”建筑业发展规划的通知》和住建部《建筑工程施工发包与承包计价管理办法》16号部令相关规定推行施工过程结算和支付，本项目可根据实际情况分阶段、分批次单独结算。</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w:t>
      </w:r>
      <w:r>
        <w:rPr>
          <w:rFonts w:ascii="宋体" w:hAnsi="宋体" w:cs="仿宋"/>
          <w:color w:val="000000" w:themeColor="text1"/>
          <w:sz w:val="24"/>
          <w14:textFill>
            <w14:solidFill>
              <w14:schemeClr w14:val="tx1"/>
            </w14:solidFill>
          </w14:textFill>
        </w:rPr>
        <w:t>4.2</w:t>
      </w:r>
      <w:r>
        <w:rPr>
          <w:rFonts w:hint="eastAsia" w:ascii="宋体" w:hAnsi="宋体" w:cs="仿宋"/>
          <w:color w:val="000000" w:themeColor="text1"/>
          <w:sz w:val="24"/>
          <w14:textFill>
            <w14:solidFill>
              <w14:schemeClr w14:val="tx1"/>
            </w14:solidFill>
          </w14:textFill>
        </w:rPr>
        <w:t>结算依据</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w:t>
      </w:r>
      <w:r>
        <w:rPr>
          <w:rFonts w:ascii="宋体" w:hAnsi="宋体" w:cs="仿宋"/>
          <w:color w:val="000000" w:themeColor="text1"/>
          <w:sz w:val="24"/>
          <w14:textFill>
            <w14:solidFill>
              <w14:schemeClr w14:val="tx1"/>
            </w14:solidFill>
          </w14:textFill>
        </w:rPr>
        <w:t>4.2.1</w:t>
      </w:r>
      <w:r>
        <w:rPr>
          <w:rFonts w:hint="eastAsia" w:ascii="宋体" w:hAnsi="宋体" w:cs="仿宋"/>
          <w:color w:val="000000" w:themeColor="text1"/>
          <w:sz w:val="24"/>
          <w14:textFill>
            <w14:solidFill>
              <w14:schemeClr w14:val="tx1"/>
            </w14:solidFill>
          </w14:textFill>
        </w:rPr>
        <w:t>工程量为经审核的施工图预算中工程量、设计变更工程量及零星签证工程量之和；</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14.2.2</w:t>
      </w:r>
      <w:r>
        <w:rPr>
          <w:rFonts w:hint="eastAsia" w:ascii="宋体" w:hAnsi="宋体" w:cs="仿宋"/>
          <w:color w:val="000000" w:themeColor="text1"/>
          <w:sz w:val="24"/>
          <w14:textFill>
            <w14:solidFill>
              <w14:schemeClr w14:val="tx1"/>
            </w14:solidFill>
          </w14:textFill>
        </w:rPr>
        <w:t>结算的工程量清单综合单价以签订的补充协议中的综合单价及施工过程中产生的新增综合单价为依据；</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14.2.3</w:t>
      </w:r>
      <w:r>
        <w:rPr>
          <w:rFonts w:hint="eastAsia" w:ascii="宋体" w:hAnsi="宋体" w:cs="仿宋"/>
          <w:color w:val="000000" w:themeColor="text1"/>
          <w:sz w:val="24"/>
          <w14:textFill>
            <w14:solidFill>
              <w14:schemeClr w14:val="tx1"/>
            </w14:solidFill>
          </w14:textFill>
        </w:rPr>
        <w:t>结算主要材料调差按照本合同11.1条款执行。</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14.3结算时限</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14.3.1发包人自接受承包人报送的完整竣工结算资料之日起，</w:t>
      </w:r>
      <w:r>
        <w:rPr>
          <w:rFonts w:hint="eastAsia" w:ascii="宋体" w:hAnsi="宋体" w:cs="仿宋"/>
          <w:color w:val="000000" w:themeColor="text1"/>
          <w:sz w:val="24"/>
          <w:u w:val="single"/>
          <w14:textFill>
            <w14:solidFill>
              <w14:schemeClr w14:val="tx1"/>
            </w14:solidFill>
          </w14:textFill>
        </w:rPr>
        <w:t>120</w:t>
      </w:r>
      <w:r>
        <w:rPr>
          <w:rFonts w:hint="eastAsia" w:ascii="宋体" w:hAnsi="宋体" w:cs="仿宋"/>
          <w:color w:val="000000" w:themeColor="text1"/>
          <w:sz w:val="24"/>
          <w14:textFill>
            <w14:solidFill>
              <w14:schemeClr w14:val="tx1"/>
            </w14:solidFill>
          </w14:textFill>
        </w:rPr>
        <w:t>日内经发包人委托的造价咨询单位完成结算审核；</w:t>
      </w:r>
    </w:p>
    <w:p>
      <w:pPr>
        <w:widowControl/>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14.3.2鉴于本项目为城市基础配套设施建设，依据《昆明市人民政府令第153号》，应以政府审计部门审定的结算金额为准；若结算经发包人委托的造价咨询单位审定后一年内政府审计部门未对本项目审计，最终结算金额以发包人委托的造价咨询单位审定的金额为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4工程结算价款支付</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14.4.1工程结算经相关审计单位审定后，发包人收到最终结清证书并扣除工程结算总额3</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作为质量保证金后，支付剩余工程余款，工程质量保修金按质量保修书的约定无息退还。</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14.4.2在结算款项支付前承包人应提交正规增值税专用发票及相关款项支付依据，涉及代扣代缴的以税法规定为准。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14.5承包人报送结算时根据发包人的管理规定需递交《结算承诺书》，承包人报送的竣工结算资料其真实性、完整性由承包人负责，发包人一旦接收竣工结算资料后，中间不再接收承包人补充的任何资料（发包人需要补充的资料除外）。</w:t>
      </w:r>
    </w:p>
    <w:p>
      <w:pPr>
        <w:spacing w:line="360"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15. 缺陷责任期与保修</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15.2缺陷责任期</w:t>
      </w:r>
    </w:p>
    <w:p>
      <w:pPr>
        <w:spacing w:line="360" w:lineRule="auto"/>
        <w:ind w:firstLine="360" w:firstLineChars="150"/>
        <w:jc w:val="left"/>
        <w:rPr>
          <w:rFonts w:ascii="宋体" w:hAnsi="宋体"/>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缺陷责任期的具体期限：</w:t>
      </w:r>
      <w:r>
        <w:rPr>
          <w:rFonts w:hint="eastAsia" w:ascii="宋体" w:hAnsi="宋体"/>
          <w:color w:val="000000" w:themeColor="text1"/>
          <w:sz w:val="24"/>
          <w14:textFill>
            <w14:solidFill>
              <w14:schemeClr w14:val="tx1"/>
            </w14:solidFill>
          </w14:textFill>
        </w:rPr>
        <w:t>绿化工程部分缺陷责任期为1年，其余</w:t>
      </w:r>
      <w:r>
        <w:rPr>
          <w:rFonts w:hint="eastAsia" w:ascii="宋体" w:hAnsi="宋体"/>
          <w:color w:val="000000" w:themeColor="text1"/>
          <w:kern w:val="1"/>
          <w:sz w:val="24"/>
          <w14:textFill>
            <w14:solidFill>
              <w14:schemeClr w14:val="tx1"/>
            </w14:solidFill>
          </w14:textFill>
        </w:rPr>
        <w:t>工程缺陷责任期为2年</w:t>
      </w:r>
      <w:r>
        <w:rPr>
          <w:rFonts w:ascii="宋体" w:hAnsi="宋体"/>
          <w:color w:val="000000" w:themeColor="text1"/>
          <w:kern w:val="1"/>
          <w:sz w:val="24"/>
          <w14:textFill>
            <w14:solidFill>
              <w14:schemeClr w14:val="tx1"/>
            </w14:solidFill>
          </w14:textFill>
        </w:rPr>
        <w:t>，缺陷责任期自工程验收合格之日起计算。</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15.3 质量保证金</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关于是否扣留质量保证金的约定：</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以相关审计单位审计审定工程审定结算金额的3%作为质量保证金，质量保证金在缺陷责任期满</w:t>
      </w:r>
      <w:r>
        <w:rPr>
          <w:rFonts w:hint="eastAsia" w:ascii="宋体" w:hAnsi="宋体"/>
          <w:color w:val="000000" w:themeColor="text1"/>
          <w:sz w:val="24"/>
          <w:u w:val="single"/>
          <w14:textFill>
            <w14:solidFill>
              <w14:schemeClr w14:val="tx1"/>
            </w14:solidFill>
          </w14:textFill>
        </w:rPr>
        <w:t>14天内</w:t>
      </w:r>
      <w:r>
        <w:rPr>
          <w:rFonts w:hint="eastAsia" w:ascii="宋体" w:hAnsi="宋体"/>
          <w:color w:val="000000" w:themeColor="text1"/>
          <w:kern w:val="0"/>
          <w:sz w:val="24"/>
          <w:u w:val="single"/>
          <w14:textFill>
            <w14:solidFill>
              <w14:schemeClr w14:val="tx1"/>
            </w14:solidFill>
          </w14:textFill>
        </w:rPr>
        <w:t>后无息退还。</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15.3.1 </w:t>
      </w:r>
      <w:r>
        <w:rPr>
          <w:rFonts w:hint="eastAsia" w:ascii="宋体" w:hAnsi="宋体"/>
          <w:color w:val="000000" w:themeColor="text1"/>
          <w:kern w:val="0"/>
          <w:sz w:val="24"/>
          <w14:textFill>
            <w14:solidFill>
              <w14:schemeClr w14:val="tx1"/>
            </w14:solidFill>
          </w14:textFill>
        </w:rPr>
        <w:t>承包人提供</w:t>
      </w:r>
      <w:r>
        <w:rPr>
          <w:rFonts w:ascii="宋体" w:hAnsi="宋体"/>
          <w:color w:val="000000" w:themeColor="text1"/>
          <w:kern w:val="0"/>
          <w:sz w:val="24"/>
          <w14:textFill>
            <w14:solidFill>
              <w14:schemeClr w14:val="tx1"/>
            </w14:solidFill>
          </w14:textFill>
        </w:rPr>
        <w:t>质量保证金的</w:t>
      </w:r>
      <w:r>
        <w:rPr>
          <w:rFonts w:hint="eastAsia" w:ascii="宋体" w:hAnsi="宋体"/>
          <w:color w:val="000000" w:themeColor="text1"/>
          <w:kern w:val="0"/>
          <w:sz w:val="24"/>
          <w14:textFill>
            <w14:solidFill>
              <w14:schemeClr w14:val="tx1"/>
            </w14:solidFill>
          </w14:textFill>
        </w:rPr>
        <w:t>方</w:t>
      </w:r>
      <w:r>
        <w:rPr>
          <w:rFonts w:ascii="宋体" w:hAnsi="宋体"/>
          <w:color w:val="000000" w:themeColor="text1"/>
          <w:kern w:val="0"/>
          <w:sz w:val="24"/>
          <w14:textFill>
            <w14:solidFill>
              <w14:schemeClr w14:val="tx1"/>
            </w14:solidFill>
          </w14:textFill>
        </w:rPr>
        <w:t>式</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质量保证金采用以下第</w:t>
      </w:r>
      <w:r>
        <w:rPr>
          <w:rFonts w:hint="eastAsia" w:ascii="宋体" w:hAnsi="宋体"/>
          <w:color w:val="000000" w:themeColor="text1"/>
          <w:kern w:val="0"/>
          <w:sz w:val="24"/>
          <w:u w:val="single"/>
          <w14:textFill>
            <w14:solidFill>
              <w14:schemeClr w14:val="tx1"/>
            </w14:solidFill>
          </w14:textFill>
        </w:rPr>
        <w:t xml:space="preserve"> 1</w:t>
      </w:r>
      <w:r>
        <w:rPr>
          <w:rFonts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种方式：</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（1）质量保证金保函，保证金额为：</w:t>
      </w:r>
      <w:r>
        <w:rPr>
          <w:rFonts w:hint="eastAsia" w:ascii="宋体" w:hAnsi="宋体"/>
          <w:color w:val="000000" w:themeColor="text1"/>
          <w:kern w:val="0"/>
          <w:sz w:val="24"/>
          <w:u w:val="single"/>
          <w14:textFill>
            <w14:solidFill>
              <w14:schemeClr w14:val="tx1"/>
            </w14:solidFill>
          </w14:textFill>
        </w:rPr>
        <w:t>审计审定结算价款的3%</w:t>
      </w:r>
      <w:r>
        <w:rPr>
          <w:rFonts w:ascii="宋体" w:hAnsi="宋体"/>
          <w:color w:val="000000" w:themeColor="text1"/>
          <w:kern w:val="0"/>
          <w:sz w:val="24"/>
          <w14:textFill>
            <w14:solidFill>
              <w14:schemeClr w14:val="tx1"/>
            </w14:solidFill>
          </w14:textFill>
        </w:rPr>
        <w:t xml:space="preserve">； </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bCs/>
          <w:color w:val="000000" w:themeColor="text1"/>
          <w:kern w:val="0"/>
          <w:sz w:val="24"/>
          <w:u w:val="single"/>
          <w14:textFill>
            <w14:solidFill>
              <w14:schemeClr w14:val="tx1"/>
            </w14:solidFill>
          </w14:textFill>
        </w:rPr>
        <w:t xml:space="preserve"> </w:t>
      </w:r>
      <w:r>
        <w:rPr>
          <w:rFonts w:ascii="宋体" w:hAnsi="宋体"/>
          <w:bCs/>
          <w:color w:val="000000" w:themeColor="text1"/>
          <w:kern w:val="0"/>
          <w:sz w:val="24"/>
          <w:u w:val="single"/>
          <w14:textFill>
            <w14:solidFill>
              <w14:schemeClr w14:val="tx1"/>
            </w14:solidFill>
          </w14:textFill>
        </w:rPr>
        <w:t xml:space="preserve">   </w:t>
      </w:r>
      <w:r>
        <w:rPr>
          <w:rFonts w:hint="eastAsia" w:ascii="宋体" w:hAnsi="宋体"/>
          <w:bCs/>
          <w:color w:val="000000" w:themeColor="text1"/>
          <w:kern w:val="0"/>
          <w:sz w:val="24"/>
          <w:u w:val="single"/>
          <w14:textFill>
            <w14:solidFill>
              <w14:schemeClr w14:val="tx1"/>
            </w14:solidFill>
          </w14:textFill>
        </w:rPr>
        <w:t>/</w:t>
      </w:r>
      <w:r>
        <w:rPr>
          <w:rFonts w:ascii="宋体" w:hAnsi="宋体"/>
          <w:bCs/>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%的工程款；</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（3）其他</w:t>
      </w:r>
      <w:r>
        <w:rPr>
          <w:rFonts w:hint="eastAsia" w:ascii="宋体" w:hAnsi="宋体"/>
          <w:color w:val="000000" w:themeColor="text1"/>
          <w:kern w:val="0"/>
          <w:sz w:val="24"/>
          <w14:textFill>
            <w14:solidFill>
              <w14:schemeClr w14:val="tx1"/>
            </w14:solidFill>
          </w14:textFill>
        </w:rPr>
        <w:t>方</w:t>
      </w:r>
      <w:r>
        <w:rPr>
          <w:rFonts w:ascii="宋体" w:hAnsi="宋体"/>
          <w:color w:val="000000" w:themeColor="text1"/>
          <w:kern w:val="0"/>
          <w:sz w:val="24"/>
          <w14:textFill>
            <w14:solidFill>
              <w14:schemeClr w14:val="tx1"/>
            </w14:solidFill>
          </w14:textFill>
        </w:rPr>
        <w:t>式</w:t>
      </w:r>
      <w:r>
        <w:rPr>
          <w:rFonts w:hint="eastAsia" w:ascii="宋体" w:hAnsi="宋体"/>
          <w:color w:val="000000" w:themeColor="text1"/>
          <w:kern w:val="0"/>
          <w:sz w:val="24"/>
          <w14:textFill>
            <w14:solidFill>
              <w14:schemeClr w14:val="tx1"/>
            </w14:solidFill>
          </w14:textFill>
        </w:rPr>
        <w:t>：</w:t>
      </w:r>
      <w:r>
        <w:rPr>
          <w:rFonts w:hint="eastAsia" w:ascii="宋体" w:hAnsi="宋体"/>
          <w:bCs/>
          <w:color w:val="000000" w:themeColor="text1"/>
          <w:kern w:val="0"/>
          <w:sz w:val="24"/>
          <w:u w:val="single"/>
          <w14:textFill>
            <w14:solidFill>
              <w14:schemeClr w14:val="tx1"/>
            </w14:solidFill>
          </w14:textFill>
        </w:rPr>
        <w:t xml:space="preserve"> </w:t>
      </w:r>
      <w:r>
        <w:rPr>
          <w:rFonts w:ascii="宋体" w:hAnsi="宋体"/>
          <w:bCs/>
          <w:color w:val="000000" w:themeColor="text1"/>
          <w:kern w:val="0"/>
          <w:sz w:val="24"/>
          <w:u w:val="single"/>
          <w14:textFill>
            <w14:solidFill>
              <w14:schemeClr w14:val="tx1"/>
            </w14:solidFill>
          </w14:textFill>
        </w:rPr>
        <w:t xml:space="preserve">   </w:t>
      </w:r>
      <w:r>
        <w:rPr>
          <w:rFonts w:hint="eastAsia" w:ascii="宋体" w:hAnsi="宋体"/>
          <w:bCs/>
          <w:color w:val="000000" w:themeColor="text1"/>
          <w:kern w:val="0"/>
          <w:sz w:val="24"/>
          <w:u w:val="single"/>
          <w14:textFill>
            <w14:solidFill>
              <w14:schemeClr w14:val="tx1"/>
            </w14:solidFill>
          </w14:textFill>
        </w:rPr>
        <w:t>/</w:t>
      </w:r>
      <w:r>
        <w:rPr>
          <w:rFonts w:ascii="宋体" w:hAnsi="宋体"/>
          <w:bCs/>
          <w:color w:val="000000" w:themeColor="text1"/>
          <w:kern w:val="0"/>
          <w:sz w:val="24"/>
          <w:u w:val="single"/>
          <w14:textFill>
            <w14:solidFill>
              <w14:schemeClr w14:val="tx1"/>
            </w14:solidFill>
          </w14:textFill>
        </w:rPr>
        <w:t xml:space="preserve">    </w:t>
      </w:r>
      <w:r>
        <w:rPr>
          <w:rFonts w:ascii="宋体" w:hAnsi="宋体"/>
          <w:bCs/>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15.3.2 质量保证金的扣留 </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质量保证金的扣留采取以下第</w:t>
      </w:r>
      <w:r>
        <w:rPr>
          <w:rFonts w:hint="eastAsia" w:ascii="宋体" w:hAnsi="宋体"/>
          <w:color w:val="000000" w:themeColor="text1"/>
          <w:kern w:val="0"/>
          <w:sz w:val="24"/>
          <w:u w:val="single"/>
          <w14:textFill>
            <w14:solidFill>
              <w14:schemeClr w14:val="tx1"/>
            </w14:solidFill>
          </w14:textFill>
        </w:rPr>
        <w:t xml:space="preserve"> 2</w:t>
      </w:r>
      <w:r>
        <w:rPr>
          <w:rFonts w:ascii="宋体" w:hAnsi="宋体"/>
          <w:color w:val="000000" w:themeColor="text1"/>
          <w:kern w:val="0"/>
          <w:sz w:val="24"/>
          <w14:textFill>
            <w14:solidFill>
              <w14:schemeClr w14:val="tx1"/>
            </w14:solidFill>
          </w14:textFill>
        </w:rPr>
        <w:t>种方式：</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（1）在支付工程进度款时逐次扣留，在此情形下，质量保证金的计算基数不包括预付款的支付、扣回以及价格调整的金额；</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（2）工程竣工结算时一次性扣留质量保证金；</w:t>
      </w:r>
    </w:p>
    <w:p>
      <w:pPr>
        <w:widowControl/>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（3）其他扣留方式</w:t>
      </w:r>
      <w:r>
        <w:rPr>
          <w:rFonts w:hint="eastAsia" w:ascii="宋体" w:hAnsi="宋体"/>
          <w:color w:val="000000" w:themeColor="text1"/>
          <w:kern w:val="0"/>
          <w:sz w:val="24"/>
          <w14:textFill>
            <w14:solidFill>
              <w14:schemeClr w14:val="tx1"/>
            </w14:solidFill>
          </w14:textFill>
        </w:rPr>
        <w:t>：</w:t>
      </w:r>
      <w:r>
        <w:rPr>
          <w:rFonts w:hint="eastAsia" w:ascii="宋体" w:hAnsi="宋体"/>
          <w:bCs/>
          <w:color w:val="000000" w:themeColor="text1"/>
          <w:kern w:val="0"/>
          <w:sz w:val="24"/>
          <w:u w:val="single"/>
          <w14:textFill>
            <w14:solidFill>
              <w14:schemeClr w14:val="tx1"/>
            </w14:solidFill>
          </w14:textFill>
        </w:rPr>
        <w:t xml:space="preserve"> </w:t>
      </w:r>
      <w:r>
        <w:rPr>
          <w:rFonts w:ascii="宋体" w:hAnsi="宋体"/>
          <w:bCs/>
          <w:color w:val="000000" w:themeColor="text1"/>
          <w:kern w:val="0"/>
          <w:sz w:val="24"/>
          <w:u w:val="single"/>
          <w14:textFill>
            <w14:solidFill>
              <w14:schemeClr w14:val="tx1"/>
            </w14:solidFill>
          </w14:textFill>
        </w:rPr>
        <w:t xml:space="preserve">   </w:t>
      </w:r>
      <w:r>
        <w:rPr>
          <w:rFonts w:hint="eastAsia" w:ascii="宋体" w:hAnsi="宋体"/>
          <w:bCs/>
          <w:color w:val="000000" w:themeColor="text1"/>
          <w:kern w:val="0"/>
          <w:sz w:val="24"/>
          <w:u w:val="single"/>
          <w14:textFill>
            <w14:solidFill>
              <w14:schemeClr w14:val="tx1"/>
            </w14:solidFill>
          </w14:textFill>
        </w:rPr>
        <w:t>/</w:t>
      </w:r>
      <w:r>
        <w:rPr>
          <w:rFonts w:ascii="宋体" w:hAnsi="宋体"/>
          <w:bCs/>
          <w:color w:val="000000" w:themeColor="text1"/>
          <w:kern w:val="0"/>
          <w:sz w:val="24"/>
          <w:u w:val="single"/>
          <w14:textFill>
            <w14:solidFill>
              <w14:schemeClr w14:val="tx1"/>
            </w14:solidFill>
          </w14:textFill>
        </w:rPr>
        <w:t xml:space="preserve">    </w:t>
      </w:r>
      <w:r>
        <w:rPr>
          <w:rFonts w:ascii="宋体" w:hAnsi="宋体"/>
          <w:bCs/>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15.4保修</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15.4.1 保修责任</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工程保修期为：</w:t>
      </w:r>
      <w:r>
        <w:rPr>
          <w:rFonts w:hint="eastAsia" w:ascii="宋体" w:hAnsi="宋体"/>
          <w:color w:val="000000" w:themeColor="text1"/>
          <w:kern w:val="0"/>
          <w:sz w:val="24"/>
          <w14:textFill>
            <w14:solidFill>
              <w14:schemeClr w14:val="tx1"/>
            </w14:solidFill>
          </w14:textFill>
        </w:rPr>
        <w:t>在</w:t>
      </w:r>
      <w:r>
        <w:rPr>
          <w:rFonts w:ascii="宋体" w:hAnsi="宋体"/>
          <w:color w:val="000000" w:themeColor="text1"/>
          <w:kern w:val="0"/>
          <w:sz w:val="24"/>
          <w14:textFill>
            <w14:solidFill>
              <w14:schemeClr w14:val="tx1"/>
            </w14:solidFill>
          </w14:textFill>
        </w:rPr>
        <w:t>国务院第279号文《建设工程质量管理条例》</w:t>
      </w:r>
      <w:r>
        <w:rPr>
          <w:rFonts w:hint="eastAsia" w:ascii="宋体" w:hAnsi="宋体"/>
          <w:color w:val="000000" w:themeColor="text1"/>
          <w:kern w:val="0"/>
          <w:sz w:val="24"/>
          <w14:textFill>
            <w14:solidFill>
              <w14:schemeClr w14:val="tx1"/>
            </w14:solidFill>
          </w14:textFill>
        </w:rPr>
        <w:t>及其它国家、地方相关文件明示的各项保修期</w:t>
      </w:r>
      <w:r>
        <w:rPr>
          <w:rFonts w:ascii="宋体" w:hAnsi="宋体"/>
          <w:color w:val="000000" w:themeColor="text1"/>
          <w:kern w:val="0"/>
          <w:sz w:val="24"/>
          <w14:textFill>
            <w14:solidFill>
              <w14:schemeClr w14:val="tx1"/>
            </w14:solidFill>
          </w14:textFill>
        </w:rPr>
        <w:t>执行</w:t>
      </w:r>
      <w:r>
        <w:rPr>
          <w:rFonts w:hint="eastAsia"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15.4.3 修复通知</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承包人收到保修通知并到达工程现场的合理时间：</w:t>
      </w:r>
      <w:r>
        <w:rPr>
          <w:rFonts w:hint="eastAsia" w:ascii="宋体" w:hAnsi="宋体"/>
          <w:color w:val="000000" w:themeColor="text1"/>
          <w:kern w:val="0"/>
          <w:sz w:val="24"/>
          <w14:textFill>
            <w14:solidFill>
              <w14:schemeClr w14:val="tx1"/>
            </w14:solidFill>
          </w14:textFill>
        </w:rPr>
        <w:t>4</w:t>
      </w:r>
      <w:r>
        <w:rPr>
          <w:rFonts w:ascii="宋体" w:hAnsi="宋体"/>
          <w:color w:val="000000" w:themeColor="text1"/>
          <w:kern w:val="0"/>
          <w:sz w:val="24"/>
          <w14:textFill>
            <w14:solidFill>
              <w14:schemeClr w14:val="tx1"/>
            </w14:solidFill>
          </w14:textFill>
        </w:rPr>
        <w:t>8</w:t>
      </w:r>
      <w:r>
        <w:rPr>
          <w:rFonts w:hint="eastAsia" w:ascii="宋体" w:hAnsi="宋体"/>
          <w:color w:val="000000" w:themeColor="text1"/>
          <w:kern w:val="0"/>
          <w:sz w:val="24"/>
          <w14:textFill>
            <w14:solidFill>
              <w14:schemeClr w14:val="tx1"/>
            </w14:solidFill>
          </w14:textFill>
        </w:rPr>
        <w:t>小时内，若超过</w:t>
      </w:r>
      <w:r>
        <w:rPr>
          <w:rFonts w:ascii="宋体" w:hAnsi="宋体"/>
          <w:color w:val="000000" w:themeColor="text1"/>
          <w:kern w:val="0"/>
          <w:sz w:val="24"/>
          <w14:textFill>
            <w14:solidFill>
              <w14:schemeClr w14:val="tx1"/>
            </w14:solidFill>
          </w14:textFill>
        </w:rPr>
        <w:t>48</w:t>
      </w:r>
      <w:r>
        <w:rPr>
          <w:rFonts w:hint="eastAsia" w:ascii="宋体" w:hAnsi="宋体"/>
          <w:color w:val="000000" w:themeColor="text1"/>
          <w:kern w:val="0"/>
          <w:sz w:val="24"/>
          <w14:textFill>
            <w14:solidFill>
              <w14:schemeClr w14:val="tx1"/>
            </w14:solidFill>
          </w14:textFill>
        </w:rPr>
        <w:t>小时，未派员到场处理的，发包人有权自行安排修复，所产生费用由承包人承担，且承包人不得据此提出任何异议。</w:t>
      </w:r>
    </w:p>
    <w:p>
      <w:pPr>
        <w:spacing w:line="360"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16. 违约</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16.1 发包人违约</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16.1.1发包人违约的情形</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发包人违约的其他情形：</w:t>
      </w:r>
      <w:r>
        <w:rPr>
          <w:rFonts w:hint="eastAsia" w:ascii="宋体" w:hAnsi="宋体"/>
          <w:color w:val="000000" w:themeColor="text1"/>
          <w:kern w:val="0"/>
          <w:sz w:val="24"/>
          <w:u w:val="single"/>
          <w14:textFill>
            <w14:solidFill>
              <w14:schemeClr w14:val="tx1"/>
            </w14:solidFill>
          </w14:textFill>
        </w:rPr>
        <w:t>无</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16.1.2 发包人违约的责任</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发包人违约责任的承担方式和计算方法：</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（1）因发包人原因未能在计划开工日期前7天内下达开工通知的违约责任：</w:t>
      </w:r>
      <w:r>
        <w:rPr>
          <w:rFonts w:hint="eastAsia" w:ascii="宋体" w:hAnsi="宋体"/>
          <w:color w:val="000000" w:themeColor="text1"/>
          <w:kern w:val="0"/>
          <w:sz w:val="24"/>
          <w:u w:val="single"/>
          <w14:textFill>
            <w14:solidFill>
              <w14:schemeClr w14:val="tx1"/>
            </w14:solidFill>
          </w14:textFill>
        </w:rPr>
        <w:t>无</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（2）因发包人原因未能按合同约定支付合同价款的违约责任：</w:t>
      </w:r>
      <w:r>
        <w:rPr>
          <w:rFonts w:hint="eastAsia" w:ascii="宋体" w:hAnsi="宋体"/>
          <w:color w:val="000000" w:themeColor="text1"/>
          <w:kern w:val="0"/>
          <w:sz w:val="24"/>
          <w:u w:val="single"/>
          <w14:textFill>
            <w14:solidFill>
              <w14:schemeClr w14:val="tx1"/>
            </w14:solidFill>
          </w14:textFill>
        </w:rPr>
        <w:t>无</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（3）发包人违反第10.1款</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变更的范围</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第（2）项约定，自行实施被取消的工作或转由他人实施的违约责任：</w:t>
      </w:r>
      <w:r>
        <w:rPr>
          <w:rFonts w:hint="eastAsia" w:ascii="宋体" w:hAnsi="宋体"/>
          <w:color w:val="000000" w:themeColor="text1"/>
          <w:kern w:val="0"/>
          <w:sz w:val="24"/>
          <w:u w:val="single"/>
          <w14:textFill>
            <w14:solidFill>
              <w14:schemeClr w14:val="tx1"/>
            </w14:solidFill>
          </w14:textFill>
        </w:rPr>
        <w:t>无</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olor w:val="000000" w:themeColor="text1"/>
          <w:kern w:val="0"/>
          <w:sz w:val="24"/>
          <w:u w:val="single"/>
          <w14:textFill>
            <w14:solidFill>
              <w14:schemeClr w14:val="tx1"/>
            </w14:solidFill>
          </w14:textFill>
        </w:rPr>
        <w:t>无</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（5）因发包人违反合同约定造成暂停施工的违约责任：</w:t>
      </w:r>
      <w:r>
        <w:rPr>
          <w:rFonts w:hint="eastAsia" w:ascii="宋体" w:hAnsi="宋体"/>
          <w:color w:val="000000" w:themeColor="text1"/>
          <w:kern w:val="0"/>
          <w:sz w:val="24"/>
          <w:u w:val="single"/>
          <w14:textFill>
            <w14:solidFill>
              <w14:schemeClr w14:val="tx1"/>
            </w14:solidFill>
          </w14:textFill>
        </w:rPr>
        <w:t>无</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（6）发包人无正当理由没有在约定期限内发出复工指示，导致承包人无法复工的违约责任：</w:t>
      </w:r>
      <w:r>
        <w:rPr>
          <w:rFonts w:hint="eastAsia" w:ascii="宋体" w:hAnsi="宋体"/>
          <w:color w:val="000000" w:themeColor="text1"/>
          <w:kern w:val="0"/>
          <w:sz w:val="24"/>
          <w:u w:val="single"/>
          <w14:textFill>
            <w14:solidFill>
              <w14:schemeClr w14:val="tx1"/>
            </w14:solidFill>
          </w14:textFill>
        </w:rPr>
        <w:t>无</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w:t>
      </w:r>
      <w:r>
        <w:rPr>
          <w:rFonts w:hint="eastAsia" w:ascii="宋体" w:hAnsi="宋体"/>
          <w:color w:val="000000" w:themeColor="text1"/>
          <w:kern w:val="0"/>
          <w:sz w:val="24"/>
          <w14:textFill>
            <w14:solidFill>
              <w14:schemeClr w14:val="tx1"/>
            </w14:solidFill>
          </w14:textFill>
        </w:rPr>
        <w:t>其他：</w:t>
      </w:r>
      <w:r>
        <w:rPr>
          <w:rFonts w:hint="eastAsia" w:ascii="宋体" w:hAnsi="宋体"/>
          <w:color w:val="000000" w:themeColor="text1"/>
          <w:kern w:val="0"/>
          <w:sz w:val="24"/>
          <w:u w:val="single"/>
          <w14:textFill>
            <w14:solidFill>
              <w14:schemeClr w14:val="tx1"/>
            </w14:solidFill>
          </w14:textFill>
        </w:rPr>
        <w:t>无</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16.1.3 因发包人违约解除合同</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承包人按16.1.1项</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发包人违约的情形</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约定暂停施工满</w:t>
      </w:r>
      <w:r>
        <w:rPr>
          <w:rFonts w:ascii="宋体" w:hAnsi="宋体"/>
          <w:color w:val="000000" w:themeColor="text1"/>
          <w:kern w:val="0"/>
          <w:sz w:val="24"/>
          <w:u w:val="single"/>
          <w14:textFill>
            <w14:solidFill>
              <w14:schemeClr w14:val="tx1"/>
            </w14:solidFill>
          </w14:textFill>
        </w:rPr>
        <w:t>90</w:t>
      </w:r>
      <w:r>
        <w:rPr>
          <w:rFonts w:ascii="宋体" w:hAnsi="宋体"/>
          <w:color w:val="000000" w:themeColor="text1"/>
          <w:kern w:val="0"/>
          <w:sz w:val="24"/>
          <w14:textFill>
            <w14:solidFill>
              <w14:schemeClr w14:val="tx1"/>
            </w14:solidFill>
          </w14:textFill>
        </w:rPr>
        <w:t>天后发包人仍不纠正其违约行为并致使合同目的不能实现的，承包人有权解除合同。</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16.2 承包人违约</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16.2.1 承包人违约的情形</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承包人违约的其他情形：</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 xml:space="preserve">在履行合同过程中，除通用条款约定内容外，承包人发生下述行为之一者均属承包人违约。 </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w:t>
      </w:r>
      <w:r>
        <w:rPr>
          <w:rFonts w:hint="eastAsia" w:ascii="宋体" w:hAnsi="宋体"/>
          <w:color w:val="000000" w:themeColor="text1"/>
          <w:kern w:val="0"/>
          <w:sz w:val="24"/>
          <w:u w:val="single"/>
          <w14:textFill>
            <w14:solidFill>
              <w14:schemeClr w14:val="tx1"/>
            </w14:solidFill>
          </w14:textFill>
        </w:rPr>
        <w:tab/>
      </w:r>
      <w:r>
        <w:rPr>
          <w:rFonts w:hint="eastAsia" w:ascii="宋体" w:hAnsi="宋体"/>
          <w:color w:val="000000" w:themeColor="text1"/>
          <w:kern w:val="0"/>
          <w:sz w:val="24"/>
          <w:u w:val="single"/>
          <w14:textFill>
            <w14:solidFill>
              <w14:schemeClr w14:val="tx1"/>
            </w14:solidFill>
          </w14:textFill>
        </w:rPr>
        <w:t>承包人的项目经理（包括项目总负责人、施工负责人（项目经理）、施工技术负责人）及安全生产负责人、质检员必须与投标文件上的人员一致，在整个工程建设期间，原则上不允许更换，如因不称职或其它特殊原因确需更换，须书面按程序报经发包人及监理人审核、同意后方可更换，且更换后人员资历不得低于投标时人员资历；未经发包人书面批准同意，擅自更换项目经理（包括项目总负责人、施工负责人（项目经理）、施工技术负责人）的行为，视为合同违约，发包人有权单方面终止合同，由此造成的后果由承包人承担，同时承包人承担100000元/人次的违约金，如擅自更换投标文件上的其他人员，处以50000元/人次的违约金。</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发包人或监理方发现承包人派驻现场的人员不能满足项目实施要求，有权要求承包人更换或增派相关人员，承包人应无条件立即执行，否则应按次向发包人支付违约金10000元/次，累计无正当理由拒绝或逾期超过3次，发包人有权要求承包人支付</w:t>
      </w:r>
      <w:r>
        <w:rPr>
          <w:rFonts w:ascii="宋体" w:hAnsi="宋体"/>
          <w:color w:val="000000" w:themeColor="text1"/>
          <w:kern w:val="0"/>
          <w:sz w:val="24"/>
          <w:u w:val="single"/>
          <w14:textFill>
            <w14:solidFill>
              <w14:schemeClr w14:val="tx1"/>
            </w14:solidFill>
          </w14:textFill>
        </w:rPr>
        <w:t>合同价款</w:t>
      </w:r>
      <w:r>
        <w:rPr>
          <w:rFonts w:hint="eastAsia" w:ascii="宋体" w:hAnsi="宋体"/>
          <w:color w:val="000000" w:themeColor="text1"/>
          <w:kern w:val="0"/>
          <w:sz w:val="24"/>
          <w:u w:val="single"/>
          <w14:textFill>
            <w14:solidFill>
              <w14:schemeClr w14:val="tx1"/>
            </w14:solidFill>
          </w14:textFill>
        </w:rPr>
        <w:t>10万元的违约金，若产生损失的，还应承担损失。</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3)承包人派驻到项目上的项目经理（包括项目总负责人、施工负责人（项目经理）、施工技术负责人）及专业管理人员未经发包人批准擅自离开现场的，承包人将向发包人支付5000元/人·天的违约金。</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4)若监理人或发包人认为承包人派驻现场的人员不足以满足现场施工的需要或保证工程质量时，有权书面通知承包人继续增派相应人员，承包人在接到上述通知后应立即执行发包人、监理人的上述指示，不得无故拖延。</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5)对于特殊工种，监理人有权随时检查承包人人员的上岗资格证明，对不符合规定的，承包人向发包人支付10000元/人/次的违约金。并驱逐出场。</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u w:val="single"/>
          <w14:textFill>
            <w14:solidFill>
              <w14:schemeClr w14:val="tx1"/>
            </w14:solidFill>
          </w14:textFill>
        </w:rPr>
        <w:t>6</w:t>
      </w:r>
      <w:r>
        <w:rPr>
          <w:rFonts w:hint="eastAsia" w:ascii="宋体" w:hAnsi="宋体"/>
          <w:color w:val="000000" w:themeColor="text1"/>
          <w:kern w:val="0"/>
          <w:sz w:val="24"/>
          <w:u w:val="single"/>
          <w14:textFill>
            <w14:solidFill>
              <w14:schemeClr w14:val="tx1"/>
            </w14:solidFill>
          </w14:textFill>
        </w:rPr>
        <w:t>)发包人有权要求撤换不能胜任本职工作、行为不端或玩忽职守的承包人项目经理和其他人员，承包人应在发包人要求的时间撤换直至发包人满意为止。若撤换每延误一天，承包人向发包人支付人民币10000元的违约金。</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u w:val="single"/>
          <w14:textFill>
            <w14:solidFill>
              <w14:schemeClr w14:val="tx1"/>
            </w14:solidFill>
          </w14:textFill>
        </w:rPr>
        <w:t>7</w:t>
      </w:r>
      <w:r>
        <w:rPr>
          <w:rFonts w:hint="eastAsia" w:ascii="宋体" w:hAnsi="宋体"/>
          <w:color w:val="000000" w:themeColor="text1"/>
          <w:kern w:val="0"/>
          <w:sz w:val="24"/>
          <w:u w:val="single"/>
          <w14:textFill>
            <w14:solidFill>
              <w14:schemeClr w14:val="tx1"/>
            </w14:solidFill>
          </w14:textFill>
        </w:rPr>
        <w:t>）承包人擅自更换主要施工管理人员的违约责任：承包人未经发包人书面同意，擅自更换项目经理及技术负责人的行为，视为违约，发包人有权单方面终止（解除）合同，由此造成的损失由承包人承担，同时，承包人应向发包人支付人民币10000元/次的违约金。</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u w:val="single"/>
          <w14:textFill>
            <w14:solidFill>
              <w14:schemeClr w14:val="tx1"/>
            </w14:solidFill>
          </w14:textFill>
        </w:rPr>
        <w:t>8</w:t>
      </w:r>
      <w:r>
        <w:rPr>
          <w:rFonts w:hint="eastAsia" w:ascii="宋体" w:hAnsi="宋体"/>
          <w:color w:val="000000" w:themeColor="text1"/>
          <w:kern w:val="0"/>
          <w:sz w:val="24"/>
          <w:u w:val="single"/>
          <w14:textFill>
            <w14:solidFill>
              <w14:schemeClr w14:val="tx1"/>
            </w14:solidFill>
          </w14:textFill>
        </w:rPr>
        <w:t>）承包人主要施工管理人员擅自离开施工现场的违约责任：承担5000元/次的违约金 。</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9）承包人无正当理由未按开工通知的要求及时进场组织施工和未按签订协议书时商定的进度计划有效地开展施工准备，造成工期延误。</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w:t>
      </w:r>
      <w:r>
        <w:rPr>
          <w:rFonts w:ascii="宋体" w:hAnsi="宋体"/>
          <w:color w:val="000000" w:themeColor="text1"/>
          <w:kern w:val="0"/>
          <w:sz w:val="24"/>
          <w:u w:val="single"/>
          <w14:textFill>
            <w14:solidFill>
              <w14:schemeClr w14:val="tx1"/>
            </w14:solidFill>
          </w14:textFill>
        </w:rPr>
        <w:t>0</w:t>
      </w:r>
      <w:r>
        <w:rPr>
          <w:rFonts w:hint="eastAsia" w:ascii="宋体" w:hAnsi="宋体"/>
          <w:color w:val="000000" w:themeColor="text1"/>
          <w:kern w:val="0"/>
          <w:sz w:val="24"/>
          <w:u w:val="single"/>
          <w14:textFill>
            <w14:solidFill>
              <w14:schemeClr w14:val="tx1"/>
            </w14:solidFill>
          </w14:textFill>
        </w:rPr>
        <w:t xml:space="preserve">）承包人违反有关规定私自将合同或合同的任何部分或任何权利转让给其他人，或私自将工程或工程的一部分分包出去。 </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w:t>
      </w:r>
      <w:r>
        <w:rPr>
          <w:rFonts w:ascii="宋体" w:hAnsi="宋体"/>
          <w:color w:val="000000" w:themeColor="text1"/>
          <w:kern w:val="0"/>
          <w:sz w:val="24"/>
          <w:u w:val="single"/>
          <w14:textFill>
            <w14:solidFill>
              <w14:schemeClr w14:val="tx1"/>
            </w14:solidFill>
          </w14:textFill>
        </w:rPr>
        <w:t>1</w:t>
      </w:r>
      <w:r>
        <w:rPr>
          <w:rFonts w:hint="eastAsia" w:ascii="宋体" w:hAnsi="宋体"/>
          <w:color w:val="000000" w:themeColor="text1"/>
          <w:kern w:val="0"/>
          <w:sz w:val="24"/>
          <w:u w:val="single"/>
          <w14:textFill>
            <w14:solidFill>
              <w14:schemeClr w14:val="tx1"/>
            </w14:solidFill>
          </w14:textFill>
        </w:rPr>
        <w:t xml:space="preserve">）未经发包人批准，承包人私自将已按合同规定进入工地的工程设备、施工设备、临时工程或材料撤离工地。 </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w:t>
      </w:r>
      <w:r>
        <w:rPr>
          <w:rFonts w:ascii="宋体" w:hAnsi="宋体"/>
          <w:color w:val="000000" w:themeColor="text1"/>
          <w:kern w:val="0"/>
          <w:sz w:val="24"/>
          <w:u w:val="single"/>
          <w14:textFill>
            <w14:solidFill>
              <w14:schemeClr w14:val="tx1"/>
            </w14:solidFill>
          </w14:textFill>
        </w:rPr>
        <w:t>2</w:t>
      </w:r>
      <w:r>
        <w:rPr>
          <w:rFonts w:hint="eastAsia" w:ascii="宋体" w:hAnsi="宋体"/>
          <w:color w:val="000000" w:themeColor="text1"/>
          <w:kern w:val="0"/>
          <w:sz w:val="24"/>
          <w:u w:val="single"/>
          <w14:textFill>
            <w14:solidFill>
              <w14:schemeClr w14:val="tx1"/>
            </w14:solidFill>
          </w14:textFill>
        </w:rPr>
        <w:t>）承包人使用了不合格材料或工程设备，使工程质量达不到标准要求的，处以合同价1%的罚款，如再次出现以上情况发包人有权单方面解除合同，履约担保不予退还；</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w:t>
      </w:r>
      <w:r>
        <w:rPr>
          <w:rFonts w:ascii="宋体" w:hAnsi="宋体"/>
          <w:color w:val="000000" w:themeColor="text1"/>
          <w:kern w:val="0"/>
          <w:sz w:val="24"/>
          <w:u w:val="single"/>
          <w14:textFill>
            <w14:solidFill>
              <w14:schemeClr w14:val="tx1"/>
            </w14:solidFill>
          </w14:textFill>
        </w:rPr>
        <w:t>3</w:t>
      </w:r>
      <w:r>
        <w:rPr>
          <w:rFonts w:hint="eastAsia" w:ascii="宋体" w:hAnsi="宋体"/>
          <w:color w:val="000000" w:themeColor="text1"/>
          <w:kern w:val="0"/>
          <w:sz w:val="24"/>
          <w:u w:val="single"/>
          <w14:textFill>
            <w14:solidFill>
              <w14:schemeClr w14:val="tx1"/>
            </w14:solidFill>
          </w14:textFill>
        </w:rPr>
        <w:t>）由于承包人原因拒绝按合同进度计划及时完成合同规定的工程，而又未按有关规定采取有效措施赶上进度，造成工期延误。</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w:t>
      </w:r>
      <w:r>
        <w:rPr>
          <w:rFonts w:ascii="宋体" w:hAnsi="宋体"/>
          <w:color w:val="000000" w:themeColor="text1"/>
          <w:kern w:val="0"/>
          <w:sz w:val="24"/>
          <w:u w:val="single"/>
          <w14:textFill>
            <w14:solidFill>
              <w14:schemeClr w14:val="tx1"/>
            </w14:solidFill>
          </w14:textFill>
        </w:rPr>
        <w:t>4</w:t>
      </w:r>
      <w:r>
        <w:rPr>
          <w:rFonts w:hint="eastAsia" w:ascii="宋体" w:hAnsi="宋体"/>
          <w:color w:val="000000" w:themeColor="text1"/>
          <w:kern w:val="0"/>
          <w:sz w:val="24"/>
          <w:u w:val="single"/>
          <w14:textFill>
            <w14:solidFill>
              <w14:schemeClr w14:val="tx1"/>
            </w14:solidFill>
          </w14:textFill>
        </w:rPr>
        <w:t xml:space="preserve">）承包人在保修期内拒绝按有关规定和工程移交证书中所列的缺陷清单内容进行修复，或经监理人检验认为修复质量不合格而承包人拒绝再进行返工。 </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w:t>
      </w:r>
      <w:r>
        <w:rPr>
          <w:rFonts w:ascii="宋体" w:hAnsi="宋体"/>
          <w:color w:val="000000" w:themeColor="text1"/>
          <w:kern w:val="0"/>
          <w:sz w:val="24"/>
          <w:u w:val="single"/>
          <w14:textFill>
            <w14:solidFill>
              <w14:schemeClr w14:val="tx1"/>
            </w14:solidFill>
          </w14:textFill>
        </w:rPr>
        <w:t>5</w:t>
      </w:r>
      <w:r>
        <w:rPr>
          <w:rFonts w:hint="eastAsia" w:ascii="宋体" w:hAnsi="宋体"/>
          <w:color w:val="000000" w:themeColor="text1"/>
          <w:kern w:val="0"/>
          <w:sz w:val="24"/>
          <w:u w:val="single"/>
          <w14:textFill>
            <w14:solidFill>
              <w14:schemeClr w14:val="tx1"/>
            </w14:solidFill>
          </w14:textFill>
        </w:rPr>
        <w:t xml:space="preserve">）由于承包人原因未一次性通过政府相关部门验收的，承包人应无条件进行整改并处以合同价0.5%的罚款。 </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w:t>
      </w:r>
      <w:r>
        <w:rPr>
          <w:rFonts w:ascii="宋体" w:hAnsi="宋体"/>
          <w:color w:val="000000" w:themeColor="text1"/>
          <w:kern w:val="0"/>
          <w:sz w:val="24"/>
          <w:u w:val="single"/>
          <w14:textFill>
            <w14:solidFill>
              <w14:schemeClr w14:val="tx1"/>
            </w14:solidFill>
          </w14:textFill>
        </w:rPr>
        <w:t>6</w:t>
      </w:r>
      <w:r>
        <w:rPr>
          <w:rFonts w:hint="eastAsia" w:ascii="宋体" w:hAnsi="宋体"/>
          <w:color w:val="000000" w:themeColor="text1"/>
          <w:kern w:val="0"/>
          <w:sz w:val="24"/>
          <w:u w:val="single"/>
          <w14:textFill>
            <w14:solidFill>
              <w14:schemeClr w14:val="tx1"/>
            </w14:solidFill>
          </w14:textFill>
        </w:rPr>
        <w:t>）由于承包人原因未能通过竣工验收的，除返工达到合格外，费用自理，且还需向发包人支付签约暂定合同总价的0.3％作为质量违约金，工期不予顺延。若其中分部分项工程达不到一次性验收合格，承包人需向发包人支付至少50000元/次的违约金并承担全部返工费用。竣工验收时，如发现存在不可修补的缺陷，发包人将对缺陷进行综合评价，并折合成相应的费用，此费用为承包人向发包人的赔偿金额。</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u w:val="single"/>
          <w14:textFill>
            <w14:solidFill>
              <w14:schemeClr w14:val="tx1"/>
            </w14:solidFill>
          </w14:textFill>
        </w:rPr>
        <w:t>17</w:t>
      </w:r>
      <w:r>
        <w:rPr>
          <w:rFonts w:hint="eastAsia" w:ascii="宋体" w:hAnsi="宋体"/>
          <w:color w:val="000000" w:themeColor="text1"/>
          <w:kern w:val="0"/>
          <w:sz w:val="24"/>
          <w:u w:val="single"/>
          <w14:textFill>
            <w14:solidFill>
              <w14:schemeClr w14:val="tx1"/>
            </w14:solidFill>
          </w14:textFill>
        </w:rPr>
        <w:t xml:space="preserve">)承包人否认合同有效或拒绝履行合同规定的承包人义务。 </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w:t>
      </w:r>
      <w:r>
        <w:rPr>
          <w:rFonts w:ascii="宋体" w:hAnsi="宋体"/>
          <w:color w:val="000000" w:themeColor="text1"/>
          <w:kern w:val="0"/>
          <w:sz w:val="24"/>
          <w:u w:val="single"/>
          <w14:textFill>
            <w14:solidFill>
              <w14:schemeClr w14:val="tx1"/>
            </w14:solidFill>
          </w14:textFill>
        </w:rPr>
        <w:t>8</w:t>
      </w:r>
      <w:r>
        <w:rPr>
          <w:rFonts w:hint="eastAsia" w:ascii="宋体" w:hAnsi="宋体"/>
          <w:color w:val="000000" w:themeColor="text1"/>
          <w:kern w:val="0"/>
          <w:sz w:val="24"/>
          <w:u w:val="single"/>
          <w14:textFill>
            <w14:solidFill>
              <w14:schemeClr w14:val="tx1"/>
            </w14:solidFill>
          </w14:textFill>
        </w:rPr>
        <w:t>）出现以下情况发包人有权单方解除合同，并按其已完成工程造价的3%作为违约金：</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由于承包人的资质降低或单位的整体实力下降，不能满足工程承包要求；</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承包人的工程进度经多次催促不予纠正，且仍不能满足发包人对单个项目总工期要求；</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承包人出现挪用工程资金，陷入重大债权债务纠纷，并影响到本工程的正常实施；</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承包人无法继续履行或明确表示不履行或实质上已停止履行合同；。</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w:t>
      </w:r>
      <w:r>
        <w:rPr>
          <w:rFonts w:ascii="宋体" w:hAnsi="宋体"/>
          <w:color w:val="000000" w:themeColor="text1"/>
          <w:kern w:val="0"/>
          <w:sz w:val="24"/>
          <w:u w:val="single"/>
          <w14:textFill>
            <w14:solidFill>
              <w14:schemeClr w14:val="tx1"/>
            </w14:solidFill>
          </w14:textFill>
        </w:rPr>
        <w:t>9</w:t>
      </w:r>
      <w:r>
        <w:rPr>
          <w:rFonts w:hint="eastAsia" w:ascii="宋体" w:hAnsi="宋体"/>
          <w:color w:val="000000" w:themeColor="text1"/>
          <w:kern w:val="0"/>
          <w:sz w:val="24"/>
          <w:u w:val="single"/>
          <w14:textFill>
            <w14:solidFill>
              <w14:schemeClr w14:val="tx1"/>
            </w14:solidFill>
          </w14:textFill>
        </w:rPr>
        <w:t>）因承包人施工原因，造成对原有、道路、地下管线、绿化等的破坏，由承包人承担相应的损失，并负责修复。</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w:t>
      </w:r>
      <w:r>
        <w:rPr>
          <w:rFonts w:ascii="宋体" w:hAnsi="宋体"/>
          <w:color w:val="000000" w:themeColor="text1"/>
          <w:kern w:val="0"/>
          <w:sz w:val="24"/>
          <w:u w:val="single"/>
          <w14:textFill>
            <w14:solidFill>
              <w14:schemeClr w14:val="tx1"/>
            </w14:solidFill>
          </w14:textFill>
        </w:rPr>
        <w:t>0</w:t>
      </w:r>
      <w:r>
        <w:rPr>
          <w:rFonts w:hint="eastAsia" w:ascii="宋体" w:hAnsi="宋体"/>
          <w:color w:val="000000" w:themeColor="text1"/>
          <w:kern w:val="0"/>
          <w:sz w:val="24"/>
          <w:u w:val="single"/>
          <w14:textFill>
            <w14:solidFill>
              <w14:schemeClr w14:val="tx1"/>
            </w14:solidFill>
          </w14:textFill>
        </w:rPr>
        <w:t>）承包人必须严格按昆明市有关部门的有关规定及现场安全文明施工管理规定组织施工，若未达到现场安全文明施工管理规定的要求，自愿向发包人交纳违约金10000元/次；竣工验收后十天内，做到料净场清。</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w:t>
      </w:r>
      <w:r>
        <w:rPr>
          <w:rFonts w:ascii="宋体" w:hAnsi="宋体"/>
          <w:color w:val="000000" w:themeColor="text1"/>
          <w:kern w:val="0"/>
          <w:sz w:val="24"/>
          <w:u w:val="single"/>
          <w14:textFill>
            <w14:solidFill>
              <w14:schemeClr w14:val="tx1"/>
            </w14:solidFill>
          </w14:textFill>
        </w:rPr>
        <w:t>1</w:t>
      </w:r>
      <w:r>
        <w:rPr>
          <w:rFonts w:hint="eastAsia" w:ascii="宋体" w:hAnsi="宋体"/>
          <w:color w:val="000000" w:themeColor="text1"/>
          <w:kern w:val="0"/>
          <w:sz w:val="24"/>
          <w:u w:val="single"/>
          <w14:textFill>
            <w14:solidFill>
              <w14:schemeClr w14:val="tx1"/>
            </w14:solidFill>
          </w14:textFill>
        </w:rPr>
        <w:t>）承包人必须严格按照国家及相关行业规定，本项目全部参与人员必须具有相应的执业资格证，特殊工种必须切实做到持证上岗，以备随时查验。若发现无证上岗人员每人次罚款10000元，并驱逐出场。</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w:t>
      </w:r>
      <w:r>
        <w:rPr>
          <w:rFonts w:ascii="宋体" w:hAnsi="宋体"/>
          <w:color w:val="000000" w:themeColor="text1"/>
          <w:kern w:val="0"/>
          <w:sz w:val="24"/>
          <w:u w:val="single"/>
          <w14:textFill>
            <w14:solidFill>
              <w14:schemeClr w14:val="tx1"/>
            </w14:solidFill>
          </w14:textFill>
        </w:rPr>
        <w:t>2</w:t>
      </w:r>
      <w:r>
        <w:rPr>
          <w:rFonts w:hint="eastAsia" w:ascii="宋体" w:hAnsi="宋体"/>
          <w:color w:val="000000" w:themeColor="text1"/>
          <w:kern w:val="0"/>
          <w:sz w:val="24"/>
          <w:u w:val="single"/>
          <w14:textFill>
            <w14:solidFill>
              <w14:schemeClr w14:val="tx1"/>
            </w14:solidFill>
          </w14:textFill>
        </w:rPr>
        <w:t>）因承包人原因，工程质量不符合合同规定的，应负责无偿修理或返工。由于修理或返工造成逾期交付或工程交付时间不符合规定的，要偿付误期违约金。在工程保修期内负责对工程保修，不负责保修的，相应比例保修金将不予退还。</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w:t>
      </w:r>
      <w:r>
        <w:rPr>
          <w:rFonts w:ascii="宋体" w:hAnsi="宋体"/>
          <w:color w:val="000000" w:themeColor="text1"/>
          <w:kern w:val="0"/>
          <w:sz w:val="24"/>
          <w:u w:val="single"/>
          <w14:textFill>
            <w14:solidFill>
              <w14:schemeClr w14:val="tx1"/>
            </w14:solidFill>
          </w14:textFill>
        </w:rPr>
        <w:t>3</w:t>
      </w:r>
      <w:r>
        <w:rPr>
          <w:rFonts w:hint="eastAsia" w:ascii="宋体" w:hAnsi="宋体"/>
          <w:color w:val="000000" w:themeColor="text1"/>
          <w:kern w:val="0"/>
          <w:sz w:val="24"/>
          <w:u w:val="single"/>
          <w14:textFill>
            <w14:solidFill>
              <w14:schemeClr w14:val="tx1"/>
            </w14:solidFill>
          </w14:textFill>
        </w:rPr>
        <w:t>）承包人未按《云南省建设厅关于贯彻实施&lt;云南省建设领域农民工资支付管理试行办法&gt;的通知》发放民工工资。承包人如有拖欠、漏发、少发劳务工工资的情况，或被举报和投诉有拖欠、漏发、少发劳务工工资的情况并被核实，若发生以上情况，承包人承担5万元/次的违约金，并在工程款中扣留拖欠、漏发、少发的工资数直接支付给相应的劳务工。</w:t>
      </w:r>
    </w:p>
    <w:p>
      <w:pPr>
        <w:widowControl/>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w:t>
      </w:r>
      <w:r>
        <w:rPr>
          <w:rFonts w:ascii="宋体" w:hAnsi="宋体"/>
          <w:color w:val="000000" w:themeColor="text1"/>
          <w:kern w:val="0"/>
          <w:sz w:val="24"/>
          <w:u w:val="single"/>
          <w14:textFill>
            <w14:solidFill>
              <w14:schemeClr w14:val="tx1"/>
            </w14:solidFill>
          </w14:textFill>
        </w:rPr>
        <w:t>4</w:t>
      </w:r>
      <w:r>
        <w:rPr>
          <w:rFonts w:hint="eastAsia" w:ascii="宋体" w:hAnsi="宋体"/>
          <w:color w:val="000000" w:themeColor="text1"/>
          <w:kern w:val="0"/>
          <w:sz w:val="24"/>
          <w:u w:val="single"/>
          <w14:textFill>
            <w14:solidFill>
              <w14:schemeClr w14:val="tx1"/>
            </w14:solidFill>
          </w14:textFill>
        </w:rPr>
        <w:t>）双方对工程质量有争议，由双方同意的工程质量检测机构鉴定，所需费用及因此造成的损失，由责任方承担。</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w:t>
      </w:r>
      <w:r>
        <w:rPr>
          <w:rFonts w:ascii="宋体" w:hAnsi="宋体"/>
          <w:color w:val="000000" w:themeColor="text1"/>
          <w:kern w:val="0"/>
          <w:sz w:val="24"/>
          <w:u w:val="single"/>
          <w14:textFill>
            <w14:solidFill>
              <w14:schemeClr w14:val="tx1"/>
            </w14:solidFill>
          </w14:textFill>
        </w:rPr>
        <w:t>5</w:t>
      </w:r>
      <w:r>
        <w:rPr>
          <w:rFonts w:hint="eastAsia" w:ascii="宋体" w:hAnsi="宋体"/>
          <w:color w:val="000000" w:themeColor="text1"/>
          <w:kern w:val="0"/>
          <w:sz w:val="24"/>
          <w:u w:val="single"/>
          <w14:textFill>
            <w14:solidFill>
              <w14:schemeClr w14:val="tx1"/>
            </w14:solidFill>
          </w14:textFill>
        </w:rPr>
        <w:t>）在任何情况下都不允许出现劳务工上访或闹事，若因承包人原因发生劳务工上访或闹事，第一次由承包人向发包人支付10万元的违约金，再次发生按翻倍递增的原则进行处罚。</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w:t>
      </w:r>
      <w:r>
        <w:rPr>
          <w:rFonts w:ascii="宋体" w:hAnsi="宋体"/>
          <w:color w:val="000000" w:themeColor="text1"/>
          <w:kern w:val="0"/>
          <w:sz w:val="24"/>
          <w:u w:val="single"/>
          <w14:textFill>
            <w14:solidFill>
              <w14:schemeClr w14:val="tx1"/>
            </w14:solidFill>
          </w14:textFill>
        </w:rPr>
        <w:t>6</w:t>
      </w:r>
      <w:r>
        <w:rPr>
          <w:rFonts w:hint="eastAsia" w:ascii="宋体" w:hAnsi="宋体"/>
          <w:color w:val="000000" w:themeColor="text1"/>
          <w:kern w:val="0"/>
          <w:sz w:val="24"/>
          <w:u w:val="single"/>
          <w14:textFill>
            <w14:solidFill>
              <w14:schemeClr w14:val="tx1"/>
            </w14:solidFill>
          </w14:textFill>
        </w:rPr>
        <w:t>）若承包人、分包人、其他承包人各施工方出现本款所列的下列行为，视情节严重程度各承包人向发包人支付每次2000元至5000元数额不等的违约金。</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各施工方的各工作人员未保持其留给发包人的联系方式畅通有效，导致发包人无法在需要的时候与之取得联系。</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发包人确认发现的工程质量问题或安全隐患已发生24小时，而各施工方无足够证据证明在此前已经发现该问题并已给予恰当的处理。</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各施工方对发包人要求回文的文件未回文或回文延期的。</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对在每周的监理例会上提出的问题未进行跟进处理，导致问题重复发生。</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施工期间不能保证24小时有专业工程师常驻现场。</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项目经理及技术负责人每周监理例会迟到或缺席的。</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w:t>
      </w:r>
      <w:r>
        <w:rPr>
          <w:rFonts w:ascii="宋体" w:hAnsi="宋体"/>
          <w:color w:val="000000" w:themeColor="text1"/>
          <w:kern w:val="0"/>
          <w:sz w:val="24"/>
          <w:u w:val="single"/>
          <w14:textFill>
            <w14:solidFill>
              <w14:schemeClr w14:val="tx1"/>
            </w14:solidFill>
          </w14:textFill>
        </w:rPr>
        <w:t>7</w:t>
      </w:r>
      <w:r>
        <w:rPr>
          <w:rFonts w:hint="eastAsia" w:ascii="宋体" w:hAnsi="宋体"/>
          <w:color w:val="000000" w:themeColor="text1"/>
          <w:kern w:val="0"/>
          <w:sz w:val="24"/>
          <w:u w:val="single"/>
          <w14:textFill>
            <w14:solidFill>
              <w14:schemeClr w14:val="tx1"/>
            </w14:solidFill>
          </w14:textFill>
        </w:rPr>
        <w:t>）承包人提交竣工结算资料的期限为工程竣工验收（设计交工验收）合格后天内，否则每延迟一天，承包人须承担1000元/天的违约金。</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w:t>
      </w:r>
      <w:r>
        <w:rPr>
          <w:rFonts w:ascii="宋体" w:hAnsi="宋体"/>
          <w:color w:val="000000" w:themeColor="text1"/>
          <w:kern w:val="0"/>
          <w:sz w:val="24"/>
          <w:u w:val="single"/>
          <w14:textFill>
            <w14:solidFill>
              <w14:schemeClr w14:val="tx1"/>
            </w14:solidFill>
          </w14:textFill>
        </w:rPr>
        <w:t>8</w:t>
      </w:r>
      <w:r>
        <w:rPr>
          <w:rFonts w:hint="eastAsia" w:ascii="宋体" w:hAnsi="宋体"/>
          <w:color w:val="000000" w:themeColor="text1"/>
          <w:kern w:val="0"/>
          <w:sz w:val="24"/>
          <w:u w:val="single"/>
          <w14:textFill>
            <w14:solidFill>
              <w14:schemeClr w14:val="tx1"/>
            </w14:solidFill>
          </w14:textFill>
        </w:rPr>
        <w:t xml:space="preserve">）对承包人违约发出警告 </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 xml:space="preserve">承包人发生违约行为时，发包人应及时向承包人发出书面警告，限令其在收到书面警告后的1天内予以改正并按合同约定承担相应违约责任。承包人应立即采取有效措施认真改正，并尽可能挽回由于违约造成的延误和损失。由于承包人采取改正措施所增加的费用，应由承包人承担。 </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w:t>
      </w:r>
      <w:r>
        <w:rPr>
          <w:rFonts w:ascii="宋体" w:hAnsi="宋体"/>
          <w:color w:val="000000" w:themeColor="text1"/>
          <w:kern w:val="0"/>
          <w:sz w:val="24"/>
          <w:u w:val="single"/>
          <w14:textFill>
            <w14:solidFill>
              <w14:schemeClr w14:val="tx1"/>
            </w14:solidFill>
          </w14:textFill>
        </w:rPr>
        <w:t>9</w:t>
      </w:r>
      <w:r>
        <w:rPr>
          <w:rFonts w:hint="eastAsia" w:ascii="宋体" w:hAnsi="宋体"/>
          <w:color w:val="000000" w:themeColor="text1"/>
          <w:kern w:val="0"/>
          <w:sz w:val="24"/>
          <w:u w:val="single"/>
          <w14:textFill>
            <w14:solidFill>
              <w14:schemeClr w14:val="tx1"/>
            </w14:solidFill>
          </w14:textFill>
        </w:rPr>
        <w:t xml:space="preserve">）责令承包人停工整改 </w:t>
      </w:r>
    </w:p>
    <w:p>
      <w:pPr>
        <w:widowControl/>
        <w:spacing w:line="360" w:lineRule="auto"/>
        <w:ind w:firstLine="480" w:firstLineChars="200"/>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承包人在收到书面警告后的2天内仍不采取有效措施改正其违约行为，继续延误工期或严重影响工程质量，甚至危及工程安全，发包人暂停签发支付工程价款凭证，并按有关规定暂停其工程或部分工程施工，责令其停工整改，并限令承包人在2天内提交整改报告报送监理人、承担相应违约责任。由此增加的费用和工期延误责任由承包人承担。</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16.2.2承包人违约的责任</w:t>
      </w:r>
    </w:p>
    <w:p>
      <w:pPr>
        <w:spacing w:line="360"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17. 不可抗力 </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17.1 不可抗力的确认</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除通用合同条款约定的不可抗力事件之外，视为不可抗力的其他情形：</w:t>
      </w:r>
      <w:r>
        <w:rPr>
          <w:rFonts w:hint="eastAsia" w:ascii="宋体" w:hAnsi="宋体"/>
          <w:color w:val="000000" w:themeColor="text1"/>
          <w:kern w:val="0"/>
          <w:sz w:val="24"/>
          <w14:textFill>
            <w14:solidFill>
              <w14:schemeClr w14:val="tx1"/>
            </w14:solidFill>
          </w14:textFill>
        </w:rPr>
        <w:t>包括新冠肺炎疫情影响在内</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17.4 因不可抗力解除合同</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合同解除后，发包人应在商定或确定发包人应支付款项后</w:t>
      </w:r>
      <w:r>
        <w:rPr>
          <w:rFonts w:ascii="宋体" w:hAnsi="宋体"/>
          <w:color w:val="000000" w:themeColor="text1"/>
          <w:kern w:val="0"/>
          <w:sz w:val="24"/>
          <w:u w:val="single"/>
          <w14:textFill>
            <w14:solidFill>
              <w14:schemeClr w14:val="tx1"/>
            </w14:solidFill>
          </w14:textFill>
        </w:rPr>
        <w:t>60</w:t>
      </w:r>
      <w:r>
        <w:rPr>
          <w:rFonts w:ascii="宋体" w:hAnsi="宋体"/>
          <w:color w:val="000000" w:themeColor="text1"/>
          <w:kern w:val="0"/>
          <w:sz w:val="24"/>
          <w14:textFill>
            <w14:solidFill>
              <w14:schemeClr w14:val="tx1"/>
            </w14:solidFill>
          </w14:textFill>
        </w:rPr>
        <w:t>天内完成款项的支付。</w:t>
      </w:r>
    </w:p>
    <w:p>
      <w:pPr>
        <w:spacing w:line="360"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18. 保险</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18.1 工程保险</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关于工程保险的特别约定：</w:t>
      </w:r>
      <w:r>
        <w:rPr>
          <w:rFonts w:hint="eastAsia" w:ascii="宋体" w:hAnsi="宋体"/>
          <w:color w:val="000000" w:themeColor="text1"/>
          <w:kern w:val="0"/>
          <w:sz w:val="24"/>
          <w:u w:val="single"/>
          <w14:textFill>
            <w14:solidFill>
              <w14:schemeClr w14:val="tx1"/>
            </w14:solidFill>
          </w14:textFill>
        </w:rPr>
        <w:t>承包人按有关规定办理，费用已含于合同总价内，发包人不再另行支付相关费用。</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18.3 其他保险</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关于其他保险的约定：</w:t>
      </w:r>
      <w:r>
        <w:rPr>
          <w:rFonts w:hint="eastAsia" w:ascii="宋体" w:hAnsi="宋体"/>
          <w:color w:val="000000" w:themeColor="text1"/>
          <w:kern w:val="0"/>
          <w:sz w:val="24"/>
          <w:u w:val="single"/>
          <w14:textFill>
            <w14:solidFill>
              <w14:schemeClr w14:val="tx1"/>
            </w14:solidFill>
          </w14:textFill>
        </w:rPr>
        <w:t>由承包人负责投保（包括但不限于意外伤害险、第三者责任险等），费用已含于合同总价内，发包人不再另行支付相关费用</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承包人是否应为其施工设备等办理财产保险：</w:t>
      </w:r>
      <w:r>
        <w:rPr>
          <w:rFonts w:hint="eastAsia" w:ascii="宋体" w:hAnsi="宋体"/>
          <w:color w:val="000000" w:themeColor="text1"/>
          <w:kern w:val="0"/>
          <w:sz w:val="24"/>
          <w:u w:val="single"/>
          <w14:textFill>
            <w14:solidFill>
              <w14:schemeClr w14:val="tx1"/>
            </w14:solidFill>
          </w14:textFill>
        </w:rPr>
        <w:t>是，费用已含于合同总价内</w:t>
      </w:r>
      <w:r>
        <w:rPr>
          <w:rFonts w:ascii="宋体" w:hAnsi="宋体"/>
          <w:color w:val="000000" w:themeColor="text1"/>
          <w:kern w:val="0"/>
          <w:sz w:val="24"/>
          <w14:textFill>
            <w14:solidFill>
              <w14:schemeClr w14:val="tx1"/>
            </w14:solidFill>
          </w14:textFill>
        </w:rPr>
        <w:t>。</w:t>
      </w:r>
    </w:p>
    <w:p>
      <w:pPr>
        <w:spacing w:line="360" w:lineRule="auto"/>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19. </w:t>
      </w:r>
      <w:r>
        <w:rPr>
          <w:rFonts w:ascii="宋体" w:hAnsi="宋体"/>
          <w:b/>
          <w:color w:val="000000" w:themeColor="text1"/>
          <w:sz w:val="24"/>
          <w14:textFill>
            <w14:solidFill>
              <w14:schemeClr w14:val="tx1"/>
            </w14:solidFill>
          </w14:textFill>
        </w:rPr>
        <w:t>通知义务</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关于变更保险合同时的通知义务的约定：</w:t>
      </w:r>
      <w:r>
        <w:rPr>
          <w:rFonts w:hint="eastAsia" w:ascii="宋体" w:hAnsi="宋体"/>
          <w:color w:val="000000" w:themeColor="text1"/>
          <w:kern w:val="0"/>
          <w:sz w:val="24"/>
          <w:u w:val="single"/>
          <w14:textFill>
            <w14:solidFill>
              <w14:schemeClr w14:val="tx1"/>
            </w14:solidFill>
          </w14:textFill>
        </w:rPr>
        <w:t>按通用条款执行</w:t>
      </w:r>
      <w:r>
        <w:rPr>
          <w:rFonts w:ascii="宋体" w:hAnsi="宋体"/>
          <w:color w:val="000000" w:themeColor="text1"/>
          <w:kern w:val="0"/>
          <w:sz w:val="24"/>
          <w14:textFill>
            <w14:solidFill>
              <w14:schemeClr w14:val="tx1"/>
            </w14:solidFill>
          </w14:textFill>
        </w:rPr>
        <w:t>。</w:t>
      </w:r>
    </w:p>
    <w:p>
      <w:pPr>
        <w:spacing w:line="360" w:lineRule="auto"/>
        <w:ind w:firstLine="482"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20. 争议解决</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20.3 争议评审</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合同当事人是否同意将工程争议提交争议评审小组决</w:t>
      </w:r>
      <w:r>
        <w:rPr>
          <w:rFonts w:hint="eastAsia" w:ascii="宋体" w:hAnsi="宋体"/>
          <w:color w:val="000000" w:themeColor="text1"/>
          <w:kern w:val="0"/>
          <w:sz w:val="24"/>
          <w14:textFill>
            <w14:solidFill>
              <w14:schemeClr w14:val="tx1"/>
            </w14:solidFill>
          </w14:textFill>
        </w:rPr>
        <w:t>定：</w:t>
      </w:r>
      <w:r>
        <w:rPr>
          <w:rFonts w:hint="eastAsia" w:ascii="宋体" w:hAnsi="宋体"/>
          <w:color w:val="000000" w:themeColor="text1"/>
          <w:kern w:val="0"/>
          <w:sz w:val="24"/>
          <w:u w:val="single"/>
          <w14:textFill>
            <w14:solidFill>
              <w14:schemeClr w14:val="tx1"/>
            </w14:solidFill>
          </w14:textFill>
        </w:rPr>
        <w:t xml:space="preserve"> 否 </w:t>
      </w:r>
      <w:r>
        <w:rPr>
          <w:rFonts w:hint="eastAsia" w:ascii="宋体" w:hAnsi="宋体"/>
          <w:color w:val="000000" w:themeColor="text1"/>
          <w:kern w:val="0"/>
          <w:sz w:val="24"/>
          <w14:textFill>
            <w14:solidFill>
              <w14:schemeClr w14:val="tx1"/>
            </w14:solidFill>
          </w14:textFill>
        </w:rPr>
        <w:t xml:space="preserve">。  </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20.3.1 争议评审小组的确定</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争议评审小组成员的确定：</w:t>
      </w:r>
      <w:r>
        <w:rPr>
          <w:rFonts w:hint="eastAsia" w:ascii="宋体" w:hAnsi="宋体"/>
          <w:color w:val="000000" w:themeColor="text1"/>
          <w:kern w:val="0"/>
          <w:sz w:val="24"/>
          <w:u w:val="single"/>
          <w14:textFill>
            <w14:solidFill>
              <w14:schemeClr w14:val="tx1"/>
            </w14:solidFill>
          </w14:textFill>
        </w:rPr>
        <w:t xml:space="preserve">无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选定争议评审员的期限：</w:t>
      </w:r>
      <w:r>
        <w:rPr>
          <w:rFonts w:hint="eastAsia" w:ascii="宋体" w:hAnsi="宋体"/>
          <w:color w:val="000000" w:themeColor="text1"/>
          <w:kern w:val="0"/>
          <w:sz w:val="24"/>
          <w:u w:val="single"/>
          <w14:textFill>
            <w14:solidFill>
              <w14:schemeClr w14:val="tx1"/>
            </w14:solidFill>
          </w14:textFill>
        </w:rPr>
        <w:t xml:space="preserve">无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争议评审小组成员的报酬承担方式：</w:t>
      </w:r>
      <w:r>
        <w:rPr>
          <w:rFonts w:hint="eastAsia" w:ascii="宋体" w:hAnsi="宋体"/>
          <w:color w:val="000000" w:themeColor="text1"/>
          <w:kern w:val="0"/>
          <w:sz w:val="24"/>
          <w:u w:val="single"/>
          <w14:textFill>
            <w14:solidFill>
              <w14:schemeClr w14:val="tx1"/>
            </w14:solidFill>
          </w14:textFill>
        </w:rPr>
        <w:t xml:space="preserve">无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其他事项的约定：</w:t>
      </w:r>
      <w:r>
        <w:rPr>
          <w:rFonts w:hint="eastAsia" w:ascii="宋体" w:hAnsi="宋体"/>
          <w:color w:val="000000" w:themeColor="text1"/>
          <w:kern w:val="0"/>
          <w:sz w:val="24"/>
          <w:u w:val="single"/>
          <w14:textFill>
            <w14:solidFill>
              <w14:schemeClr w14:val="tx1"/>
            </w14:solidFill>
          </w14:textFill>
        </w:rPr>
        <w:t xml:space="preserve">无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20.3.2 争议评审小组的决定</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合同当事人关于本项的约定：</w:t>
      </w:r>
      <w:r>
        <w:rPr>
          <w:rFonts w:hint="eastAsia" w:ascii="宋体" w:hAnsi="宋体"/>
          <w:color w:val="000000" w:themeColor="text1"/>
          <w:kern w:val="0"/>
          <w:sz w:val="24"/>
          <w:u w:val="single"/>
          <w14:textFill>
            <w14:solidFill>
              <w14:schemeClr w14:val="tx1"/>
            </w14:solidFill>
          </w14:textFill>
        </w:rPr>
        <w:t xml:space="preserve">无 </w:t>
      </w:r>
      <w:r>
        <w:rPr>
          <w:rFonts w:ascii="宋体" w:hAnsi="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20.4仲裁或诉讼</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因合同及合同有关事项发生的争议，按下列第</w:t>
      </w:r>
      <w:r>
        <w:rPr>
          <w:rFonts w:hint="eastAsia" w:ascii="宋体" w:hAnsi="宋体"/>
          <w:color w:val="000000" w:themeColor="text1"/>
          <w:kern w:val="0"/>
          <w:sz w:val="24"/>
          <w:u w:val="single"/>
          <w14:textFill>
            <w14:solidFill>
              <w14:schemeClr w14:val="tx1"/>
            </w14:solidFill>
          </w14:textFill>
        </w:rPr>
        <w:t xml:space="preserve"> 2</w:t>
      </w:r>
      <w:r>
        <w:rPr>
          <w:rFonts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种方式</w:t>
      </w:r>
      <w:r>
        <w:rPr>
          <w:rFonts w:hint="eastAsia" w:ascii="宋体" w:hAnsi="宋体"/>
          <w:color w:val="000000" w:themeColor="text1"/>
          <w:kern w:val="0"/>
          <w:sz w:val="24"/>
          <w14:textFill>
            <w14:solidFill>
              <w14:schemeClr w14:val="tx1"/>
            </w14:solidFill>
          </w14:textFill>
        </w:rPr>
        <w:t>解</w:t>
      </w:r>
      <w:r>
        <w:rPr>
          <w:rFonts w:ascii="宋体" w:hAnsi="宋体"/>
          <w:color w:val="000000" w:themeColor="text1"/>
          <w:kern w:val="0"/>
          <w:sz w:val="24"/>
          <w14:textFill>
            <w14:solidFill>
              <w14:schemeClr w14:val="tx1"/>
            </w14:solidFill>
          </w14:textFill>
        </w:rPr>
        <w:t>决：</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（1）向</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r>
        <w:rPr>
          <w:rFonts w:hint="eastAsia" w:ascii="宋体" w:hAnsi="宋体"/>
          <w:bCs/>
          <w:color w:val="000000" w:themeColor="text1"/>
          <w:kern w:val="0"/>
          <w:sz w:val="24"/>
          <w:u w:val="single"/>
          <w14:textFill>
            <w14:solidFill>
              <w14:schemeClr w14:val="tx1"/>
            </w14:solidFill>
          </w14:textFill>
        </w:rPr>
        <w:t>/</w:t>
      </w:r>
      <w:r>
        <w:rPr>
          <w:rFonts w:ascii="宋体" w:hAnsi="宋体"/>
          <w:bCs/>
          <w:color w:val="000000" w:themeColor="text1"/>
          <w:kern w:val="0"/>
          <w:sz w:val="24"/>
          <w:u w:val="single"/>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仲裁委员会申请仲裁；</w:t>
      </w:r>
    </w:p>
    <w:p>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（2）向</w:t>
      </w:r>
      <w:r>
        <w:rPr>
          <w:rFonts w:hint="eastAsia" w:ascii="宋体" w:hAnsi="宋体"/>
          <w:color w:val="000000" w:themeColor="text1"/>
          <w:kern w:val="0"/>
          <w:sz w:val="24"/>
          <w:u w:val="single"/>
          <w14:textFill>
            <w14:solidFill>
              <w14:schemeClr w14:val="tx1"/>
            </w14:solidFill>
          </w14:textFill>
        </w:rPr>
        <w:t>发包人所在地</w:t>
      </w:r>
      <w:r>
        <w:rPr>
          <w:rFonts w:ascii="宋体" w:hAnsi="宋体"/>
          <w:color w:val="000000" w:themeColor="text1"/>
          <w:kern w:val="0"/>
          <w:sz w:val="24"/>
          <w14:textFill>
            <w14:solidFill>
              <w14:schemeClr w14:val="tx1"/>
            </w14:solidFill>
          </w14:textFill>
        </w:rPr>
        <w:t>人民法院起诉</w:t>
      </w:r>
    </w:p>
    <w:p>
      <w:pPr>
        <w:spacing w:line="360" w:lineRule="auto"/>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21.补充条款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（1）农民工工资支付按《云南省建设厅关于贯彻落实（云南省建设领域农民工工资支付管理试行办法）的通知》执行。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方必须保证资金专款专用，绝不挪作他用，在收到进度款前必须列出开支计划，确保民工工资的支付，并接受发包人的监督。若发生挪作他用或不按开支计划合理使用工程资金，发包人有权停止支付款项，并有权直接支付相应开支，且承包人不能因此而停止工程的施工。</w:t>
      </w:r>
    </w:p>
    <w:p>
      <w:pPr>
        <w:spacing w:line="360" w:lineRule="auto"/>
        <w:ind w:right="-10" w:rightChars="-5"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承包人在施工全过程中必须严格遵守投标文件中对质量、工期、施工工艺技术等所有承诺，发包人有权进行符合性监督。若承包人在施工中所提供的质量、工期、施工工艺技术与其承诺不符，发包人有权提出索赔。</w:t>
      </w:r>
    </w:p>
    <w:p>
      <w:pPr>
        <w:spacing w:line="360" w:lineRule="auto"/>
        <w:ind w:right="-10" w:rightChars="-5"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（4）承包人在施工过程中应严格执行发包人的现场管理规定，以发包人、监理公司、承包人签订的《施工现场三方管理规定》为准。</w:t>
      </w:r>
    </w:p>
    <w:p>
      <w:pPr>
        <w:spacing w:line="360" w:lineRule="auto"/>
        <w:ind w:right="-10" w:rightChars="-5" w:firstLine="480" w:firstLineChars="200"/>
        <w:rPr>
          <w:rFonts w:ascii="宋体" w:hAnsi="宋体" w:cs="宋体"/>
          <w:color w:val="000000" w:themeColor="text1"/>
          <w:sz w:val="24"/>
          <w14:textFill>
            <w14:solidFill>
              <w14:schemeClr w14:val="tx1"/>
            </w14:solidFill>
          </w14:textFill>
        </w:rPr>
      </w:pPr>
      <w:bookmarkStart w:id="1022" w:name="_Toc351203652"/>
      <w:r>
        <w:rPr>
          <w:rFonts w:hint="eastAsia" w:ascii="宋体" w:hAnsi="宋体" w:cs="宋体"/>
          <w:color w:val="000000" w:themeColor="text1"/>
          <w:sz w:val="24"/>
          <w14:textFill>
            <w14:solidFill>
              <w14:schemeClr w14:val="tx1"/>
            </w14:solidFill>
          </w14:textFill>
        </w:rPr>
        <w:t>（5）在施工图预算审核和竣工结算审核过程中，当发包人委托的造价咨询单位审减金额（送审金额－审定金额）占送审金额的</w:t>
      </w:r>
      <w:r>
        <w:rPr>
          <w:rFonts w:ascii="宋体" w:hAnsi="宋体" w:cs="宋体"/>
          <w:color w:val="000000" w:themeColor="text1"/>
          <w:sz w:val="24"/>
          <w14:textFill>
            <w14:solidFill>
              <w14:schemeClr w14:val="tx1"/>
            </w14:solidFill>
          </w14:textFill>
        </w:rPr>
        <w:t>15％以内（含15％）时，由此产生的审核费用由发包人承担；</w:t>
      </w:r>
      <w:r>
        <w:rPr>
          <w:rFonts w:hint="eastAsia" w:ascii="宋体" w:hAnsi="宋体" w:cs="宋体"/>
          <w:color w:val="000000" w:themeColor="text1"/>
          <w:sz w:val="24"/>
          <w14:textFill>
            <w14:solidFill>
              <w14:schemeClr w14:val="tx1"/>
            </w14:solidFill>
          </w14:textFill>
        </w:rPr>
        <w:t>当发包人委托的造价咨询单位审减金额（送审金额－审定金额）占送审金额的</w:t>
      </w:r>
      <w:r>
        <w:rPr>
          <w:rFonts w:ascii="宋体" w:hAnsi="宋体" w:cs="宋体"/>
          <w:color w:val="000000" w:themeColor="text1"/>
          <w:sz w:val="24"/>
          <w14:textFill>
            <w14:solidFill>
              <w14:schemeClr w14:val="tx1"/>
            </w14:solidFill>
          </w14:textFill>
        </w:rPr>
        <w:t>15％以上时，审核差异超过核定造价15%之外的审核费用由承包人承担，并由发包人从工程款中扣除。</w:t>
      </w:r>
    </w:p>
    <w:p>
      <w:pPr>
        <w:spacing w:line="360" w:lineRule="auto"/>
        <w:ind w:right="-10" w:rightChars="-5"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br w:type="page"/>
      </w:r>
    </w:p>
    <w:bookmarkEnd w:id="1022"/>
    <w:p>
      <w:pPr>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附件一：</w:t>
      </w:r>
    </w:p>
    <w:p>
      <w:pPr>
        <w:jc w:val="center"/>
        <w:rPr>
          <w:rFonts w:ascii="宋体" w:hAnsi="宋体"/>
          <w:b/>
          <w:color w:val="000000" w:themeColor="text1"/>
          <w:sz w:val="36"/>
          <w:szCs w:val="21"/>
          <w14:textFill>
            <w14:solidFill>
              <w14:schemeClr w14:val="tx1"/>
            </w14:solidFill>
          </w14:textFill>
        </w:rPr>
      </w:pPr>
      <w:r>
        <w:rPr>
          <w:rFonts w:hint="eastAsia" w:ascii="宋体" w:hAnsi="宋体"/>
          <w:b/>
          <w:color w:val="000000" w:themeColor="text1"/>
          <w:sz w:val="36"/>
          <w:szCs w:val="21"/>
          <w14:textFill>
            <w14:solidFill>
              <w14:schemeClr w14:val="tx1"/>
            </w14:solidFill>
          </w14:textFill>
        </w:rPr>
        <w:t>工程质量保修书</w:t>
      </w:r>
    </w:p>
    <w:p>
      <w:pPr>
        <w:widowControl/>
        <w:spacing w:line="360" w:lineRule="auto"/>
        <w:rPr>
          <w:rFonts w:ascii="宋体" w:hAnsi="宋体"/>
          <w:b/>
          <w:color w:val="000000" w:themeColor="text1"/>
          <w:kern w:val="0"/>
          <w:sz w:val="24"/>
          <w14:textFill>
            <w14:solidFill>
              <w14:schemeClr w14:val="tx1"/>
            </w14:solidFill>
          </w14:textFill>
        </w:rPr>
      </w:pPr>
    </w:p>
    <w:p>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发包人：</w:t>
      </w:r>
      <w:r>
        <w:rPr>
          <w:rFonts w:hint="eastAsia" w:ascii="宋体" w:hAnsi="宋体"/>
          <w:color w:val="000000" w:themeColor="text1"/>
          <w:kern w:val="0"/>
          <w:sz w:val="24"/>
          <w:u w:val="single"/>
          <w14:textFill>
            <w14:solidFill>
              <w14:schemeClr w14:val="tx1"/>
            </w14:solidFill>
          </w14:textFill>
        </w:rPr>
        <w:t>昆明经济技术开发区规划建设局</w:t>
      </w:r>
    </w:p>
    <w:p>
      <w:pPr>
        <w:widowControl/>
        <w:spacing w:line="360" w:lineRule="auto"/>
        <w:jc w:val="left"/>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承包人：</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发包人和承包人根据《中华人民共和国建筑法》和《建设工程质量管理条例》，经协商一致就</w:t>
      </w:r>
      <w:r>
        <w:rPr>
          <w:rFonts w:hint="eastAsia" w:ascii="宋体" w:hAnsi="宋体" w:cs="宋体"/>
          <w:color w:val="000000" w:themeColor="text1"/>
          <w:sz w:val="24"/>
          <w:u w:val="single"/>
          <w14:textFill>
            <w14:solidFill>
              <w14:schemeClr w14:val="tx1"/>
            </w14:solidFill>
          </w14:textFill>
        </w:rPr>
        <w:t>经开区143号路设计施工总承包</w:t>
      </w:r>
      <w:r>
        <w:rPr>
          <w:rFonts w:hint="eastAsia" w:ascii="宋体" w:hAnsi="宋体"/>
          <w:color w:val="000000" w:themeColor="text1"/>
          <w:sz w:val="24"/>
          <w14:textFill>
            <w14:solidFill>
              <w14:schemeClr w14:val="tx1"/>
            </w14:solidFill>
          </w14:textFill>
        </w:rPr>
        <w:t>签订工程质量保修书。</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工程质量保修范围和内容承包人在质量保修期内，按照有关法律规定和合同约定，承担工程质量保修责任。质量保修范围包括本项目工程施工全部内容，以及双方约定的其他项目。具体保修的内容，双方约定如下：质量管理执行《建设工程质量管理条例》</w:t>
      </w:r>
      <w:r>
        <w:rPr>
          <w:rFonts w:ascii="宋体" w:hAnsi="宋体" w:cs="宋体"/>
          <w:color w:val="000000" w:themeColor="text1"/>
          <w:sz w:val="24"/>
          <w14:textFill>
            <w14:solidFill>
              <w14:schemeClr w14:val="tx1"/>
            </w14:solidFill>
          </w14:textFill>
        </w:rPr>
        <w:t>(国务院279号令)、</w:t>
      </w:r>
      <w:r>
        <w:rPr>
          <w:rFonts w:hint="eastAsia" w:ascii="宋体" w:hAnsi="宋体" w:cs="宋体"/>
          <w:color w:val="000000" w:themeColor="text1"/>
          <w:sz w:val="24"/>
          <w14:textFill>
            <w14:solidFill>
              <w14:schemeClr w14:val="tx1"/>
            </w14:solidFill>
          </w14:textFill>
        </w:rPr>
        <w:t>保修办法执行</w:t>
      </w:r>
      <w:r>
        <w:rPr>
          <w:rFonts w:hint="eastAsia" w:ascii="Arial" w:hAnsi="Arial" w:cs="Arial"/>
          <w:color w:val="000000" w:themeColor="text1"/>
          <w:sz w:val="24"/>
          <w:shd w:val="clear" w:color="auto" w:fill="FFFFFF"/>
          <w14:textFill>
            <w14:solidFill>
              <w14:schemeClr w14:val="tx1"/>
            </w14:solidFill>
          </w14:textFill>
        </w:rPr>
        <w:t>《房屋建筑工程质量保修办法》建设部第</w:t>
      </w:r>
      <w:r>
        <w:rPr>
          <w:rFonts w:ascii="Arial" w:hAnsi="Arial" w:cs="Arial"/>
          <w:color w:val="000000" w:themeColor="text1"/>
          <w:sz w:val="24"/>
          <w:shd w:val="clear" w:color="auto" w:fill="FFFFFF"/>
          <w14:textFill>
            <w14:solidFill>
              <w14:schemeClr w14:val="tx1"/>
            </w14:solidFill>
          </w14:textFill>
        </w:rPr>
        <w:t xml:space="preserve"> 80 </w:t>
      </w:r>
      <w:r>
        <w:rPr>
          <w:rFonts w:hint="eastAsia" w:ascii="Arial" w:hAnsi="Arial" w:cs="Arial"/>
          <w:color w:val="000000" w:themeColor="text1"/>
          <w:sz w:val="24"/>
          <w:shd w:val="clear" w:color="auto" w:fill="FFFFFF"/>
          <w14:textFill>
            <w14:solidFill>
              <w14:schemeClr w14:val="tx1"/>
            </w14:solidFill>
          </w14:textFill>
        </w:rPr>
        <w:t>号令 </w:t>
      </w:r>
      <w:r>
        <w:rPr>
          <w:rFonts w:hint="eastAsia" w:ascii="宋体" w:hAnsi="宋体" w:cs="宋体"/>
          <w:color w:val="000000" w:themeColor="text1"/>
          <w:sz w:val="24"/>
          <w14:textFill>
            <w14:solidFill>
              <w14:schemeClr w14:val="tx1"/>
            </w14:solidFill>
          </w14:textFill>
        </w:rPr>
        <w:t>。</w:t>
      </w:r>
    </w:p>
    <w:p>
      <w:pPr>
        <w:spacing w:line="360" w:lineRule="auto"/>
        <w:ind w:firstLine="360" w:firstLineChars="15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二、质量保修期</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kern w:val="1"/>
          <w:sz w:val="24"/>
          <w14:textFill>
            <w14:solidFill>
              <w14:schemeClr w14:val="tx1"/>
            </w14:solidFill>
          </w14:textFill>
        </w:rPr>
        <w:t>本工程的质量保修期根据《建设工程质量管理条例》及有关规定执行。</w:t>
      </w:r>
      <w:r>
        <w:rPr>
          <w:rFonts w:hint="eastAsia" w:ascii="宋体" w:hAnsi="宋体" w:cs="宋体"/>
          <w:color w:val="000000" w:themeColor="text1"/>
          <w:sz w:val="24"/>
          <w14:textFill>
            <w14:solidFill>
              <w14:schemeClr w14:val="tx1"/>
            </w14:solidFill>
          </w14:textFill>
        </w:rPr>
        <w:t>质量保修期自工程竣工验收合格之日起计。</w:t>
      </w:r>
    </w:p>
    <w:p>
      <w:pPr>
        <w:spacing w:line="360" w:lineRule="auto"/>
        <w:ind w:firstLine="360" w:firstLineChars="150"/>
        <w:jc w:val="left"/>
        <w:rPr>
          <w:rFonts w:ascii="宋体" w:hAnsi="宋体"/>
          <w:color w:val="000000" w:themeColor="text1"/>
          <w:kern w:val="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三、缺陷责任期</w:t>
      </w:r>
    </w:p>
    <w:p>
      <w:pPr>
        <w:spacing w:line="360" w:lineRule="auto"/>
        <w:ind w:firstLine="360" w:firstLineChars="15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1"/>
          <w:sz w:val="24"/>
          <w14:textFill>
            <w14:solidFill>
              <w14:schemeClr w14:val="tx1"/>
            </w14:solidFill>
          </w14:textFill>
        </w:rPr>
        <w:t>缺陷责任期（除绿化工程部分）为2年</w:t>
      </w:r>
      <w:r>
        <w:rPr>
          <w:rFonts w:ascii="宋体" w:hAnsi="宋体"/>
          <w:color w:val="000000" w:themeColor="text1"/>
          <w:kern w:val="1"/>
          <w:sz w:val="24"/>
          <w14:textFill>
            <w14:solidFill>
              <w14:schemeClr w14:val="tx1"/>
            </w14:solidFill>
          </w14:textFill>
        </w:rPr>
        <w:t>，缺陷责任期自工程验收合格之日起计算。</w:t>
      </w:r>
    </w:p>
    <w:p>
      <w:pPr>
        <w:spacing w:line="360" w:lineRule="auto"/>
        <w:ind w:firstLine="360" w:firstLineChars="1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缺陷责任期终止后，发包人应退还剩余的质量保证金。</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四、质量保修责任</w:t>
      </w:r>
    </w:p>
    <w:p>
      <w:pPr>
        <w:spacing w:line="360" w:lineRule="auto"/>
        <w:ind w:firstLine="360" w:firstLineChars="15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1．属于保修范围、内容的项目，承包人应当在接到保修通知之日起1天内派人保修。承包人不在约定期限内派人保修的，发包人可以委托他人修理。</w:t>
      </w:r>
    </w:p>
    <w:p>
      <w:pPr>
        <w:spacing w:line="360" w:lineRule="auto"/>
        <w:ind w:firstLine="360" w:firstLineChars="15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2．发生紧急事故需抢修的，承包人在接到事故通知后，应当立即到达事故现场抢修。</w:t>
      </w:r>
    </w:p>
    <w:p>
      <w:pPr>
        <w:spacing w:line="360" w:lineRule="auto"/>
        <w:ind w:firstLine="360" w:firstLineChars="15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360" w:firstLineChars="15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4．质量保修完成后，由发包人组织验收。</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五、保修费用</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保修费用由造成质量缺陷的责任方承担。</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六、双方约定的其他工程质量保修事项：</w:t>
      </w:r>
      <w:r>
        <w:rPr>
          <w:rFonts w:ascii="宋体" w:hAnsi="宋体"/>
          <w:color w:val="000000" w:themeColor="text1"/>
          <w:sz w:val="24"/>
          <w:u w:val="single"/>
          <w14:textFill>
            <w14:solidFill>
              <w14:schemeClr w14:val="tx1"/>
            </w14:solidFill>
          </w14:textFill>
        </w:rPr>
        <w:t xml:space="preserve">          /            </w:t>
      </w:r>
      <w:r>
        <w:rPr>
          <w:rFonts w:ascii="宋体" w:hAnsi="宋体"/>
          <w:color w:val="000000" w:themeColor="text1"/>
          <w:sz w:val="24"/>
          <w14:textFill>
            <w14:solidFill>
              <w14:schemeClr w14:val="tx1"/>
            </w14:solidFill>
          </w14:textFill>
        </w:rPr>
        <w:t xml:space="preserve"> 。</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工程质量保修书由发包人、承包人在总承包合同签订当日共同签署，作为施工合同附件，其有效期限至保修期满。</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发包人（公章或合同专用章）：</w:t>
      </w:r>
      <w:r>
        <w:rPr>
          <w:rFonts w:ascii="宋体" w:hAnsi="宋体"/>
          <w:color w:val="000000" w:themeColor="text1"/>
          <w:sz w:val="24"/>
          <w14:textFill>
            <w14:solidFill>
              <w14:schemeClr w14:val="tx1"/>
            </w14:solidFill>
          </w14:textFill>
        </w:rPr>
        <w:t xml:space="preserve">            承包人（公章或合同专用章）：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法定代表人或委托代理人（签字）</w:t>
      </w:r>
      <w:r>
        <w:rPr>
          <w:rFonts w:ascii="宋体" w:hAnsi="宋体"/>
          <w:color w:val="000000" w:themeColor="text1"/>
          <w:sz w:val="24"/>
          <w14:textFill>
            <w14:solidFill>
              <w14:schemeClr w14:val="tx1"/>
            </w14:solidFill>
          </w14:textFill>
        </w:rPr>
        <w:t xml:space="preserve">:         法定代表人或委托代理人（签字）: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承包人（公章或合同专用章）：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法定代表人或委托代理人（签字）</w:t>
      </w:r>
      <w:r>
        <w:rPr>
          <w:rFonts w:ascii="宋体" w:hAnsi="宋体"/>
          <w:color w:val="000000" w:themeColor="text1"/>
          <w:sz w:val="24"/>
          <w14:textFill>
            <w14:solidFill>
              <w14:schemeClr w14:val="tx1"/>
            </w14:solidFill>
          </w14:textFill>
        </w:rPr>
        <w:t xml:space="preserve">:     </w:t>
      </w:r>
    </w:p>
    <w:p>
      <w:pPr>
        <w:spacing w:line="360" w:lineRule="auto"/>
        <w:ind w:firstLine="2640" w:firstLineChars="1100"/>
        <w:rPr>
          <w:rFonts w:ascii="宋体" w:hAnsi="宋体"/>
          <w:color w:val="000000" w:themeColor="text1"/>
          <w:sz w:val="24"/>
          <w14:textFill>
            <w14:solidFill>
              <w14:schemeClr w14:val="tx1"/>
            </w14:solidFill>
          </w14:textFill>
        </w:rPr>
      </w:pPr>
    </w:p>
    <w:p>
      <w:pPr>
        <w:spacing w:line="360" w:lineRule="auto"/>
        <w:ind w:firstLine="2640" w:firstLineChars="1100"/>
        <w:rPr>
          <w:rFonts w:ascii="宋体" w:hAnsi="宋体"/>
          <w:color w:val="000000" w:themeColor="text1"/>
          <w:sz w:val="24"/>
          <w14:textFill>
            <w14:solidFill>
              <w14:schemeClr w14:val="tx1"/>
            </w14:solidFill>
          </w14:textFill>
        </w:rPr>
      </w:pPr>
    </w:p>
    <w:p>
      <w:pPr>
        <w:wordWrap w:val="0"/>
        <w:spacing w:line="360" w:lineRule="auto"/>
        <w:ind w:firstLine="2640" w:firstLineChars="11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合同订立时间：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月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ind w:firstLine="3253" w:firstLineChars="900"/>
        <w:rPr>
          <w:rFonts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br w:type="page"/>
      </w:r>
    </w:p>
    <w:p>
      <w:pPr>
        <w:jc w:val="left"/>
        <w:rPr>
          <w:rFonts w:ascii="宋体" w:hAnsi="宋体"/>
          <w:b/>
          <w:color w:val="000000" w:themeColor="text1"/>
          <w:sz w:val="28"/>
          <w:szCs w:val="28"/>
          <w14:textFill>
            <w14:solidFill>
              <w14:schemeClr w14:val="tx1"/>
            </w14:solidFill>
          </w14:textFill>
        </w:rPr>
      </w:pPr>
    </w:p>
    <w:p>
      <w:pPr>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附件二：</w:t>
      </w:r>
    </w:p>
    <w:p>
      <w:pPr>
        <w:ind w:firstLine="3253" w:firstLineChars="900"/>
        <w:rPr>
          <w:rFonts w:ascii="宋体" w:hAnsi="宋体"/>
          <w:b/>
          <w:color w:val="000000" w:themeColor="text1"/>
          <w:sz w:val="28"/>
          <w:szCs w:val="21"/>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廉政承诺书</w:t>
      </w:r>
    </w:p>
    <w:p>
      <w:pPr>
        <w:widowControl/>
        <w:spacing w:line="360" w:lineRule="exact"/>
        <w:rPr>
          <w:rFonts w:ascii="宋体" w:hAnsi="宋体"/>
          <w:b/>
          <w:color w:val="000000" w:themeColor="text1"/>
          <w:kern w:val="0"/>
          <w:szCs w:val="21"/>
          <w14:textFill>
            <w14:solidFill>
              <w14:schemeClr w14:val="tx1"/>
            </w14:solidFill>
          </w14:textFill>
        </w:rPr>
      </w:pPr>
    </w:p>
    <w:p>
      <w:pPr>
        <w:widowControl/>
        <w:spacing w:line="360" w:lineRule="auto"/>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发包人（甲方）：</w:t>
      </w:r>
      <w:r>
        <w:rPr>
          <w:rFonts w:hint="eastAsia" w:ascii="宋体" w:hAnsi="宋体"/>
          <w:color w:val="000000" w:themeColor="text1"/>
          <w:kern w:val="0"/>
          <w:sz w:val="24"/>
          <w:u w:val="single"/>
          <w14:textFill>
            <w14:solidFill>
              <w14:schemeClr w14:val="tx1"/>
            </w14:solidFill>
          </w14:textFill>
        </w:rPr>
        <w:t>昆明经济技术开发区规划建设局</w:t>
      </w:r>
    </w:p>
    <w:p>
      <w:pPr>
        <w:widowControl/>
        <w:spacing w:line="360" w:lineRule="auto"/>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承包人（乙方）：</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为坚决执行《中华人民共和国反不正当竞争法》、《中华人民共和国建筑法》、《中华人民共和国招标投标法》和《中华人民共和国刑法》、《最高人民法院　最高人民检察院&lt;关于办理商业贿赂刑事案件适用法律若干问题的意见》等有关法律法规和政策，为确保经开区143号路设计施工总承包实施过程中的公平、公正、公开的原则、争优创优、干部廉洁，甲乙双方签订廉政承诺书。</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一、甲乙双方都清楚并愿意严格遵守相关法律规定，双方都清楚任何形式的贿赂和贪渎行为都将触犯法律，并将受到法律的严惩。</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二、甲方或乙方均不得向对方或对方经办人或其他相关人员索要、收受、提供、给予合同约定外的任何利益，包括但不限于明扣、暗扣、现金、购物卡、实物、有价证券、旅游或其他非物质性利益等。</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甲乙双方严格禁止对方经办人员的任何商业贿赂行为。经办人发生本条第二款所列示的任何一种行为，都是违反甲乙双方公司制度及国家、地方规定的行为，都将受到该公司制度和国家及地方法律、法规的惩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四、甲乙双方郑重提示：一方反对另一方或其经办人员为了本合同之目的与本合同以外的任何第三方发生本条款第二条所列示的任何一种行为，该等行为都是违反国家有关规定的行为，并将受到国家法律及地方法规的惩处。</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五、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六、甲方工作人员的配偶、子女，不参与项目整个活动过程；不得推荐项目实施单位。</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七、甲方人员向乙方索贿，经乙方或其他线索检举，被纪检监察机关立案查处认定的，由此产生的办案费用由甲方（索贿方单位或个人）承担。举报甲方或乙方的贿赂行为的举报人，经查证属实，可由查办案件的机关（单位）依照规定给予奖励。</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八、乙方不得以任何形式邀请甲方人员吃、玩或向甲方赠送礼品、礼金、各种有价证券、信用卡及其他支付凭证或物品。如有违反，由有关行政主管部门对乙方给予扣减合同总价款的1%—1.5%，或者中止合同。并视情节轻重，对乙方决策人和经办人以及甲方接受人员给予批评教育、党纪政纪处分、依法追究刑事责任。</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九、乙方在项目实施过程中贿赂甲方人员、中介方人员，被纪检监察机关或司法机关立案查处的，甲方有权中止合同。由此给甲方造成的损失以及发生的一切费用均由乙方承担。</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十、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或依法追究刑事责任。</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十一、如乙方有违反本廉政承诺书任一约定情形的，甲方有权单方解除与乙方之间签订的合同，同时，启动对乙方的清退程序，乙方自愿退出并积极配合甲方的清退。</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十二、本承诺书自双方签字盖章后即生效，并由双方单位的纪检监察部门和监证的纪检监察机关、部门监督执行。</w:t>
      </w:r>
    </w:p>
    <w:p>
      <w:pPr>
        <w:widowControl/>
        <w:spacing w:line="360" w:lineRule="auto"/>
        <w:rPr>
          <w:rFonts w:ascii="宋体" w:hAnsi="宋体"/>
          <w:color w:val="000000" w:themeColor="text1"/>
          <w:kern w:val="0"/>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发包人（公章或合同专用章）：</w:t>
      </w:r>
      <w:r>
        <w:rPr>
          <w:rFonts w:ascii="宋体" w:hAnsi="宋体"/>
          <w:color w:val="000000" w:themeColor="text1"/>
          <w:sz w:val="24"/>
          <w14:textFill>
            <w14:solidFill>
              <w14:schemeClr w14:val="tx1"/>
            </w14:solidFill>
          </w14:textFill>
        </w:rPr>
        <w:t xml:space="preserve">            承包人（公章或合同专用章）：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法定代表人或委托代理人（签字）：</w:t>
      </w:r>
      <w:r>
        <w:rPr>
          <w:rFonts w:ascii="宋体" w:hAnsi="宋体"/>
          <w:color w:val="000000" w:themeColor="text1"/>
          <w:sz w:val="24"/>
          <w14:textFill>
            <w14:solidFill>
              <w14:schemeClr w14:val="tx1"/>
            </w14:solidFill>
          </w14:textFill>
        </w:rPr>
        <w:t xml:space="preserve">        法定代表人或委托代理人（签字）： </w:t>
      </w:r>
    </w:p>
    <w:p>
      <w:pPr>
        <w:spacing w:line="360" w:lineRule="auto"/>
        <w:rPr>
          <w:rFonts w:ascii="宋体" w:hAnsi="宋体"/>
          <w:color w:val="000000" w:themeColor="text1"/>
          <w:sz w:val="24"/>
          <w14:textFill>
            <w14:solidFill>
              <w14:schemeClr w14:val="tx1"/>
            </w14:solidFill>
          </w14:textFill>
        </w:rPr>
      </w:pPr>
    </w:p>
    <w:p>
      <w:pPr>
        <w:spacing w:line="360" w:lineRule="auto"/>
        <w:ind w:firstLine="2640" w:firstLineChars="1100"/>
        <w:rPr>
          <w:rFonts w:ascii="宋体" w:hAnsi="宋体"/>
          <w:color w:val="000000" w:themeColor="text1"/>
          <w:sz w:val="24"/>
          <w14:textFill>
            <w14:solidFill>
              <w14:schemeClr w14:val="tx1"/>
            </w14:solidFill>
          </w14:textFill>
        </w:rPr>
      </w:pPr>
    </w:p>
    <w:p>
      <w:pPr>
        <w:spacing w:line="360" w:lineRule="auto"/>
        <w:ind w:firstLine="2640" w:firstLineChars="11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合同订立时间：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  日</w:t>
      </w:r>
    </w:p>
    <w:p>
      <w:pPr>
        <w:rPr>
          <w:rFonts w:ascii="宋体" w:hAnsi="宋体"/>
          <w:b/>
          <w:color w:val="000000" w:themeColor="text1"/>
          <w:sz w:val="36"/>
          <w:szCs w:val="36"/>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 w:val="36"/>
          <w:szCs w:val="36"/>
          <w14:textFill>
            <w14:solidFill>
              <w14:schemeClr w14:val="tx1"/>
            </w14:solidFill>
          </w14:textFill>
        </w:rPr>
        <w:br w:type="page"/>
      </w:r>
    </w:p>
    <w:p>
      <w:pPr>
        <w:jc w:val="left"/>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附件三：</w:t>
      </w:r>
    </w:p>
    <w:p>
      <w:pPr>
        <w:widowControl/>
        <w:spacing w:line="360" w:lineRule="auto"/>
        <w:jc w:val="center"/>
        <w:rPr>
          <w:rFonts w:ascii="宋体" w:hAnsi="宋体"/>
          <w:color w:val="000000" w:themeColor="text1"/>
          <w:kern w:val="0"/>
          <w:sz w:val="36"/>
          <w:szCs w:val="36"/>
          <w14:textFill>
            <w14:solidFill>
              <w14:schemeClr w14:val="tx1"/>
            </w14:solidFill>
          </w14:textFill>
        </w:rPr>
      </w:pPr>
      <w:r>
        <w:rPr>
          <w:rFonts w:hint="eastAsia" w:ascii="宋体" w:hAnsi="宋体"/>
          <w:color w:val="000000" w:themeColor="text1"/>
          <w:kern w:val="0"/>
          <w:sz w:val="36"/>
          <w:szCs w:val="36"/>
          <w14:textFill>
            <w14:solidFill>
              <w14:schemeClr w14:val="tx1"/>
            </w14:solidFill>
          </w14:textFill>
        </w:rPr>
        <w:t>安全生产协议</w:t>
      </w:r>
    </w:p>
    <w:p>
      <w:pPr>
        <w:widowControl/>
        <w:spacing w:line="360" w:lineRule="auto"/>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发包人（以下简称“甲方”）：</w:t>
      </w:r>
      <w:r>
        <w:rPr>
          <w:rFonts w:hint="eastAsia" w:ascii="宋体" w:hAnsi="宋体"/>
          <w:color w:val="000000" w:themeColor="text1"/>
          <w:kern w:val="0"/>
          <w:sz w:val="24"/>
          <w:u w:val="single"/>
          <w14:textFill>
            <w14:solidFill>
              <w14:schemeClr w14:val="tx1"/>
            </w14:solidFill>
          </w14:textFill>
        </w:rPr>
        <w:t>昆明经济技术开发区规划建设局</w:t>
      </w:r>
    </w:p>
    <w:p>
      <w:pPr>
        <w:widowControl/>
        <w:spacing w:line="360" w:lineRule="auto"/>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承包人（以下简称“乙方”）：</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 xml:space="preserve">                   </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为了加强经开区143号路设计施工总承包安全生产管理，深入贯彻“安全第一，预防为主、综合治理”安全生产方针，保证人身、设备安全，根据《中华人民共和国安全生产法》、《中华人民共和国消防法》、《云南省安全生产条例》、《中华人民共和国建筑法》等有关法律规定，经甲乙双方平等协商、意见一致，自愿签订本协议:</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第一条：甲方的责任和义务</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1.严格遵守国家有关安全生产的法律法规，认真贯彻执行国家相关安全法律法规的规定要求。</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2.按照“安全第一、预防为主、综合治理”和坚持“管生产必须管安全”的原则进行安全生产管理，做到生产与安全工作同时计划、布置、检查、总结。</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3.重要的安全设施、职业病防护设施、消防设施必须坚持与主体工程“三同时”的原则，即：同时设计、审批，同时施工，同时验收、投产和使用，做到责任、管理、投入、培训、和应急救援“五到位”。</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4.甲方指定安全与环保管理部作为安全生产监督管理部门，对乙方的安全生产工作进行监督管理。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5.甲方有权对乙方执行有关安全生产的法律法规和国家标准、行业标准的情况进行监督检查，督促乙方依法履行安全生产管理职责。</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6.甲方有权要求乙方提交和现场调阅有关安全资质、安全规章制度、安全技术措施、安全宣传教育、安全事故应急救援预案等安全资料。</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7.甲方不得对乙方提出不符合安全生产法律、法规和强制性标准规定的要求，不得要求乙方在不具备安全生产条件下强行开展工作。</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第二条：乙方的责任和义务</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1.严格遵守国家有关安全生产的法律法规和有关安全生产的规定，认真执行经开区143号路设计施工总承包合同中的有关安全要求。</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2.乙方应遵守和服从甲方制定的有关安全生产的规章制度。</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乙方应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技术人员、生产管理人员和具体实施人员，必须熟悉和遵守各项规定，做到生产与安全工作同时计划、布置、检查、总结。</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4.乙方必须为施工作业人员参加人身意外保险。</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5.乙方应根据项目规模配备专职安全员，并确保安全文明措施费用发挥有限作用，专款专用。</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建立健全各项安全生产责任制度，并上报《生产安全事故应急救援预案》。从派往项目实施的负责人到生产工人(包括临时雇请的专家、顾问、民工)的安全生产管理系统必须做到纵向到底，一环不漏；各职能部门、人员的安全生产责任制做到横向到边，人人有责。项目负责人是安全生产的第一责任人。</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7.乙方应当依法做好从业人员的安全教育培训工作，增强员工的法制观念，提高员工的安全生产意识和自我保护的能力，督促员工自觉遵守安全制度；员工应当持证上岗工作。</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8.乙方必须自行提供本单位员工必备的个人劳动防护用品。（进入施工现场必须正确佩戴劳动防护用品）</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9.乙方应做好生产经营范围内和提供服务期间临时办公场所内的定期和日常的安全检查，防止伤亡事故、火灾事故及其他事故的发生。</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10.乙方在开展服务工作需进入项目施工现场的，应熟悉施工现场、遵守施工现场的安全管理规定，根据项目施工现场安全防护要求，做好必要的安全防护措施，避免安全事故的发生。</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11.乙方应自觉接受并无条件配合甲方各级管理人员的监督检查，对查出的不合格项和隐患及时进行整改；对甲方违章指挥、强令乙方冒险作业的，乙方有权拒绝执行。</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12.按《中华人民共和国劳动法》等法律、法规、规定用工。严禁使用未成年工和有职业禁忌的人员作业。</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13.对工作区域内的安全技术措施、工作人员状态以的安全责任负责；如因乙方采取的安全措施不当、违反有关安全规程、规定及本协议所列安全事项而造成的一切事故或对第二方造成损失的，均由乙方承担所造成的经济损失及法律责任。</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14.特种作业人员必须持证上岗方可进行工作。乙方在施工时，各种作业必须按本工种《安全操作规程》执行，特种作业人员必须持证上岗，不得违章操作。对因违章造成甲方或第三方的财产损失和人身伤害，由乙方承担全部责任。</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15.乙方必须保证施工现场符合项目所在地建设工程安全监督管理、公安消防、环境、治安、卫生防疫、劳动监察等部门及甲方提出的各项具体相关安全文明施工管理要求。</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16.乙方在合同期间所发生的一切安全事故由乙方负全责，一旦发生安全事故立马报告相关部门，严禁迟报、瞒报。在施工中如发生安全事故，乙方要迅速采取有效措施，组织抢救，防止事故扩大，减少人员伤亡和财产损失。</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17.乙方施工人员只能在甲方规定的施工区域内进行施工作业，并装设临时围栏或警告标志，禁止无关人员进入检维修及施工现场。未经甲方同意，严禁进入甲方其它区域从事与施工作业无关的作业及其他任何活动。乙方不得擅自使用与施工无关的甲方设施、设备；不得擅自拆除、变更甲方防护设施及标识。</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18.乙方使用甲方提供的设施设备、工器具等造成损坏的，应照价赔偿。</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19.乙方负责本施工区域内及已安装设备及零部件的安全保卫工作。如：防火、防盗、内部治安、人员出入等。因安装的设备及零部件丢失其责任乙方自负。</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第三条：期限</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本协议有效期与经开区143号路设计施工总承包合同期限一致，在乙方为甲方提供服务、从事与合同约定的业务期间有效。</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第四条：违约责任</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如因甲方或乙方违约造成安全事故，将依法追究责任。</w:t>
      </w:r>
    </w:p>
    <w:p>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由双方法定代表人或其授权的代理人签署与加盖章后生效。</w:t>
      </w:r>
    </w:p>
    <w:p>
      <w:pPr>
        <w:widowControl/>
        <w:spacing w:line="360" w:lineRule="auto"/>
        <w:rPr>
          <w:rFonts w:ascii="宋体" w:hAnsi="宋体"/>
          <w:color w:val="000000" w:themeColor="text1"/>
          <w:kern w:val="0"/>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发包人（公章或合同专用章）：</w:t>
      </w:r>
      <w:r>
        <w:rPr>
          <w:rFonts w:ascii="宋体" w:hAnsi="宋体"/>
          <w:color w:val="000000" w:themeColor="text1"/>
          <w:sz w:val="24"/>
          <w14:textFill>
            <w14:solidFill>
              <w14:schemeClr w14:val="tx1"/>
            </w14:solidFill>
          </w14:textFill>
        </w:rPr>
        <w:t xml:space="preserve">            承包人（公章或合同专用章）：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法定代表人或委托代理人（签字）：</w:t>
      </w:r>
      <w:r>
        <w:rPr>
          <w:rFonts w:ascii="宋体" w:hAnsi="宋体"/>
          <w:color w:val="000000" w:themeColor="text1"/>
          <w:sz w:val="24"/>
          <w14:textFill>
            <w14:solidFill>
              <w14:schemeClr w14:val="tx1"/>
            </w14:solidFill>
          </w14:textFill>
        </w:rPr>
        <w:t xml:space="preserve">        法定代表人或委托代理人（签字）： </w:t>
      </w:r>
    </w:p>
    <w:p>
      <w:pPr>
        <w:spacing w:line="360" w:lineRule="auto"/>
        <w:rPr>
          <w:rFonts w:ascii="宋体" w:hAnsi="宋体"/>
          <w:color w:val="000000" w:themeColor="text1"/>
          <w:sz w:val="24"/>
          <w14:textFill>
            <w14:solidFill>
              <w14:schemeClr w14:val="tx1"/>
            </w14:solidFill>
          </w14:textFill>
        </w:rPr>
      </w:pPr>
    </w:p>
    <w:p>
      <w:pPr>
        <w:spacing w:line="360" w:lineRule="auto"/>
        <w:ind w:firstLine="2640" w:firstLineChars="1100"/>
        <w:rPr>
          <w:rFonts w:ascii="宋体" w:hAnsi="宋体"/>
          <w:color w:val="000000" w:themeColor="text1"/>
          <w:sz w:val="24"/>
          <w14:textFill>
            <w14:solidFill>
              <w14:schemeClr w14:val="tx1"/>
            </w14:solidFill>
          </w14:textFill>
        </w:rPr>
      </w:pPr>
    </w:p>
    <w:p>
      <w:pPr>
        <w:spacing w:line="360" w:lineRule="auto"/>
        <w:ind w:firstLine="2640" w:firstLineChars="11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合同订立时间：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月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after="120" w:line="320" w:lineRule="exact"/>
        <w:rPr>
          <w:rFonts w:ascii="宋体" w:hAnsi="宋体"/>
          <w:color w:val="000000" w:themeColor="text1"/>
          <w14:textFill>
            <w14:solidFill>
              <w14:schemeClr w14:val="tx1"/>
            </w14:solidFill>
          </w14:textFill>
        </w:rPr>
      </w:pPr>
    </w:p>
    <w:p>
      <w:pPr>
        <w:spacing w:after="120" w:line="320" w:lineRule="exact"/>
        <w:rPr>
          <w:rFonts w:ascii="宋体" w:hAnsi="宋体"/>
          <w:color w:val="000000" w:themeColor="text1"/>
          <w14:textFill>
            <w14:solidFill>
              <w14:schemeClr w14:val="tx1"/>
            </w14:solidFill>
          </w14:textFill>
        </w:rPr>
        <w:sectPr>
          <w:type w:val="nextColumn"/>
          <w:pgSz w:w="11906" w:h="16838"/>
          <w:pgMar w:top="1304" w:right="1304" w:bottom="1304" w:left="1304" w:header="720" w:footer="998" w:gutter="0"/>
          <w:pgNumType w:fmt="numberInDash"/>
          <w:cols w:space="720" w:num="1"/>
          <w:docGrid w:linePitch="326" w:charSpace="0"/>
        </w:sectPr>
      </w:pPr>
    </w:p>
    <w:p>
      <w:pPr>
        <w:widowControl/>
        <w:spacing w:before="120" w:beforeLines="50" w:after="120" w:afterLines="50" w:line="440" w:lineRule="exact"/>
        <w:jc w:val="left"/>
        <w:rPr>
          <w:rFonts w:ascii="宋体" w:hAnsi="宋体"/>
          <w:color w:val="000000" w:themeColor="text1"/>
          <w:kern w:val="0"/>
          <w:sz w:val="30"/>
          <w:szCs w:val="30"/>
          <w14:textFill>
            <w14:solidFill>
              <w14:schemeClr w14:val="tx1"/>
            </w14:solidFill>
          </w14:textFill>
        </w:rPr>
      </w:pPr>
      <w:bookmarkStart w:id="1023" w:name="_Toc60312237"/>
      <w:bookmarkStart w:id="1024" w:name="_Toc60323373"/>
      <w:bookmarkStart w:id="1025" w:name="_Toc20171897"/>
      <w:bookmarkStart w:id="1026" w:name="_Toc54862356"/>
      <w:r>
        <w:rPr>
          <w:rFonts w:hint="eastAsia" w:ascii="宋体" w:hAnsi="宋体"/>
          <w:b/>
          <w:color w:val="000000" w:themeColor="text1"/>
          <w:kern w:val="0"/>
          <w:sz w:val="24"/>
          <w14:textFill>
            <w14:solidFill>
              <w14:schemeClr w14:val="tx1"/>
            </w14:solidFill>
          </w14:textFill>
        </w:rPr>
        <w:t>附件四</w:t>
      </w:r>
      <w:r>
        <w:rPr>
          <w:rFonts w:ascii="宋体" w:hAnsi="宋体"/>
          <w:b/>
          <w:color w:val="000000" w:themeColor="text1"/>
          <w:kern w:val="0"/>
          <w:sz w:val="24"/>
          <w14:textFill>
            <w14:solidFill>
              <w14:schemeClr w14:val="tx1"/>
            </w14:solidFill>
          </w14:textFill>
        </w:rPr>
        <w:t xml:space="preserve"> 承包人主要管理人员表</w:t>
      </w:r>
      <w:bookmarkEnd w:id="1023"/>
      <w:bookmarkEnd w:id="1024"/>
      <w:bookmarkEnd w:id="1025"/>
      <w:bookmarkEnd w:id="1026"/>
    </w:p>
    <w:tbl>
      <w:tblPr>
        <w:tblStyle w:val="62"/>
        <w:tblW w:w="94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10"/>
        <w:gridCol w:w="1418"/>
        <w:gridCol w:w="1134"/>
        <w:gridCol w:w="1134"/>
        <w:gridCol w:w="2344"/>
        <w:gridCol w:w="1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single" w:color="auto" w:sz="12" w:space="0"/>
              <w:bottom w:val="double" w:color="auto" w:sz="6" w:space="0"/>
            </w:tcBorders>
            <w:vAlign w:val="center"/>
          </w:tcPr>
          <w:p>
            <w:pPr>
              <w:spacing w:after="120" w:line="320" w:lineRule="exact"/>
              <w:ind w:firstLine="42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名  称</w:t>
            </w:r>
          </w:p>
        </w:tc>
        <w:tc>
          <w:tcPr>
            <w:tcW w:w="1418" w:type="dxa"/>
            <w:tcBorders>
              <w:top w:val="single" w:color="auto" w:sz="12" w:space="0"/>
              <w:bottom w:val="double" w:color="auto" w:sz="6" w:space="0"/>
            </w:tcBorders>
            <w:vAlign w:val="center"/>
          </w:tcPr>
          <w:p>
            <w:pPr>
              <w:spacing w:after="120" w:line="320" w:lineRule="exact"/>
              <w:ind w:firstLine="42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姓名</w:t>
            </w:r>
          </w:p>
        </w:tc>
        <w:tc>
          <w:tcPr>
            <w:tcW w:w="1134" w:type="dxa"/>
            <w:tcBorders>
              <w:top w:val="single" w:color="auto" w:sz="12" w:space="0"/>
              <w:bottom w:val="doub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职务</w:t>
            </w:r>
          </w:p>
        </w:tc>
        <w:tc>
          <w:tcPr>
            <w:tcW w:w="1134" w:type="dxa"/>
            <w:tcBorders>
              <w:top w:val="single" w:color="auto" w:sz="12" w:space="0"/>
              <w:bottom w:val="doub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职称</w:t>
            </w:r>
          </w:p>
        </w:tc>
        <w:tc>
          <w:tcPr>
            <w:tcW w:w="2344" w:type="dxa"/>
            <w:tcBorders>
              <w:top w:val="single" w:color="auto" w:sz="12" w:space="0"/>
              <w:bottom w:val="double" w:color="auto" w:sz="6" w:space="0"/>
            </w:tcBorders>
            <w:vAlign w:val="center"/>
          </w:tcPr>
          <w:p>
            <w:pPr>
              <w:spacing w:after="120" w:line="320" w:lineRule="exac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主要资历、经验及承担过的项目</w:t>
            </w:r>
          </w:p>
        </w:tc>
        <w:tc>
          <w:tcPr>
            <w:tcW w:w="1858" w:type="dxa"/>
            <w:tcBorders>
              <w:top w:val="single" w:color="auto" w:sz="12" w:space="0"/>
              <w:bottom w:val="doub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98" w:type="dxa"/>
            <w:gridSpan w:val="6"/>
            <w:tcBorders>
              <w:top w:val="double" w:color="auto" w:sz="6" w:space="0"/>
              <w:bottom w:val="single" w:color="auto" w:sz="6" w:space="0"/>
            </w:tcBorders>
            <w:vAlign w:val="center"/>
          </w:tcPr>
          <w:p>
            <w:pPr>
              <w:spacing w:after="120" w:line="320" w:lineRule="exact"/>
              <w:ind w:firstLine="420"/>
              <w:jc w:val="lef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nil"/>
              <w:bottom w:val="nil"/>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项目主管</w:t>
            </w:r>
          </w:p>
        </w:tc>
        <w:tc>
          <w:tcPr>
            <w:tcW w:w="1418" w:type="dxa"/>
            <w:tcBorders>
              <w:top w:val="nil"/>
            </w:tcBorders>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tcBorders>
              <w:top w:val="nil"/>
            </w:tcBorders>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tcBorders>
              <w:top w:val="nil"/>
            </w:tcBorders>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tcBorders>
              <w:top w:val="nil"/>
            </w:tcBorders>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Borders>
              <w:top w:val="nil"/>
            </w:tcBorders>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single" w:color="auto" w:sz="6" w:space="0"/>
              <w:bottom w:val="nil"/>
            </w:tcBorders>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nil"/>
              <w:bottom w:val="nil"/>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其他人员</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nil"/>
              <w:bottom w:val="nil"/>
            </w:tcBorders>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98" w:type="dxa"/>
            <w:gridSpan w:val="6"/>
            <w:tcBorders>
              <w:top w:val="single" w:color="auto" w:sz="6" w:space="0"/>
              <w:bottom w:val="single" w:color="auto" w:sz="6" w:space="0"/>
            </w:tcBorders>
            <w:vAlign w:val="center"/>
          </w:tcPr>
          <w:p>
            <w:pPr>
              <w:spacing w:after="120" w:line="320" w:lineRule="exact"/>
              <w:ind w:firstLine="42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1610" w:type="dxa"/>
            <w:tcBorders>
              <w:top w:val="single" w:color="auto" w:sz="6" w:space="0"/>
              <w:bottom w:val="sing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项目经理</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rPr>
                <w:rFonts w:ascii="宋体" w:hAnsi="宋体"/>
                <w:color w:val="000000" w:themeColor="text1"/>
                <w:sz w:val="22"/>
                <w14:textFill>
                  <w14:solidFill>
                    <w14:schemeClr w14:val="tx1"/>
                  </w14:solidFill>
                </w14:textFill>
              </w:rPr>
            </w:pPr>
          </w:p>
        </w:tc>
        <w:tc>
          <w:tcPr>
            <w:tcW w:w="1858" w:type="dxa"/>
          </w:tcPr>
          <w:p>
            <w:pPr>
              <w:spacing w:after="120" w:line="320" w:lineRule="exact"/>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single" w:color="auto" w:sz="6" w:space="0"/>
              <w:bottom w:val="sing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项目副经理</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single" w:color="auto" w:sz="6" w:space="0"/>
              <w:bottom w:val="sing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设计负责人</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single" w:color="auto" w:sz="6" w:space="0"/>
              <w:bottom w:val="sing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采购负责人</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single" w:color="auto" w:sz="6" w:space="0"/>
              <w:bottom w:val="sing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施工负责人</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single" w:color="auto" w:sz="6" w:space="0"/>
              <w:bottom w:val="sing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技术负责人</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single" w:color="auto" w:sz="6" w:space="0"/>
              <w:bottom w:val="sing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造价管理</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single" w:color="auto" w:sz="6" w:space="0"/>
              <w:bottom w:val="sing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质量管理</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single" w:color="auto" w:sz="6" w:space="0"/>
              <w:bottom w:val="sing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计划管理</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single" w:color="auto" w:sz="6" w:space="0"/>
              <w:bottom w:val="sing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安全管理</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tcBorders>
              <w:top w:val="single" w:color="auto" w:sz="6" w:space="0"/>
              <w:bottom w:val="sing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环境管理</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vMerge w:val="restart"/>
            <w:tcBorders>
              <w:top w:val="single" w:color="auto" w:sz="6" w:space="0"/>
            </w:tcBorders>
            <w:vAlign w:val="center"/>
          </w:tcPr>
          <w:p>
            <w:pPr>
              <w:spacing w:after="120" w:line="320" w:lineRule="exact"/>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其他人员</w:t>
            </w: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vMerge w:val="continue"/>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418" w:type="dxa"/>
            <w:tcBorders>
              <w:bottom w:val="nil"/>
            </w:tcBorders>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tcBorders>
              <w:bottom w:val="nil"/>
            </w:tcBorders>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tcBorders>
              <w:bottom w:val="nil"/>
            </w:tcBorders>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tcBorders>
              <w:bottom w:val="nil"/>
            </w:tcBorders>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Borders>
              <w:bottom w:val="nil"/>
            </w:tcBorders>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vMerge w:val="continue"/>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vMerge w:val="continue"/>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vMerge w:val="continue"/>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418"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13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2344" w:type="dxa"/>
            <w:vAlign w:val="center"/>
          </w:tcPr>
          <w:p>
            <w:pPr>
              <w:spacing w:after="120" w:line="320" w:lineRule="exact"/>
              <w:ind w:firstLine="420"/>
              <w:rPr>
                <w:rFonts w:ascii="宋体" w:hAnsi="宋体"/>
                <w:color w:val="000000" w:themeColor="text1"/>
                <w:sz w:val="22"/>
                <w14:textFill>
                  <w14:solidFill>
                    <w14:schemeClr w14:val="tx1"/>
                  </w14:solidFill>
                </w14:textFill>
              </w:rPr>
            </w:pPr>
          </w:p>
        </w:tc>
        <w:tc>
          <w:tcPr>
            <w:tcW w:w="1858" w:type="dxa"/>
          </w:tcPr>
          <w:p>
            <w:pPr>
              <w:spacing w:after="120" w:line="320" w:lineRule="exact"/>
              <w:ind w:firstLine="420"/>
              <w:rPr>
                <w:rFonts w:ascii="宋体" w:hAnsi="宋体"/>
                <w:color w:val="000000" w:themeColor="text1"/>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610" w:type="dxa"/>
            <w:vMerge w:val="continue"/>
            <w:tcBorders>
              <w:bottom w:val="single" w:color="auto" w:sz="12" w:space="0"/>
            </w:tcBorders>
            <w:vAlign w:val="center"/>
          </w:tcPr>
          <w:p>
            <w:pPr>
              <w:spacing w:after="120" w:line="320" w:lineRule="exact"/>
              <w:rPr>
                <w:rFonts w:ascii="宋体" w:hAnsi="宋体"/>
                <w:color w:val="000000" w:themeColor="text1"/>
                <w:sz w:val="22"/>
                <w14:textFill>
                  <w14:solidFill>
                    <w14:schemeClr w14:val="tx1"/>
                  </w14:solidFill>
                </w14:textFill>
              </w:rPr>
            </w:pPr>
          </w:p>
        </w:tc>
        <w:tc>
          <w:tcPr>
            <w:tcW w:w="1418" w:type="dxa"/>
            <w:tcBorders>
              <w:bottom w:val="single" w:color="auto" w:sz="12" w:space="0"/>
            </w:tcBorders>
            <w:vAlign w:val="center"/>
          </w:tcPr>
          <w:p>
            <w:pPr>
              <w:spacing w:after="120" w:line="320" w:lineRule="exact"/>
              <w:rPr>
                <w:rFonts w:ascii="宋体" w:hAnsi="宋体"/>
                <w:color w:val="000000" w:themeColor="text1"/>
                <w:sz w:val="22"/>
                <w14:textFill>
                  <w14:solidFill>
                    <w14:schemeClr w14:val="tx1"/>
                  </w14:solidFill>
                </w14:textFill>
              </w:rPr>
            </w:pPr>
          </w:p>
        </w:tc>
        <w:tc>
          <w:tcPr>
            <w:tcW w:w="1134" w:type="dxa"/>
            <w:tcBorders>
              <w:bottom w:val="single" w:color="auto" w:sz="12" w:space="0"/>
            </w:tcBorders>
            <w:vAlign w:val="center"/>
          </w:tcPr>
          <w:p>
            <w:pPr>
              <w:spacing w:after="120" w:line="320" w:lineRule="exact"/>
              <w:rPr>
                <w:rFonts w:ascii="宋体" w:hAnsi="宋体"/>
                <w:color w:val="000000" w:themeColor="text1"/>
                <w:sz w:val="22"/>
                <w14:textFill>
                  <w14:solidFill>
                    <w14:schemeClr w14:val="tx1"/>
                  </w14:solidFill>
                </w14:textFill>
              </w:rPr>
            </w:pPr>
          </w:p>
        </w:tc>
        <w:tc>
          <w:tcPr>
            <w:tcW w:w="1134" w:type="dxa"/>
            <w:tcBorders>
              <w:bottom w:val="single" w:color="auto" w:sz="12" w:space="0"/>
            </w:tcBorders>
            <w:vAlign w:val="center"/>
          </w:tcPr>
          <w:p>
            <w:pPr>
              <w:spacing w:after="120" w:line="320" w:lineRule="exact"/>
              <w:rPr>
                <w:rFonts w:ascii="宋体" w:hAnsi="宋体"/>
                <w:color w:val="000000" w:themeColor="text1"/>
                <w:sz w:val="22"/>
                <w14:textFill>
                  <w14:solidFill>
                    <w14:schemeClr w14:val="tx1"/>
                  </w14:solidFill>
                </w14:textFill>
              </w:rPr>
            </w:pPr>
          </w:p>
        </w:tc>
        <w:tc>
          <w:tcPr>
            <w:tcW w:w="2344" w:type="dxa"/>
            <w:tcBorders>
              <w:bottom w:val="single" w:color="auto" w:sz="12" w:space="0"/>
            </w:tcBorders>
            <w:vAlign w:val="center"/>
          </w:tcPr>
          <w:p>
            <w:pPr>
              <w:spacing w:after="120" w:line="320" w:lineRule="exact"/>
              <w:rPr>
                <w:rFonts w:ascii="宋体" w:hAnsi="宋体"/>
                <w:color w:val="000000" w:themeColor="text1"/>
                <w:sz w:val="22"/>
                <w14:textFill>
                  <w14:solidFill>
                    <w14:schemeClr w14:val="tx1"/>
                  </w14:solidFill>
                </w14:textFill>
              </w:rPr>
            </w:pPr>
          </w:p>
        </w:tc>
        <w:tc>
          <w:tcPr>
            <w:tcW w:w="1858" w:type="dxa"/>
            <w:tcBorders>
              <w:bottom w:val="single" w:color="auto" w:sz="12" w:space="0"/>
            </w:tcBorders>
          </w:tcPr>
          <w:p>
            <w:pPr>
              <w:spacing w:after="120" w:line="320" w:lineRule="exact"/>
              <w:rPr>
                <w:rFonts w:ascii="宋体" w:hAnsi="宋体"/>
                <w:color w:val="000000" w:themeColor="text1"/>
                <w:sz w:val="22"/>
                <w14:textFill>
                  <w14:solidFill>
                    <w14:schemeClr w14:val="tx1"/>
                  </w14:solidFill>
                </w14:textFill>
              </w:rPr>
            </w:pPr>
          </w:p>
        </w:tc>
      </w:tr>
    </w:tbl>
    <w:p>
      <w:pPr>
        <w:spacing w:after="120" w:line="320" w:lineRule="exact"/>
        <w:rPr>
          <w:rFonts w:ascii="宋体" w:hAnsi="宋体"/>
          <w:b/>
          <w:color w:val="000000" w:themeColor="text1"/>
          <w:kern w:val="0"/>
          <w:sz w:val="24"/>
          <w14:textFill>
            <w14:solidFill>
              <w14:schemeClr w14:val="tx1"/>
            </w14:solidFill>
          </w14:textFill>
        </w:rPr>
      </w:pPr>
    </w:p>
    <w:p>
      <w:pPr>
        <w:pStyle w:val="2"/>
        <w:ind w:left="420"/>
        <w:rPr>
          <w:color w:val="000000" w:themeColor="text1"/>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r>
        <w:rPr>
          <w:rFonts w:ascii="宋体" w:hAnsi="宋体"/>
          <w:b/>
          <w:color w:val="000000" w:themeColor="text1"/>
          <w:sz w:val="30"/>
          <w:szCs w:val="30"/>
          <w:u w:val="singl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align>center</wp:align>
                </wp:positionH>
                <wp:positionV relativeFrom="paragraph">
                  <wp:posOffset>0</wp:posOffset>
                </wp:positionV>
                <wp:extent cx="4810760" cy="2278380"/>
                <wp:effectExtent l="19050" t="19050" r="27940" b="26670"/>
                <wp:wrapNone/>
                <wp:docPr id="12" name="Text Box 9"/>
                <wp:cNvGraphicFramePr/>
                <a:graphic xmlns:a="http://schemas.openxmlformats.org/drawingml/2006/main">
                  <a:graphicData uri="http://schemas.microsoft.com/office/word/2010/wordprocessingShape">
                    <wps:wsp>
                      <wps:cNvSpPr txBox="1">
                        <a:spLocks noChangeArrowheads="1"/>
                      </wps:cNvSpPr>
                      <wps:spPr bwMode="auto">
                        <a:xfrm>
                          <a:off x="0" y="0"/>
                          <a:ext cx="4810760" cy="2278380"/>
                        </a:xfrm>
                        <a:prstGeom prst="rect">
                          <a:avLst/>
                        </a:prstGeom>
                        <a:solidFill>
                          <a:srgbClr val="FFFFFF"/>
                        </a:solidFill>
                        <a:ln w="57150" cmpd="thickThin">
                          <a:solidFill>
                            <a:srgbClr val="000000"/>
                          </a:solidFill>
                          <a:miter lim="800000"/>
                        </a:ln>
                      </wps:spPr>
                      <wps:txbx>
                        <w:txbxContent>
                          <w:p/>
                        </w:txbxContent>
                      </wps:txbx>
                      <wps:bodyPr rot="0" vert="horz" wrap="square" anchor="t" anchorCtr="0" upright="1"/>
                    </wps:wsp>
                  </a:graphicData>
                </a:graphic>
              </wp:anchor>
            </w:drawing>
          </mc:Choice>
          <mc:Fallback>
            <w:pict>
              <v:shape id="Text Box 9" o:spid="_x0000_s1026" o:spt="202" type="#_x0000_t202" style="position:absolute;left:0pt;margin-top:0pt;height:179.4pt;width:378.8pt;mso-position-horizontal:center;z-index:-251654144;mso-width-relative:page;mso-height-relative:page;" fillcolor="#FFFFFF" filled="t" stroked="t" coordsize="21600,21600" o:gfxdata="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vJAcvYAAAABQEAAA8A&#10;AAAAAAAAAQAgAAAAIgAAAGRycy9kb3ducmV2LnhtbFBLAQIUABQAAAAIAIdO4kAge1gNFwIAAEwE&#10;AAAOAAAAAAAAAAEAIAAAACcBAABkcnMvZTJvRG9jLnhtbFBLBQYAAAAABgAGAFkBAACwBQAAAAA=&#10;">
                <v:fill on="t" focussize="0,0"/>
                <v:stroke weight="4.5pt" color="#000000" linestyle="thickThin" miterlimit="8" joinstyle="miter"/>
                <v:imagedata o:title=""/>
                <o:lock v:ext="edit" aspectratio="f"/>
                <v:textbox>
                  <w:txbxContent>
                    <w:p/>
                  </w:txbxContent>
                </v:textbox>
              </v:shape>
            </w:pict>
          </mc:Fallback>
        </mc:AlternateContent>
      </w:r>
    </w:p>
    <w:p>
      <w:pPr>
        <w:spacing w:line="360" w:lineRule="auto"/>
        <w:rPr>
          <w:rFonts w:ascii="宋体" w:hAnsi="宋体"/>
          <w:b/>
          <w:color w:val="000000" w:themeColor="text1"/>
          <w:sz w:val="24"/>
          <w:u w:val="single"/>
          <w14:textFill>
            <w14:solidFill>
              <w14:schemeClr w14:val="tx1"/>
            </w14:solidFill>
          </w14:textFill>
        </w:rPr>
      </w:pPr>
    </w:p>
    <w:p>
      <w:pPr>
        <w:spacing w:line="360" w:lineRule="auto"/>
        <w:rPr>
          <w:rFonts w:ascii="宋体" w:hAnsi="宋体"/>
          <w:b/>
          <w:color w:val="000000" w:themeColor="text1"/>
          <w:sz w:val="24"/>
          <w:u w:val="single"/>
          <w14:textFill>
            <w14:solidFill>
              <w14:schemeClr w14:val="tx1"/>
            </w14:solidFill>
          </w14:textFill>
        </w:rPr>
      </w:pPr>
    </w:p>
    <w:p>
      <w:pPr>
        <w:rPr>
          <w:rFonts w:ascii="宋体" w:hAnsi="宋体"/>
          <w:b/>
          <w:color w:val="000000" w:themeColor="text1"/>
          <w:sz w:val="24"/>
          <w:u w:val="single"/>
          <w14:textFill>
            <w14:solidFill>
              <w14:schemeClr w14:val="tx1"/>
            </w14:solidFill>
          </w14:textFill>
        </w:rPr>
      </w:pPr>
    </w:p>
    <w:p>
      <w:pPr>
        <w:pStyle w:val="4"/>
        <w:jc w:val="center"/>
        <w:rPr>
          <w:rFonts w:ascii="宋体" w:hAnsi="宋体"/>
          <w:bCs w:val="0"/>
          <w:color w:val="000000" w:themeColor="text1"/>
          <w:sz w:val="44"/>
          <w:u w:val="single"/>
          <w14:textFill>
            <w14:solidFill>
              <w14:schemeClr w14:val="tx1"/>
            </w14:solidFill>
          </w14:textFill>
        </w:rPr>
      </w:pPr>
      <w:bookmarkStart w:id="1027" w:name="_Toc136956370"/>
      <w:r>
        <w:rPr>
          <w:rFonts w:hint="eastAsia" w:ascii="宋体" w:hAnsi="宋体"/>
          <w:bCs w:val="0"/>
          <w:color w:val="000000" w:themeColor="text1"/>
          <w:sz w:val="44"/>
          <w14:textFill>
            <w14:solidFill>
              <w14:schemeClr w14:val="tx1"/>
            </w14:solidFill>
          </w14:textFill>
        </w:rPr>
        <w:t>第四卷</w:t>
      </w:r>
      <w:bookmarkEnd w:id="1027"/>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rPr>
          <w:rFonts w:ascii="宋体" w:hAnsi="宋体"/>
          <w:b/>
          <w:color w:val="000000" w:themeColor="text1"/>
          <w:sz w:val="30"/>
          <w:szCs w:val="30"/>
          <w:u w:val="single"/>
          <w14:textFill>
            <w14:solidFill>
              <w14:schemeClr w14:val="tx1"/>
            </w14:solidFill>
          </w14:textFill>
        </w:rPr>
      </w:pPr>
    </w:p>
    <w:p>
      <w:pPr>
        <w:pStyle w:val="5"/>
        <w:spacing w:line="440" w:lineRule="exact"/>
        <w:jc w:val="center"/>
        <w:rPr>
          <w:rFonts w:ascii="宋体" w:hAnsi="宋体" w:eastAsia="宋体"/>
          <w:bCs w:val="0"/>
          <w:color w:val="000000" w:themeColor="text1"/>
          <w:sz w:val="44"/>
          <w:szCs w:val="44"/>
          <w14:textFill>
            <w14:solidFill>
              <w14:schemeClr w14:val="tx1"/>
            </w14:solidFill>
          </w14:textFill>
        </w:rPr>
      </w:pPr>
      <w:bookmarkStart w:id="1028" w:name="_Toc136956371"/>
      <w:r>
        <w:rPr>
          <w:rFonts w:hint="eastAsia" w:ascii="宋体" w:hAnsi="宋体" w:eastAsia="宋体"/>
          <w:bCs w:val="0"/>
          <w:color w:val="000000" w:themeColor="text1"/>
          <w:sz w:val="44"/>
          <w:szCs w:val="44"/>
          <w14:textFill>
            <w14:solidFill>
              <w14:schemeClr w14:val="tx1"/>
            </w14:solidFill>
          </w14:textFill>
        </w:rPr>
        <w:t>第五章 技术标准和要求</w:t>
      </w:r>
      <w:bookmarkEnd w:id="519"/>
      <w:bookmarkEnd w:id="1028"/>
    </w:p>
    <w:bookmarkEnd w:id="520"/>
    <w:bookmarkEnd w:id="521"/>
    <w:bookmarkEnd w:id="522"/>
    <w:bookmarkEnd w:id="523"/>
    <w:p>
      <w:pPr>
        <w:pStyle w:val="638"/>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1、本招标工程项目的材料、设备、施工须达到现行中华人民共和国以及省、自治区、直辖市或行业的工程建设标准、规范的要求。</w:t>
      </w:r>
    </w:p>
    <w:p>
      <w:pPr>
        <w:pStyle w:val="638"/>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2、本招标工程项目的安全、文明、施工及社会环境的保护应按中华人民共和国以及省、市、自治区、直辖市或行业以及当地政府有关规定执行。</w:t>
      </w:r>
    </w:p>
    <w:p>
      <w:pPr>
        <w:pStyle w:val="638"/>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3、根据工程设计要求及所处地域当地政府的相关规定，</w:t>
      </w:r>
    </w:p>
    <w:p>
      <w:pPr>
        <w:pStyle w:val="638"/>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4、其他现行相关的强制性标准和技术规范、规程。</w:t>
      </w:r>
    </w:p>
    <w:p>
      <w:pPr>
        <w:pStyle w:val="638"/>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5、国家最新颁布执行的与本工程有关的规范、标准等,当新规范与老规范不一致时,以新规范为准。</w:t>
      </w:r>
    </w:p>
    <w:p>
      <w:pPr>
        <w:pStyle w:val="638"/>
        <w:widowControl/>
        <w:spacing w:line="360" w:lineRule="auto"/>
        <w:jc w:val="left"/>
        <w:rPr>
          <w:b/>
          <w:color w:val="000000" w:themeColor="text1"/>
          <w:sz w:val="20"/>
          <w:szCs w:val="22"/>
          <w14:textFill>
            <w14:solidFill>
              <w14:schemeClr w14:val="tx1"/>
            </w14:solidFill>
          </w14:textFill>
        </w:rPr>
      </w:pPr>
    </w:p>
    <w:p>
      <w:pPr>
        <w:pStyle w:val="638"/>
        <w:widowControl/>
        <w:spacing w:line="360" w:lineRule="auto"/>
        <w:ind w:firstLine="422" w:firstLineChars="200"/>
        <w:jc w:val="left"/>
        <w:rPr>
          <w:b/>
          <w:color w:val="000000" w:themeColor="text1"/>
          <w14:textFill>
            <w14:solidFill>
              <w14:schemeClr w14:val="tx1"/>
            </w14:solidFill>
          </w14:textFill>
        </w:rPr>
      </w:pPr>
    </w:p>
    <w:p>
      <w:pPr>
        <w:rPr>
          <w:b/>
          <w:color w:val="000000" w:themeColor="text1"/>
          <w14:textFill>
            <w14:solidFill>
              <w14:schemeClr w14:val="tx1"/>
            </w14:solidFill>
          </w14:textFill>
        </w:rPr>
      </w:pPr>
    </w:p>
    <w:p>
      <w:pPr>
        <w:spacing w:line="360" w:lineRule="auto"/>
        <w:ind w:firstLine="482" w:firstLineChars="200"/>
        <w:rPr>
          <w:rFonts w:ascii="宋体" w:hAnsi="宋体"/>
          <w:b/>
          <w:color w:val="000000" w:themeColor="text1"/>
          <w:sz w:val="24"/>
          <w14:textFill>
            <w14:solidFill>
              <w14:schemeClr w14:val="tx1"/>
            </w14:solidFill>
          </w14:textFill>
        </w:rPr>
      </w:pPr>
    </w:p>
    <w:p>
      <w:pPr>
        <w:pStyle w:val="5"/>
        <w:spacing w:line="440" w:lineRule="exact"/>
        <w:jc w:val="center"/>
        <w:rPr>
          <w:rFonts w:ascii="宋体" w:hAnsi="宋体" w:eastAsia="宋体"/>
          <w:bCs w:val="0"/>
          <w:color w:val="000000" w:themeColor="text1"/>
          <w:sz w:val="44"/>
          <w:szCs w:val="44"/>
          <w14:textFill>
            <w14:solidFill>
              <w14:schemeClr w14:val="tx1"/>
            </w14:solidFill>
          </w14:textFill>
        </w:rPr>
      </w:pPr>
      <w:r>
        <w:rPr>
          <w:rFonts w:ascii="宋体" w:hAnsi="宋体" w:eastAsia="宋体"/>
          <w:bCs w:val="0"/>
          <w:color w:val="000000" w:themeColor="text1"/>
          <w:sz w:val="44"/>
          <w:szCs w:val="44"/>
          <w14:textFill>
            <w14:solidFill>
              <w14:schemeClr w14:val="tx1"/>
            </w14:solidFill>
          </w14:textFill>
        </w:rPr>
        <w:br w:type="page"/>
      </w:r>
      <w:bookmarkStart w:id="1029" w:name="_Toc529797999"/>
      <w:bookmarkStart w:id="1030" w:name="_Toc136956372"/>
      <w:r>
        <w:rPr>
          <w:rFonts w:hint="eastAsia" w:ascii="宋体" w:hAnsi="宋体" w:eastAsia="宋体"/>
          <w:bCs w:val="0"/>
          <w:color w:val="000000" w:themeColor="text1"/>
          <w:sz w:val="44"/>
          <w:szCs w:val="44"/>
          <w14:textFill>
            <w14:solidFill>
              <w14:schemeClr w14:val="tx1"/>
            </w14:solidFill>
          </w14:textFill>
        </w:rPr>
        <w:t>第六章 投标文件格式</w:t>
      </w:r>
      <w:bookmarkEnd w:id="524"/>
      <w:bookmarkEnd w:id="1029"/>
      <w:bookmarkEnd w:id="1030"/>
    </w:p>
    <w:p>
      <w:pPr>
        <w:snapToGrid w:val="0"/>
        <w:spacing w:line="360" w:lineRule="auto"/>
        <w:jc w:val="center"/>
        <w:rPr>
          <w:rFonts w:ascii="宋体" w:hAnsi="宋体"/>
          <w:b/>
          <w:color w:val="000000" w:themeColor="text1"/>
          <w:sz w:val="30"/>
          <w:szCs w:val="30"/>
          <w14:textFill>
            <w14:solidFill>
              <w14:schemeClr w14:val="tx1"/>
            </w14:solidFill>
          </w14:textFill>
        </w:rPr>
      </w:pPr>
      <w:bookmarkStart w:id="1031" w:name="_Toc300848216"/>
      <w:bookmarkStart w:id="1032" w:name="_Toc229583227"/>
      <w:bookmarkStart w:id="1033" w:name="_Toc529798000"/>
      <w:bookmarkStart w:id="1034" w:name="_Toc446510442"/>
      <w:bookmarkStart w:id="1035" w:name="_Toc347307794"/>
    </w:p>
    <w:p>
      <w:pPr>
        <w:spacing w:line="360" w:lineRule="auto"/>
        <w:jc w:val="center"/>
        <w:rPr>
          <w:rFonts w:ascii="宋体" w:hAnsi="宋体"/>
          <w:b/>
          <w:color w:val="000000" w:themeColor="text1"/>
          <w:sz w:val="30"/>
          <w:szCs w:val="30"/>
          <w:u w:val="single"/>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30"/>
          <w:szCs w:val="30"/>
          <w:u w:val="single"/>
          <w14:textFill>
            <w14:solidFill>
              <w14:schemeClr w14:val="tx1"/>
            </w14:solidFill>
          </w14:textFill>
        </w:rPr>
        <w:t>（封面格式）</w:t>
      </w:r>
    </w:p>
    <w:p>
      <w:pPr>
        <w:spacing w:line="360" w:lineRule="auto"/>
        <w:jc w:val="center"/>
        <w:rPr>
          <w:rFonts w:ascii="宋体" w:hAnsi="宋体"/>
          <w:b/>
          <w:color w:val="000000" w:themeColor="text1"/>
          <w:sz w:val="40"/>
          <w:szCs w:val="44"/>
          <w:u w:val="single"/>
          <w14:textFill>
            <w14:solidFill>
              <w14:schemeClr w14:val="tx1"/>
            </w14:solidFill>
          </w14:textFill>
        </w:rPr>
      </w:pPr>
    </w:p>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52"/>
          <w:szCs w:val="32"/>
          <w14:textFill>
            <w14:solidFill>
              <w14:schemeClr w14:val="tx1"/>
            </w14:solidFill>
          </w14:textFill>
        </w:rPr>
        <w:t>经开区143号路设计施工总承包</w:t>
      </w:r>
    </w:p>
    <w:p>
      <w:pPr>
        <w:spacing w:line="360" w:lineRule="auto"/>
        <w:rPr>
          <w:rFonts w:ascii="宋体" w:hAnsi="宋体"/>
          <w:b/>
          <w:color w:val="000000" w:themeColor="text1"/>
          <w:sz w:val="24"/>
          <w14:textFill>
            <w14:solidFill>
              <w14:schemeClr w14:val="tx1"/>
            </w14:solidFill>
          </w14:textFill>
        </w:rPr>
      </w:pPr>
    </w:p>
    <w:p>
      <w:pPr>
        <w:spacing w:line="360" w:lineRule="auto"/>
        <w:jc w:val="center"/>
        <w:rPr>
          <w:rFonts w:ascii="宋体" w:hAnsi="宋体"/>
          <w:b/>
          <w:color w:val="000000" w:themeColor="text1"/>
          <w:sz w:val="24"/>
          <w14:textFill>
            <w14:solidFill>
              <w14:schemeClr w14:val="tx1"/>
            </w14:solidFill>
          </w14:textFill>
        </w:rPr>
      </w:pPr>
    </w:p>
    <w:p>
      <w:pPr>
        <w:pStyle w:val="2"/>
        <w:ind w:left="420" w:firstLine="422"/>
        <w:rPr>
          <w:b/>
          <w:color w:val="000000" w:themeColor="text1"/>
          <w14:textFill>
            <w14:solidFill>
              <w14:schemeClr w14:val="tx1"/>
            </w14:solidFill>
          </w14:textFill>
        </w:rPr>
      </w:pPr>
    </w:p>
    <w:p>
      <w:pPr>
        <w:spacing w:line="360" w:lineRule="auto"/>
        <w:jc w:val="center"/>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jc w:val="center"/>
        <w:rPr>
          <w:rFonts w:ascii="宋体" w:hAnsi="宋体"/>
          <w:b/>
          <w:color w:val="000000" w:themeColor="text1"/>
          <w:sz w:val="24"/>
          <w14:textFill>
            <w14:solidFill>
              <w14:schemeClr w14:val="tx1"/>
            </w14:solidFill>
          </w14:textFill>
        </w:rPr>
      </w:pPr>
    </w:p>
    <w:p>
      <w:pPr>
        <w:pStyle w:val="2"/>
        <w:ind w:left="420"/>
      </w:pPr>
    </w:p>
    <w:p>
      <w:pPr>
        <w:jc w:val="center"/>
        <w:rPr>
          <w:rFonts w:ascii="宋体" w:hAnsi="宋体"/>
          <w:b/>
          <w:color w:val="000000" w:themeColor="text1"/>
          <w:sz w:val="96"/>
          <w:szCs w:val="72"/>
          <w14:textFill>
            <w14:solidFill>
              <w14:schemeClr w14:val="tx1"/>
            </w14:solidFill>
          </w14:textFill>
        </w:rPr>
      </w:pPr>
      <w:r>
        <w:rPr>
          <w:rFonts w:hint="eastAsia" w:ascii="宋体" w:hAnsi="宋体"/>
          <w:b/>
          <w:color w:val="000000" w:themeColor="text1"/>
          <w:sz w:val="96"/>
          <w:szCs w:val="72"/>
          <w14:textFill>
            <w14:solidFill>
              <w14:schemeClr w14:val="tx1"/>
            </w14:solidFill>
          </w14:textFill>
        </w:rPr>
        <w:t>投 标 文 件</w:t>
      </w:r>
    </w:p>
    <w:p>
      <w:pPr>
        <w:rPr>
          <w:rFonts w:ascii="宋体" w:hAnsi="宋体"/>
          <w:b/>
          <w:color w:val="000000" w:themeColor="text1"/>
          <w:sz w:val="32"/>
          <w14:textFill>
            <w14:solidFill>
              <w14:schemeClr w14:val="tx1"/>
            </w14:solidFill>
          </w14:textFill>
        </w:rPr>
      </w:pPr>
    </w:p>
    <w:p>
      <w:pPr>
        <w:ind w:firstLine="2554" w:firstLineChars="795"/>
        <w:jc w:val="left"/>
        <w:rPr>
          <w:rFonts w:ascii="宋体" w:hAnsi="宋体"/>
          <w:b/>
          <w:color w:val="000000" w:themeColor="text1"/>
          <w:sz w:val="32"/>
          <w:u w:val="single"/>
          <w14:textFill>
            <w14:solidFill>
              <w14:schemeClr w14:val="tx1"/>
            </w14:solidFill>
          </w14:textFill>
        </w:rPr>
      </w:pPr>
      <w:r>
        <w:rPr>
          <w:rFonts w:hint="eastAsia" w:ascii="宋体" w:hAnsi="宋体"/>
          <w:b/>
          <w:color w:val="000000" w:themeColor="text1"/>
          <w:sz w:val="32"/>
          <w14:textFill>
            <w14:solidFill>
              <w14:schemeClr w14:val="tx1"/>
            </w14:solidFill>
          </w14:textFill>
        </w:rPr>
        <w:t>项目编号：</w:t>
      </w:r>
      <w:r>
        <w:rPr>
          <w:rFonts w:ascii="宋体" w:hAnsi="宋体"/>
          <w:b/>
          <w:color w:val="000000" w:themeColor="text1"/>
          <w:sz w:val="32"/>
          <w14:textFill>
            <w14:solidFill>
              <w14:schemeClr w14:val="tx1"/>
            </w14:solidFill>
          </w14:textFill>
        </w:rPr>
        <w:t>YNXCJ-20230602</w:t>
      </w:r>
    </w:p>
    <w:p>
      <w:pPr>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rPr>
          <w:rFonts w:ascii="宋体" w:hAnsi="宋体"/>
          <w:b/>
          <w:color w:val="000000" w:themeColor="text1"/>
          <w:sz w:val="24"/>
          <w14:textFill>
            <w14:solidFill>
              <w14:schemeClr w14:val="tx1"/>
            </w14:solidFill>
          </w14:textFill>
        </w:rPr>
      </w:pPr>
    </w:p>
    <w:p>
      <w:pPr>
        <w:snapToGrid w:val="0"/>
        <w:spacing w:line="360" w:lineRule="auto"/>
        <w:rPr>
          <w:rFonts w:ascii="宋体" w:hAnsi="宋体"/>
          <w:b/>
          <w:color w:val="000000" w:themeColor="text1"/>
          <w:sz w:val="28"/>
          <w:szCs w:val="30"/>
          <w14:textFill>
            <w14:solidFill>
              <w14:schemeClr w14:val="tx1"/>
            </w14:solidFill>
          </w14:textFill>
        </w:rPr>
      </w:pPr>
    </w:p>
    <w:p>
      <w:pPr>
        <w:snapToGrid w:val="0"/>
        <w:spacing w:line="360" w:lineRule="auto"/>
        <w:ind w:firstLine="787" w:firstLineChars="280"/>
        <w:rPr>
          <w:rFonts w:ascii="宋体" w:hAnsi="宋体"/>
          <w:b/>
          <w:color w:val="000000" w:themeColor="text1"/>
          <w:sz w:val="28"/>
          <w:szCs w:val="30"/>
          <w14:textFill>
            <w14:solidFill>
              <w14:schemeClr w14:val="tx1"/>
            </w14:solidFill>
          </w14:textFill>
        </w:rPr>
      </w:pPr>
      <w:r>
        <w:rPr>
          <w:rFonts w:hint="eastAsia" w:ascii="宋体" w:hAnsi="宋体"/>
          <w:b/>
          <w:color w:val="000000" w:themeColor="text1"/>
          <w:sz w:val="28"/>
          <w:szCs w:val="30"/>
          <w14:textFill>
            <w14:solidFill>
              <w14:schemeClr w14:val="tx1"/>
            </w14:solidFill>
          </w14:textFill>
        </w:rPr>
        <w:t>投标人（电子签章）：</w:t>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 xml:space="preserve">   </w:t>
      </w:r>
    </w:p>
    <w:p>
      <w:pPr>
        <w:snapToGrid w:val="0"/>
        <w:spacing w:line="360" w:lineRule="auto"/>
        <w:ind w:firstLine="787" w:firstLineChars="280"/>
        <w:rPr>
          <w:rFonts w:ascii="宋体" w:hAnsi="宋体"/>
          <w:b/>
          <w:color w:val="000000" w:themeColor="text1"/>
          <w:sz w:val="28"/>
          <w:szCs w:val="30"/>
          <w:u w:val="single"/>
          <w14:textFill>
            <w14:solidFill>
              <w14:schemeClr w14:val="tx1"/>
            </w14:solidFill>
          </w14:textFill>
        </w:rPr>
      </w:pPr>
      <w:r>
        <w:rPr>
          <w:rFonts w:hint="eastAsia" w:ascii="宋体" w:hAnsi="宋体"/>
          <w:b/>
          <w:color w:val="000000" w:themeColor="text1"/>
          <w:sz w:val="28"/>
          <w:szCs w:val="30"/>
          <w14:textFill>
            <w14:solidFill>
              <w14:schemeClr w14:val="tx1"/>
            </w14:solidFill>
          </w14:textFill>
        </w:rPr>
        <w:t>法定代表人（电子签章）：</w:t>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 xml:space="preserve">   </w:t>
      </w:r>
    </w:p>
    <w:p>
      <w:pPr>
        <w:snapToGrid w:val="0"/>
        <w:spacing w:line="360" w:lineRule="auto"/>
        <w:ind w:firstLine="787" w:firstLineChars="280"/>
        <w:rPr>
          <w:rFonts w:ascii="宋体" w:hAnsi="宋体"/>
          <w:b/>
          <w:color w:val="000000" w:themeColor="text1"/>
          <w:sz w:val="28"/>
          <w:szCs w:val="30"/>
          <w14:textFill>
            <w14:solidFill>
              <w14:schemeClr w14:val="tx1"/>
            </w14:solidFill>
          </w14:textFill>
        </w:rPr>
      </w:pPr>
      <w:r>
        <w:rPr>
          <w:rFonts w:hint="eastAsia" w:ascii="宋体" w:hAnsi="宋体"/>
          <w:b/>
          <w:color w:val="000000" w:themeColor="text1"/>
          <w:sz w:val="28"/>
          <w:szCs w:val="30"/>
          <w14:textFill>
            <w14:solidFill>
              <w14:schemeClr w14:val="tx1"/>
            </w14:solidFill>
          </w14:textFill>
        </w:rPr>
        <w:t>日  期：</w:t>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hint="eastAsia" w:ascii="宋体" w:hAnsi="宋体"/>
          <w:b/>
          <w:color w:val="000000" w:themeColor="text1"/>
          <w:sz w:val="28"/>
          <w:szCs w:val="30"/>
          <w14:textFill>
            <w14:solidFill>
              <w14:schemeClr w14:val="tx1"/>
            </w14:solidFill>
          </w14:textFill>
        </w:rPr>
        <w:t>年</w:t>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hint="eastAsia" w:ascii="宋体" w:hAnsi="宋体"/>
          <w:b/>
          <w:color w:val="000000" w:themeColor="text1"/>
          <w:sz w:val="28"/>
          <w:szCs w:val="30"/>
          <w14:textFill>
            <w14:solidFill>
              <w14:schemeClr w14:val="tx1"/>
            </w14:solidFill>
          </w14:textFill>
        </w:rPr>
        <w:t>月</w:t>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hint="eastAsia" w:ascii="宋体" w:hAnsi="宋体"/>
          <w:b/>
          <w:color w:val="000000" w:themeColor="text1"/>
          <w:sz w:val="28"/>
          <w:szCs w:val="30"/>
          <w14:textFill>
            <w14:solidFill>
              <w14:schemeClr w14:val="tx1"/>
            </w14:solidFill>
          </w14:textFill>
        </w:rPr>
        <w:t>日</w:t>
      </w:r>
    </w:p>
    <w:p>
      <w:pPr>
        <w:pStyle w:val="6"/>
        <w:widowControl/>
        <w:spacing w:before="360" w:after="360" w:line="440" w:lineRule="exact"/>
        <w:jc w:val="center"/>
        <w:rPr>
          <w:rFonts w:ascii="宋体" w:hAnsi="宋体"/>
          <w:bCs w:val="0"/>
          <w:color w:val="000000" w:themeColor="text1"/>
          <w:kern w:val="0"/>
          <w:sz w:val="36"/>
          <w:szCs w:val="36"/>
          <w14:textFill>
            <w14:solidFill>
              <w14:schemeClr w14:val="tx1"/>
            </w14:solidFill>
          </w14:textFill>
        </w:rPr>
      </w:pPr>
      <w:bookmarkStart w:id="1036" w:name="_Toc136956373"/>
      <w:r>
        <w:rPr>
          <w:rFonts w:hint="eastAsia" w:ascii="宋体" w:hAnsi="宋体"/>
          <w:bCs w:val="0"/>
          <w:color w:val="000000" w:themeColor="text1"/>
          <w:kern w:val="0"/>
          <w:sz w:val="36"/>
          <w:szCs w:val="36"/>
          <w14:textFill>
            <w14:solidFill>
              <w14:schemeClr w14:val="tx1"/>
            </w14:solidFill>
          </w14:textFill>
        </w:rPr>
        <w:t>一、投标文件资格审查部分格式</w:t>
      </w:r>
      <w:bookmarkEnd w:id="1031"/>
      <w:bookmarkEnd w:id="1032"/>
      <w:bookmarkEnd w:id="1033"/>
      <w:bookmarkEnd w:id="1034"/>
      <w:bookmarkEnd w:id="1035"/>
      <w:bookmarkEnd w:id="1036"/>
    </w:p>
    <w:p>
      <w:pPr>
        <w:pStyle w:val="7"/>
        <w:jc w:val="center"/>
        <w:rPr>
          <w:rFonts w:ascii="宋体" w:hAnsi="宋体"/>
          <w:bCs w:val="0"/>
          <w:color w:val="000000" w:themeColor="text1"/>
          <w:sz w:val="32"/>
          <w14:textFill>
            <w14:solidFill>
              <w14:schemeClr w14:val="tx1"/>
            </w14:solidFill>
          </w14:textFill>
        </w:rPr>
      </w:pPr>
      <w:bookmarkStart w:id="1037" w:name="_Toc116261164"/>
      <w:bookmarkStart w:id="1038" w:name="_Toc136956374"/>
      <w:bookmarkStart w:id="1039" w:name="_Toc99567012"/>
      <w:bookmarkStart w:id="1040" w:name="_Toc99567481"/>
      <w:bookmarkStart w:id="1041" w:name="_Toc529798001"/>
      <w:bookmarkStart w:id="1042" w:name="_Toc446510443"/>
      <w:bookmarkStart w:id="1043" w:name="_Toc229583228"/>
      <w:bookmarkStart w:id="1044" w:name="_Toc300848217"/>
      <w:bookmarkStart w:id="1045" w:name="_Toc347307795"/>
      <w:r>
        <w:rPr>
          <w:rFonts w:hint="eastAsia" w:ascii="宋体" w:hAnsi="宋体"/>
          <w:bCs w:val="0"/>
          <w:color w:val="000000" w:themeColor="text1"/>
          <w:sz w:val="32"/>
          <w14:textFill>
            <w14:solidFill>
              <w14:schemeClr w14:val="tx1"/>
            </w14:solidFill>
          </w14:textFill>
        </w:rPr>
        <w:t>（一）</w:t>
      </w:r>
      <w:bookmarkStart w:id="1046" w:name="_Toc57923427"/>
      <w:r>
        <w:rPr>
          <w:rFonts w:hint="eastAsia" w:ascii="宋体" w:hAnsi="宋体"/>
          <w:bCs w:val="0"/>
          <w:color w:val="000000" w:themeColor="text1"/>
          <w:sz w:val="32"/>
          <w14:textFill>
            <w14:solidFill>
              <w14:schemeClr w14:val="tx1"/>
            </w14:solidFill>
          </w14:textFill>
        </w:rPr>
        <w:t>投标人一般情况表</w:t>
      </w:r>
      <w:bookmarkEnd w:id="1037"/>
      <w:bookmarkEnd w:id="1038"/>
      <w:bookmarkEnd w:id="1039"/>
      <w:bookmarkEnd w:id="1040"/>
      <w:bookmarkEnd w:id="1046"/>
    </w:p>
    <w:tbl>
      <w:tblPr>
        <w:tblStyle w:val="62"/>
        <w:tblW w:w="9371" w:type="dxa"/>
        <w:tblInd w:w="0" w:type="dxa"/>
        <w:tblLayout w:type="fixed"/>
        <w:tblCellMar>
          <w:top w:w="0" w:type="dxa"/>
          <w:left w:w="108" w:type="dxa"/>
          <w:bottom w:w="0" w:type="dxa"/>
          <w:right w:w="108" w:type="dxa"/>
        </w:tblCellMar>
      </w:tblPr>
      <w:tblGrid>
        <w:gridCol w:w="1693"/>
        <w:gridCol w:w="1276"/>
        <w:gridCol w:w="1554"/>
        <w:gridCol w:w="1139"/>
        <w:gridCol w:w="1701"/>
        <w:gridCol w:w="732"/>
        <w:gridCol w:w="1276"/>
      </w:tblGrid>
      <w:tr>
        <w:tblPrEx>
          <w:tblCellMar>
            <w:top w:w="0" w:type="dxa"/>
            <w:left w:w="108" w:type="dxa"/>
            <w:bottom w:w="0" w:type="dxa"/>
            <w:right w:w="108" w:type="dxa"/>
          </w:tblCellMar>
        </w:tblPrEx>
        <w:trPr>
          <w:trHeight w:val="516" w:hRule="atLeast"/>
        </w:trPr>
        <w:tc>
          <w:tcPr>
            <w:tcW w:w="16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p>
        </w:tc>
        <w:tc>
          <w:tcPr>
            <w:tcW w:w="7678" w:type="dxa"/>
            <w:gridSpan w:val="6"/>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r>
      <w:tr>
        <w:tblPrEx>
          <w:tblCellMar>
            <w:top w:w="0" w:type="dxa"/>
            <w:left w:w="108" w:type="dxa"/>
            <w:bottom w:w="0" w:type="dxa"/>
            <w:right w:w="108" w:type="dxa"/>
          </w:tblCellMar>
        </w:tblPrEx>
        <w:tc>
          <w:tcPr>
            <w:tcW w:w="16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注册地址</w:t>
            </w:r>
          </w:p>
        </w:tc>
        <w:tc>
          <w:tcPr>
            <w:tcW w:w="3969" w:type="dxa"/>
            <w:gridSpan w:val="3"/>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p>
        </w:tc>
        <w:tc>
          <w:tcPr>
            <w:tcW w:w="2008"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r>
      <w:tr>
        <w:tblPrEx>
          <w:tblCellMar>
            <w:top w:w="0" w:type="dxa"/>
            <w:left w:w="108" w:type="dxa"/>
            <w:bottom w:w="0" w:type="dxa"/>
            <w:right w:w="108" w:type="dxa"/>
          </w:tblCellMar>
        </w:tblPrEx>
        <w:tc>
          <w:tcPr>
            <w:tcW w:w="1693"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tc>
        <w:tc>
          <w:tcPr>
            <w:tcW w:w="12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2693"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w:t>
            </w:r>
            <w:r>
              <w:rPr>
                <w:rFonts w:ascii="宋体" w:hAnsi="宋体" w:cs="宋体"/>
                <w:color w:val="000000" w:themeColor="text1"/>
                <w:sz w:val="24"/>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话</w:t>
            </w:r>
          </w:p>
        </w:tc>
        <w:tc>
          <w:tcPr>
            <w:tcW w:w="2008"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r>
      <w:tr>
        <w:tblPrEx>
          <w:tblCellMar>
            <w:top w:w="0" w:type="dxa"/>
            <w:left w:w="108" w:type="dxa"/>
            <w:bottom w:w="0" w:type="dxa"/>
            <w:right w:w="108" w:type="dxa"/>
          </w:tblCellMar>
        </w:tblPrEx>
        <w:tc>
          <w:tcPr>
            <w:tcW w:w="1693" w:type="dxa"/>
            <w:vMerge w:val="continue"/>
            <w:tcBorders>
              <w:top w:val="single" w:color="000000" w:sz="6" w:space="0"/>
              <w:left w:val="single" w:color="000000" w:sz="6" w:space="0"/>
              <w:bottom w:val="single" w:color="000000" w:sz="6" w:space="0"/>
              <w:right w:val="single" w:color="000000" w:sz="6" w:space="0"/>
            </w:tcBorders>
            <w:vAlign w:val="center"/>
          </w:tcPr>
          <w:p>
            <w:pPr>
              <w:spacing w:line="440" w:lineRule="exact"/>
              <w:rPr>
                <w:rFonts w:ascii="宋体" w:hAnsi="宋体" w:cs="宋体"/>
                <w:color w:val="000000" w:themeColor="text1"/>
                <w:sz w:val="24"/>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w:t>
            </w:r>
            <w:r>
              <w:rPr>
                <w:rFonts w:ascii="宋体" w:hAnsi="宋体" w:cs="宋体"/>
                <w:color w:val="000000" w:themeColor="text1"/>
                <w:sz w:val="24"/>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真</w:t>
            </w:r>
          </w:p>
        </w:tc>
        <w:tc>
          <w:tcPr>
            <w:tcW w:w="2693"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网</w:t>
            </w:r>
            <w:r>
              <w:rPr>
                <w:rFonts w:ascii="宋体" w:hAnsi="宋体" w:cs="宋体"/>
                <w:color w:val="000000" w:themeColor="text1"/>
                <w:sz w:val="24"/>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址</w:t>
            </w:r>
          </w:p>
        </w:tc>
        <w:tc>
          <w:tcPr>
            <w:tcW w:w="2008"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r>
      <w:tr>
        <w:tblPrEx>
          <w:tblCellMar>
            <w:top w:w="0" w:type="dxa"/>
            <w:left w:w="108" w:type="dxa"/>
            <w:bottom w:w="0" w:type="dxa"/>
            <w:right w:w="108" w:type="dxa"/>
          </w:tblCellMar>
        </w:tblPrEx>
        <w:tc>
          <w:tcPr>
            <w:tcW w:w="16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组织结构</w:t>
            </w:r>
          </w:p>
        </w:tc>
        <w:tc>
          <w:tcPr>
            <w:tcW w:w="7678" w:type="dxa"/>
            <w:gridSpan w:val="6"/>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r>
      <w:tr>
        <w:tblPrEx>
          <w:tblCellMar>
            <w:top w:w="0" w:type="dxa"/>
            <w:left w:w="108" w:type="dxa"/>
            <w:bottom w:w="0" w:type="dxa"/>
            <w:right w:w="108" w:type="dxa"/>
          </w:tblCellMar>
        </w:tblPrEx>
        <w:tc>
          <w:tcPr>
            <w:tcW w:w="16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tc>
        <w:tc>
          <w:tcPr>
            <w:tcW w:w="12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55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c>
          <w:tcPr>
            <w:tcW w:w="113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技术职称</w:t>
            </w: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c>
          <w:tcPr>
            <w:tcW w:w="73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tc>
        <w:tc>
          <w:tcPr>
            <w:tcW w:w="12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r>
      <w:tr>
        <w:tblPrEx>
          <w:tblCellMar>
            <w:top w:w="0" w:type="dxa"/>
            <w:left w:w="108" w:type="dxa"/>
            <w:bottom w:w="0" w:type="dxa"/>
            <w:right w:w="108" w:type="dxa"/>
          </w:tblCellMar>
        </w:tblPrEx>
        <w:trPr>
          <w:trHeight w:val="645" w:hRule="atLeast"/>
        </w:trPr>
        <w:tc>
          <w:tcPr>
            <w:tcW w:w="16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p>
        </w:tc>
        <w:tc>
          <w:tcPr>
            <w:tcW w:w="2830"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c>
          <w:tcPr>
            <w:tcW w:w="4848" w:type="dxa"/>
            <w:gridSpan w:val="4"/>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员工总人数：</w:t>
            </w:r>
          </w:p>
        </w:tc>
      </w:tr>
      <w:tr>
        <w:tblPrEx>
          <w:tblCellMar>
            <w:top w:w="0" w:type="dxa"/>
            <w:left w:w="108" w:type="dxa"/>
            <w:bottom w:w="0" w:type="dxa"/>
            <w:right w:w="108" w:type="dxa"/>
          </w:tblCellMar>
        </w:tblPrEx>
        <w:trPr>
          <w:trHeight w:val="595" w:hRule="atLeast"/>
        </w:trPr>
        <w:tc>
          <w:tcPr>
            <w:tcW w:w="16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企业资质</w:t>
            </w:r>
          </w:p>
        </w:tc>
        <w:tc>
          <w:tcPr>
            <w:tcW w:w="2830"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c>
          <w:tcPr>
            <w:tcW w:w="1139"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注册类人员</w:t>
            </w:r>
          </w:p>
        </w:tc>
        <w:tc>
          <w:tcPr>
            <w:tcW w:w="2008"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r>
      <w:tr>
        <w:tblPrEx>
          <w:tblCellMar>
            <w:top w:w="0" w:type="dxa"/>
            <w:left w:w="108" w:type="dxa"/>
            <w:bottom w:w="0" w:type="dxa"/>
            <w:right w:w="108" w:type="dxa"/>
          </w:tblCellMar>
        </w:tblPrEx>
        <w:trPr>
          <w:trHeight w:val="814" w:hRule="atLeast"/>
        </w:trPr>
        <w:tc>
          <w:tcPr>
            <w:tcW w:w="16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w:t>
            </w:r>
          </w:p>
        </w:tc>
        <w:tc>
          <w:tcPr>
            <w:tcW w:w="2830"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c>
          <w:tcPr>
            <w:tcW w:w="1139" w:type="dxa"/>
            <w:vMerge w:val="continue"/>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line="440" w:lineRule="exact"/>
              <w:rPr>
                <w:rFonts w:ascii="宋体" w:hAnsi="宋体" w:cs="宋体"/>
                <w:color w:val="000000" w:themeColor="text1"/>
                <w:sz w:val="24"/>
                <w14:textFill>
                  <w14:solidFill>
                    <w14:schemeClr w14:val="tx1"/>
                  </w14:solidFill>
                </w14:textFill>
              </w:rPr>
            </w:pPr>
          </w:p>
        </w:tc>
        <w:tc>
          <w:tcPr>
            <w:tcW w:w="1701"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高级职称人员</w:t>
            </w:r>
          </w:p>
        </w:tc>
        <w:tc>
          <w:tcPr>
            <w:tcW w:w="2008" w:type="dxa"/>
            <w:gridSpan w:val="2"/>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r>
      <w:tr>
        <w:tblPrEx>
          <w:tblCellMar>
            <w:top w:w="0" w:type="dxa"/>
            <w:left w:w="108" w:type="dxa"/>
            <w:bottom w:w="0" w:type="dxa"/>
            <w:right w:w="108" w:type="dxa"/>
          </w:tblCellMar>
        </w:tblPrEx>
        <w:trPr>
          <w:trHeight w:val="591" w:hRule="atLeast"/>
        </w:trPr>
        <w:tc>
          <w:tcPr>
            <w:tcW w:w="16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注册资金</w:t>
            </w:r>
          </w:p>
        </w:tc>
        <w:tc>
          <w:tcPr>
            <w:tcW w:w="2830"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c>
          <w:tcPr>
            <w:tcW w:w="1139" w:type="dxa"/>
            <w:vMerge w:val="continue"/>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line="440" w:lineRule="exact"/>
              <w:rPr>
                <w:rFonts w:ascii="宋体" w:hAnsi="宋体" w:cs="宋体"/>
                <w:color w:val="000000" w:themeColor="text1"/>
                <w:sz w:val="24"/>
                <w14:textFill>
                  <w14:solidFill>
                    <w14:schemeClr w14:val="tx1"/>
                  </w14:solidFill>
                </w14:textFill>
              </w:rPr>
            </w:pPr>
          </w:p>
        </w:tc>
        <w:tc>
          <w:tcPr>
            <w:tcW w:w="17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中级职称人员</w:t>
            </w:r>
          </w:p>
        </w:tc>
        <w:tc>
          <w:tcPr>
            <w:tcW w:w="2008"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r>
      <w:tr>
        <w:tblPrEx>
          <w:tblCellMar>
            <w:top w:w="0" w:type="dxa"/>
            <w:left w:w="108" w:type="dxa"/>
            <w:bottom w:w="0" w:type="dxa"/>
            <w:right w:w="108" w:type="dxa"/>
          </w:tblCellMar>
        </w:tblPrEx>
        <w:trPr>
          <w:trHeight w:val="799" w:hRule="atLeast"/>
        </w:trPr>
        <w:tc>
          <w:tcPr>
            <w:tcW w:w="16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tc>
        <w:tc>
          <w:tcPr>
            <w:tcW w:w="2830"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c>
          <w:tcPr>
            <w:tcW w:w="1139" w:type="dxa"/>
            <w:vMerge w:val="continue"/>
            <w:tcBorders>
              <w:top w:val="single" w:color="000000" w:sz="6" w:space="0"/>
              <w:left w:val="single" w:color="000000" w:sz="6" w:space="0"/>
              <w:bottom w:val="single" w:color="000000" w:sz="6" w:space="0"/>
              <w:right w:val="single" w:color="000000" w:sz="6" w:space="0"/>
            </w:tcBorders>
            <w:vAlign w:val="center"/>
          </w:tcPr>
          <w:p>
            <w:pPr>
              <w:spacing w:line="440" w:lineRule="exact"/>
              <w:rPr>
                <w:rFonts w:ascii="宋体" w:hAnsi="宋体" w:cs="宋体"/>
                <w:color w:val="000000" w:themeColor="text1"/>
                <w:sz w:val="24"/>
                <w14:textFill>
                  <w14:solidFill>
                    <w14:schemeClr w14:val="tx1"/>
                  </w14:solidFill>
                </w14:textFill>
              </w:rPr>
            </w:pPr>
          </w:p>
        </w:tc>
        <w:tc>
          <w:tcPr>
            <w:tcW w:w="1701" w:type="dxa"/>
            <w:tcBorders>
              <w:top w:val="single" w:color="000000" w:sz="6" w:space="0"/>
              <w:left w:val="single" w:color="000000" w:sz="6" w:space="0"/>
              <w:bottom w:val="single" w:color="auto" w:sz="4" w:space="0"/>
              <w:right w:val="single" w:color="000000" w:sz="6" w:space="0"/>
            </w:tcBorders>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初级职称人员</w:t>
            </w:r>
          </w:p>
        </w:tc>
        <w:tc>
          <w:tcPr>
            <w:tcW w:w="2008" w:type="dxa"/>
            <w:gridSpan w:val="2"/>
            <w:tcBorders>
              <w:top w:val="single" w:color="000000" w:sz="6" w:space="0"/>
              <w:left w:val="single" w:color="000000" w:sz="6" w:space="0"/>
              <w:bottom w:val="single" w:color="auto" w:sz="4" w:space="0"/>
              <w:right w:val="single" w:color="000000" w:sz="6" w:space="0"/>
            </w:tcBorders>
            <w:vAlign w:val="center"/>
          </w:tcPr>
          <w:p>
            <w:pPr>
              <w:spacing w:line="440" w:lineRule="exac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16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tc>
        <w:tc>
          <w:tcPr>
            <w:tcW w:w="2830"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c>
          <w:tcPr>
            <w:tcW w:w="1139" w:type="dxa"/>
            <w:vMerge w:val="continue"/>
            <w:tcBorders>
              <w:top w:val="single" w:color="000000" w:sz="6" w:space="0"/>
              <w:left w:val="single" w:color="000000" w:sz="6" w:space="0"/>
              <w:bottom w:val="single" w:color="000000" w:sz="6" w:space="0"/>
              <w:right w:val="single" w:color="000000" w:sz="6" w:space="0"/>
            </w:tcBorders>
            <w:vAlign w:val="center"/>
          </w:tcPr>
          <w:p>
            <w:pPr>
              <w:spacing w:line="440" w:lineRule="exact"/>
              <w:rPr>
                <w:rFonts w:ascii="宋体" w:hAnsi="宋体" w:cs="宋体"/>
                <w:color w:val="000000" w:themeColor="text1"/>
                <w:sz w:val="24"/>
                <w14:textFill>
                  <w14:solidFill>
                    <w14:schemeClr w14:val="tx1"/>
                  </w14:solidFill>
                </w14:textFill>
              </w:rPr>
            </w:pPr>
          </w:p>
        </w:tc>
        <w:tc>
          <w:tcPr>
            <w:tcW w:w="1701" w:type="dxa"/>
            <w:tcBorders>
              <w:top w:val="single" w:color="auto" w:sz="4"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p>
        </w:tc>
        <w:tc>
          <w:tcPr>
            <w:tcW w:w="2008" w:type="dxa"/>
            <w:gridSpan w:val="2"/>
            <w:tcBorders>
              <w:top w:val="single" w:color="auto" w:sz="4" w:space="0"/>
              <w:left w:val="single" w:color="000000" w:sz="6" w:space="0"/>
              <w:bottom w:val="single" w:color="000000" w:sz="6" w:space="0"/>
              <w:right w:val="single" w:color="000000" w:sz="6" w:space="0"/>
            </w:tcBorders>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66" w:hRule="atLeast"/>
        </w:trPr>
        <w:tc>
          <w:tcPr>
            <w:tcW w:w="16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经营范围</w:t>
            </w:r>
          </w:p>
        </w:tc>
        <w:tc>
          <w:tcPr>
            <w:tcW w:w="7678" w:type="dxa"/>
            <w:gridSpan w:val="6"/>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r>
      <w:tr>
        <w:tblPrEx>
          <w:tblCellMar>
            <w:top w:w="0" w:type="dxa"/>
            <w:left w:w="108" w:type="dxa"/>
            <w:bottom w:w="0" w:type="dxa"/>
            <w:right w:w="108" w:type="dxa"/>
          </w:tblCellMar>
        </w:tblPrEx>
        <w:trPr>
          <w:trHeight w:val="952" w:hRule="atLeast"/>
        </w:trPr>
        <w:tc>
          <w:tcPr>
            <w:tcW w:w="16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7678" w:type="dxa"/>
            <w:gridSpan w:val="6"/>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before="100" w:beforeAutospacing="1" w:after="100" w:afterAutospacing="1" w:line="4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w:t>
            </w:r>
          </w:p>
        </w:tc>
      </w:tr>
    </w:tbl>
    <w:p>
      <w:pPr>
        <w:spacing w:line="360" w:lineRule="auto"/>
        <w:rPr>
          <w:rFonts w:ascii="宋体" w:hAnsi="宋体"/>
          <w:b/>
          <w:color w:val="000000" w:themeColor="text1"/>
          <w:sz w:val="24"/>
          <w14:textFill>
            <w14:solidFill>
              <w14:schemeClr w14:val="tx1"/>
            </w14:solidFill>
          </w14:textFill>
        </w:rPr>
      </w:pPr>
      <w:bookmarkStart w:id="1047" w:name="_Hlk57662133"/>
      <w:r>
        <w:rPr>
          <w:rFonts w:hint="eastAsia" w:ascii="宋体" w:hAnsi="宋体"/>
          <w:b/>
          <w:color w:val="000000" w:themeColor="text1"/>
          <w:sz w:val="24"/>
          <w14:textFill>
            <w14:solidFill>
              <w14:schemeClr w14:val="tx1"/>
            </w14:solidFill>
          </w14:textFill>
        </w:rPr>
        <w:t>注：若为联合体投标，联合体所有单位均需提供此表。</w:t>
      </w:r>
    </w:p>
    <w:p>
      <w:pPr>
        <w:spacing w:line="360" w:lineRule="auto"/>
        <w:ind w:firstLine="542" w:firstLineChars="225"/>
        <w:rPr>
          <w:rFonts w:ascii="宋体" w:hAnsi="宋体"/>
          <w:b/>
          <w:color w:val="000000" w:themeColor="text1"/>
          <w:sz w:val="24"/>
          <w14:textFill>
            <w14:solidFill>
              <w14:schemeClr w14:val="tx1"/>
            </w14:solidFill>
          </w14:textFill>
        </w:rPr>
      </w:pPr>
    </w:p>
    <w:p>
      <w:pPr>
        <w:spacing w:line="360" w:lineRule="auto"/>
        <w:ind w:firstLine="542" w:firstLineChars="225"/>
        <w:rPr>
          <w:rFonts w:ascii="宋体" w:hAnsi="宋体"/>
          <w:b/>
          <w:color w:val="000000" w:themeColor="text1"/>
          <w:sz w:val="24"/>
          <w14:textFill>
            <w14:solidFill>
              <w14:schemeClr w14:val="tx1"/>
            </w14:solidFill>
          </w14:textFill>
        </w:rPr>
      </w:pPr>
    </w:p>
    <w:bookmarkEnd w:id="1047"/>
    <w:p>
      <w:pPr>
        <w:pStyle w:val="7"/>
        <w:jc w:val="center"/>
        <w:rPr>
          <w:rFonts w:ascii="宋体" w:hAnsi="宋体"/>
          <w:bCs w:val="0"/>
          <w:color w:val="000000" w:themeColor="text1"/>
          <w:sz w:val="32"/>
          <w14:textFill>
            <w14:solidFill>
              <w14:schemeClr w14:val="tx1"/>
            </w14:solidFill>
          </w14:textFill>
        </w:rPr>
      </w:pPr>
      <w:r>
        <w:rPr>
          <w:rFonts w:ascii="宋体" w:hAnsi="宋体"/>
          <w:bCs w:val="0"/>
          <w:color w:val="000000" w:themeColor="text1"/>
          <w:sz w:val="24"/>
          <w:szCs w:val="24"/>
          <w14:textFill>
            <w14:solidFill>
              <w14:schemeClr w14:val="tx1"/>
            </w14:solidFill>
          </w14:textFill>
        </w:rPr>
        <w:br w:type="page"/>
      </w:r>
      <w:bookmarkStart w:id="1048" w:name="_Toc136956375"/>
      <w:bookmarkStart w:id="1049" w:name="_Toc99567013"/>
      <w:bookmarkStart w:id="1050" w:name="_Toc99567482"/>
      <w:bookmarkStart w:id="1051" w:name="_Toc116261165"/>
      <w:r>
        <w:rPr>
          <w:rFonts w:hint="eastAsia" w:ascii="宋体" w:hAnsi="宋体"/>
          <w:bCs w:val="0"/>
          <w:color w:val="000000" w:themeColor="text1"/>
          <w:sz w:val="32"/>
          <w14:textFill>
            <w14:solidFill>
              <w14:schemeClr w14:val="tx1"/>
            </w14:solidFill>
          </w14:textFill>
        </w:rPr>
        <w:t>（二）联合体协议书</w:t>
      </w:r>
      <w:bookmarkEnd w:id="1041"/>
      <w:bookmarkEnd w:id="1042"/>
      <w:bookmarkEnd w:id="1048"/>
      <w:bookmarkEnd w:id="1049"/>
      <w:bookmarkEnd w:id="1050"/>
      <w:bookmarkEnd w:id="1051"/>
    </w:p>
    <w:p>
      <w:pPr>
        <w:spacing w:line="480" w:lineRule="auto"/>
        <w:ind w:firstLine="602" w:firstLineChars="2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（联合体投标人提供）</w:t>
      </w:r>
    </w:p>
    <w:p>
      <w:pPr>
        <w:spacing w:line="360" w:lineRule="auto"/>
        <w:ind w:firstLine="562" w:firstLineChars="200"/>
        <w:rPr>
          <w:rFonts w:ascii="宋体" w:hAnsi="宋体"/>
          <w:color w:val="000000" w:themeColor="text1"/>
          <w:sz w:val="24"/>
          <w14:textFill>
            <w14:solidFill>
              <w14:schemeClr w14:val="tx1"/>
            </w14:solidFill>
          </w14:textFill>
        </w:rPr>
      </w:pP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（所有成员单位名称）自愿组成联合体，共同参加</w:t>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（项目名称）的投标。现就联合体投标事宜订立如下协议。</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（某成员单位名称）为联合体牵头人（即投标人），其中，工作范围划分</w:t>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ascii="宋体" w:hAnsi="宋体"/>
          <w:b/>
          <w:color w:val="000000" w:themeColor="text1"/>
          <w:sz w:val="28"/>
          <w:szCs w:val="30"/>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联合体主办人合法代表联合体各成员负责本招标项目投标文件编制和合同洽谈活动，并代表联合体提交和接收相关资料、信息及指标，并处理与之有关的一切事务，负责合同实施阶段的主办、组织和协调工作。</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3、联合体将严格按照招标文件的各项要求，递交投标文件，履行合同，并对外承担连带责任。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4、在合同履约过程中，若联合体成员之一不能履约或工作质量达不到合同要求及招标人要求的，招标人可与其解除合同，其合同项下的权利义务由联合体牵头人全权承接，各方具体责任承接详见合同条款。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、本协议书自签署之日起生效，合同履行完毕后自动失效。</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注</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联合体牵头人及成员单位签字盖章签署联合体协议书后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应将此联合体协议书原件彩色扫描件附于投标文件中</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投标文件格式中其余需要签字盖章处以及生成电子投标文件时</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均由联合体牵头人统一电子签章即可</w:t>
      </w:r>
      <w:r>
        <w:rPr>
          <w:rFonts w:hint="eastAsia" w:ascii="宋体" w:hAnsi="宋体"/>
          <w:color w:val="000000" w:themeColor="text1"/>
          <w:sz w:val="24"/>
          <w14:textFill>
            <w14:solidFill>
              <w14:schemeClr w14:val="tx1"/>
            </w14:solidFill>
          </w14:textFill>
        </w:rPr>
        <w:t>。</w:t>
      </w:r>
    </w:p>
    <w:p>
      <w:pPr>
        <w:spacing w:line="360" w:lineRule="auto"/>
        <w:rPr>
          <w:rFonts w:ascii="宋体" w:hAnsi="宋体"/>
          <w:color w:val="000000" w:themeColor="text1"/>
          <w:sz w:val="24"/>
          <w14:textFill>
            <w14:solidFill>
              <w14:schemeClr w14:val="tx1"/>
            </w14:solidFill>
          </w14:textFill>
        </w:rPr>
      </w:pPr>
    </w:p>
    <w:p>
      <w:pPr>
        <w:spacing w:line="360" w:lineRule="auto"/>
        <w:ind w:right="226" w:firstLine="360" w:firstLineChars="150"/>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联合体牵头人（即投标人）名称：</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（盖章）</w:t>
      </w:r>
    </w:p>
    <w:p>
      <w:pPr>
        <w:spacing w:line="360" w:lineRule="auto"/>
        <w:ind w:right="226" w:firstLine="360" w:firstLineChars="150"/>
        <w:jc w:val="righ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w:t>
      </w:r>
      <w:r>
        <w:rPr>
          <w:rFonts w:ascii="宋体" w:hAnsi="宋体"/>
          <w:color w:val="000000" w:themeColor="text1"/>
          <w:sz w:val="24"/>
          <w:u w:val="single"/>
          <w14:textFill>
            <w14:solidFill>
              <w14:schemeClr w14:val="tx1"/>
            </w14:solidFill>
          </w14:textFill>
        </w:rPr>
        <w:t xml:space="preserve">  （签字或盖章）</w:t>
      </w:r>
    </w:p>
    <w:p>
      <w:pPr>
        <w:spacing w:line="360" w:lineRule="auto"/>
        <w:ind w:right="480"/>
        <w:jc w:val="right"/>
        <w:rPr>
          <w:rFonts w:ascii="宋体" w:hAnsi="宋体"/>
          <w:color w:val="000000" w:themeColor="text1"/>
          <w:sz w:val="24"/>
          <w14:textFill>
            <w14:solidFill>
              <w14:schemeClr w14:val="tx1"/>
            </w14:solidFill>
          </w14:textFill>
        </w:rPr>
      </w:pPr>
    </w:p>
    <w:p>
      <w:pPr>
        <w:wordWrap w:val="0"/>
        <w:spacing w:line="360" w:lineRule="auto"/>
        <w:ind w:right="226" w:firstLine="360" w:firstLineChars="150"/>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联合体成员名称：</w:t>
      </w:r>
      <w:r>
        <w:rPr>
          <w:rFonts w:ascii="宋体" w:hAnsi="宋体"/>
          <w:color w:val="000000" w:themeColor="text1"/>
          <w:sz w:val="24"/>
          <w:u w:val="single"/>
          <w14:textFill>
            <w14:solidFill>
              <w14:schemeClr w14:val="tx1"/>
            </w14:solidFill>
          </w14:textFill>
        </w:rPr>
        <w:t xml:space="preserve">        （盖章）</w:t>
      </w:r>
    </w:p>
    <w:p>
      <w:pPr>
        <w:wordWrap w:val="0"/>
        <w:spacing w:line="360" w:lineRule="auto"/>
        <w:ind w:right="120"/>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（签字或盖章）</w:t>
      </w:r>
    </w:p>
    <w:p>
      <w:pPr>
        <w:spacing w:line="360" w:lineRule="auto"/>
        <w:ind w:right="120"/>
        <w:jc w:val="right"/>
        <w:rPr>
          <w:rFonts w:ascii="宋体" w:hAnsi="宋体"/>
          <w:color w:val="000000" w:themeColor="text1"/>
          <w:sz w:val="24"/>
          <w:u w:val="single"/>
          <w14:textFill>
            <w14:solidFill>
              <w14:schemeClr w14:val="tx1"/>
            </w14:solidFill>
          </w14:textFill>
        </w:rPr>
      </w:pPr>
    </w:p>
    <w:p>
      <w:pPr>
        <w:spacing w:line="360" w:lineRule="auto"/>
        <w:ind w:right="120"/>
        <w:jc w:val="right"/>
        <w:rPr>
          <w:rFonts w:ascii="宋体" w:hAnsi="宋体"/>
          <w:b/>
          <w:color w:val="000000" w:themeColor="text1"/>
          <w:sz w:val="24"/>
          <w:u w:val="single"/>
          <w14:textFill>
            <w14:solidFill>
              <w14:schemeClr w14:val="tx1"/>
            </w14:solidFill>
          </w14:textFill>
        </w:rPr>
      </w:pPr>
    </w:p>
    <w:p>
      <w:pPr>
        <w:pStyle w:val="7"/>
        <w:jc w:val="center"/>
        <w:rPr>
          <w:rFonts w:ascii="宋体" w:hAnsi="宋体"/>
          <w:bCs w:val="0"/>
          <w:color w:val="000000" w:themeColor="text1"/>
          <w:sz w:val="32"/>
          <w14:textFill>
            <w14:solidFill>
              <w14:schemeClr w14:val="tx1"/>
            </w14:solidFill>
          </w14:textFill>
        </w:rPr>
      </w:pPr>
      <w:bookmarkStart w:id="1052" w:name="_Toc446510444"/>
      <w:bookmarkStart w:id="1053" w:name="_Toc529798002"/>
      <w:r>
        <w:rPr>
          <w:rFonts w:ascii="宋体" w:hAnsi="宋体"/>
          <w:bCs w:val="0"/>
          <w:color w:val="000000" w:themeColor="text1"/>
          <w14:textFill>
            <w14:solidFill>
              <w14:schemeClr w14:val="tx1"/>
            </w14:solidFill>
          </w14:textFill>
        </w:rPr>
        <w:br w:type="page"/>
      </w:r>
      <w:bookmarkStart w:id="1054" w:name="_Toc99567483"/>
      <w:bookmarkStart w:id="1055" w:name="_Toc116261166"/>
      <w:bookmarkStart w:id="1056" w:name="_Toc136956376"/>
      <w:bookmarkStart w:id="1057" w:name="_Toc99567014"/>
      <w:r>
        <w:rPr>
          <w:rFonts w:hint="eastAsia" w:ascii="宋体" w:hAnsi="宋体"/>
          <w:bCs w:val="0"/>
          <w:color w:val="000000" w:themeColor="text1"/>
          <w:sz w:val="32"/>
          <w14:textFill>
            <w14:solidFill>
              <w14:schemeClr w14:val="tx1"/>
            </w14:solidFill>
          </w14:textFill>
        </w:rPr>
        <w:t>（三）法定代表人身份证明书</w:t>
      </w:r>
      <w:bookmarkEnd w:id="1043"/>
      <w:bookmarkEnd w:id="1044"/>
      <w:bookmarkEnd w:id="1045"/>
      <w:bookmarkEnd w:id="1052"/>
      <w:bookmarkEnd w:id="1053"/>
      <w:bookmarkEnd w:id="1054"/>
      <w:bookmarkEnd w:id="1055"/>
      <w:bookmarkEnd w:id="1056"/>
      <w:bookmarkEnd w:id="1057"/>
    </w:p>
    <w:p>
      <w:pPr>
        <w:spacing w:line="360" w:lineRule="auto"/>
        <w:ind w:firstLine="6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p>
    <w:p>
      <w:pPr>
        <w:spacing w:line="360" w:lineRule="auto"/>
        <w:ind w:firstLine="61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p>
    <w:p>
      <w:pPr>
        <w:spacing w:line="360" w:lineRule="auto"/>
        <w:ind w:firstLine="61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p>
    <w:p>
      <w:pPr>
        <w:spacing w:line="360" w:lineRule="auto"/>
        <w:ind w:firstLine="6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日</w:t>
      </w:r>
    </w:p>
    <w:p>
      <w:pPr>
        <w:spacing w:line="360" w:lineRule="auto"/>
        <w:ind w:firstLine="61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p>
    <w:p>
      <w:pPr>
        <w:spacing w:line="360" w:lineRule="auto"/>
        <w:ind w:firstLine="61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姓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 xml:space="preserve"> 性别：</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年龄：</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职务：</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p>
    <w:p>
      <w:pPr>
        <w:spacing w:line="360" w:lineRule="auto"/>
        <w:ind w:firstLine="6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ascii="宋体" w:hAnsi="宋体"/>
          <w:color w:val="000000" w:themeColor="text1"/>
          <w:sz w:val="24"/>
          <w:u w:val="single"/>
          <w14:textFill>
            <w14:solidFill>
              <w14:schemeClr w14:val="tx1"/>
            </w14:solidFill>
          </w14:textFill>
        </w:rPr>
        <w:t xml:space="preserve">          （投标人单位名称）         </w:t>
      </w:r>
      <w:r>
        <w:rPr>
          <w:rFonts w:hint="eastAsia" w:ascii="宋体" w:hAnsi="宋体"/>
          <w:color w:val="000000" w:themeColor="text1"/>
          <w:sz w:val="24"/>
          <w14:textFill>
            <w14:solidFill>
              <w14:schemeClr w14:val="tx1"/>
            </w14:solidFill>
          </w14:textFill>
        </w:rPr>
        <w:t>的法定代表人。</w:t>
      </w:r>
    </w:p>
    <w:p>
      <w:pPr>
        <w:spacing w:line="360" w:lineRule="auto"/>
        <w:ind w:firstLine="610"/>
        <w:rPr>
          <w:rFonts w:ascii="宋体" w:hAnsi="宋体"/>
          <w:color w:val="000000" w:themeColor="text1"/>
          <w:sz w:val="24"/>
          <w14:textFill>
            <w14:solidFill>
              <w14:schemeClr w14:val="tx1"/>
            </w14:solidFill>
          </w14:textFill>
        </w:rPr>
      </w:pPr>
    </w:p>
    <w:p>
      <w:pPr>
        <w:spacing w:line="360" w:lineRule="auto"/>
        <w:ind w:firstLine="6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pPr>
        <w:tabs>
          <w:tab w:val="left" w:pos="720"/>
          <w:tab w:val="left" w:pos="90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720"/>
          <w:tab w:val="left" w:pos="90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720"/>
          <w:tab w:val="left" w:pos="900"/>
        </w:tabs>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2428" w:firstLineChars="10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ascii="宋体" w:hAnsi="宋体"/>
          <w:color w:val="000000" w:themeColor="text1"/>
          <w:sz w:val="24"/>
          <w:u w:val="single"/>
          <w14:textFill>
            <w14:solidFill>
              <w14:schemeClr w14:val="tx1"/>
            </w14:solidFill>
          </w14:textFill>
        </w:rPr>
        <w:t xml:space="preserve">             （电子签章）</w:t>
      </w:r>
    </w:p>
    <w:p>
      <w:pPr>
        <w:spacing w:line="360" w:lineRule="auto"/>
        <w:ind w:firstLine="2428" w:firstLineChars="10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日</w:t>
      </w:r>
    </w:p>
    <w:p>
      <w:pPr>
        <w:spacing w:line="360" w:lineRule="auto"/>
        <w:ind w:firstLine="2428" w:firstLineChars="1012"/>
        <w:rPr>
          <w:rFonts w:ascii="宋体" w:hAnsi="宋体"/>
          <w:color w:val="000000" w:themeColor="text1"/>
          <w:sz w:val="24"/>
          <w14:textFill>
            <w14:solidFill>
              <w14:schemeClr w14:val="tx1"/>
            </w14:solidFill>
          </w14:textFill>
        </w:rPr>
      </w:pPr>
    </w:p>
    <w:p>
      <w:pPr>
        <w:spacing w:line="360" w:lineRule="auto"/>
        <w:ind w:firstLine="2134" w:firstLineChars="1012"/>
        <w:rPr>
          <w:rFonts w:ascii="宋体" w:hAnsi="宋体"/>
          <w:b/>
          <w:color w:val="000000" w:themeColor="text1"/>
          <w:szCs w:val="21"/>
          <w14:textFill>
            <w14:solidFill>
              <w14:schemeClr w14:val="tx1"/>
            </w14:solidFill>
          </w14:textFill>
        </w:rPr>
      </w:pPr>
    </w:p>
    <w:p>
      <w:pPr>
        <w:spacing w:line="360" w:lineRule="auto"/>
        <w:ind w:firstLine="2438" w:firstLineChars="1012"/>
        <w:rPr>
          <w:rFonts w:ascii="宋体" w:hAnsi="宋体"/>
          <w:b/>
          <w:color w:val="000000" w:themeColor="text1"/>
          <w:sz w:val="24"/>
          <w14:textFill>
            <w14:solidFill>
              <w14:schemeClr w14:val="tx1"/>
            </w14:solidFill>
          </w14:textFill>
        </w:rPr>
      </w:pPr>
    </w:p>
    <w:p>
      <w:pPr>
        <w:spacing w:line="360" w:lineRule="auto"/>
        <w:ind w:firstLine="358" w:firstLineChars="170"/>
        <w:rPr>
          <w:rFonts w:ascii="宋体" w:hAnsi="宋体"/>
          <w:b/>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注：附法定代表人身份证扫描件（若为联合投标时，由联合体牵头单位提供即可）。</w:t>
      </w:r>
    </w:p>
    <w:p>
      <w:pPr>
        <w:pStyle w:val="30"/>
        <w:spacing w:line="360" w:lineRule="auto"/>
        <w:ind w:firstLine="480"/>
        <w:rPr>
          <w:rFonts w:hAnsi="宋体"/>
          <w:b/>
          <w:color w:val="000000" w:themeColor="text1"/>
          <w:sz w:val="24"/>
          <w14:textFill>
            <w14:solidFill>
              <w14:schemeClr w14:val="tx1"/>
            </w14:solidFill>
          </w14:textFill>
        </w:rPr>
      </w:pPr>
    </w:p>
    <w:p>
      <w:pPr>
        <w:pStyle w:val="30"/>
        <w:spacing w:line="360" w:lineRule="auto"/>
        <w:ind w:firstLine="480"/>
        <w:rPr>
          <w:rFonts w:hAnsi="宋体"/>
          <w:b/>
          <w:color w:val="000000" w:themeColor="text1"/>
          <w:sz w:val="24"/>
          <w14:textFill>
            <w14:solidFill>
              <w14:schemeClr w14:val="tx1"/>
            </w14:solidFill>
          </w14:textFill>
        </w:rPr>
      </w:pPr>
    </w:p>
    <w:p>
      <w:pPr>
        <w:pStyle w:val="30"/>
        <w:spacing w:line="360" w:lineRule="auto"/>
        <w:ind w:firstLine="480"/>
        <w:rPr>
          <w:rFonts w:hAnsi="宋体"/>
          <w:b/>
          <w:color w:val="000000" w:themeColor="text1"/>
          <w:sz w:val="24"/>
          <w14:textFill>
            <w14:solidFill>
              <w14:schemeClr w14:val="tx1"/>
            </w14:solidFill>
          </w14:textFill>
        </w:rPr>
      </w:pPr>
    </w:p>
    <w:p>
      <w:pPr>
        <w:pStyle w:val="30"/>
        <w:spacing w:line="360" w:lineRule="auto"/>
        <w:ind w:firstLine="480"/>
        <w:rPr>
          <w:rFonts w:hAnsi="宋体"/>
          <w:b/>
          <w:color w:val="000000" w:themeColor="text1"/>
          <w:sz w:val="24"/>
          <w14:textFill>
            <w14:solidFill>
              <w14:schemeClr w14:val="tx1"/>
            </w14:solidFill>
          </w14:textFill>
        </w:rPr>
      </w:pPr>
    </w:p>
    <w:p>
      <w:pPr>
        <w:pStyle w:val="7"/>
        <w:jc w:val="center"/>
        <w:rPr>
          <w:rFonts w:ascii="宋体" w:hAnsi="宋体"/>
          <w:bCs w:val="0"/>
          <w:color w:val="000000" w:themeColor="text1"/>
          <w:sz w:val="32"/>
          <w14:textFill>
            <w14:solidFill>
              <w14:schemeClr w14:val="tx1"/>
            </w14:solidFill>
          </w14:textFill>
        </w:rPr>
      </w:pPr>
      <w:bookmarkStart w:id="1058" w:name="_Toc347307796"/>
      <w:bookmarkStart w:id="1059" w:name="_Toc300848218"/>
      <w:bookmarkStart w:id="1060" w:name="_Toc446510445"/>
      <w:bookmarkStart w:id="1061" w:name="_Toc229583229"/>
      <w:bookmarkStart w:id="1062" w:name="_Toc529798003"/>
      <w:r>
        <w:rPr>
          <w:rFonts w:ascii="宋体" w:hAnsi="宋体"/>
          <w:bCs w:val="0"/>
          <w:color w:val="000000" w:themeColor="text1"/>
          <w:sz w:val="32"/>
          <w14:textFill>
            <w14:solidFill>
              <w14:schemeClr w14:val="tx1"/>
            </w14:solidFill>
          </w14:textFill>
        </w:rPr>
        <w:br w:type="page"/>
      </w:r>
      <w:bookmarkStart w:id="1063" w:name="_Toc136956377"/>
      <w:bookmarkStart w:id="1064" w:name="_Toc99567015"/>
      <w:bookmarkStart w:id="1065" w:name="_Toc99567484"/>
      <w:bookmarkStart w:id="1066" w:name="_Toc116261167"/>
      <w:r>
        <w:rPr>
          <w:rFonts w:hint="eastAsia" w:ascii="宋体" w:hAnsi="宋体"/>
          <w:bCs w:val="0"/>
          <w:color w:val="000000" w:themeColor="text1"/>
          <w:sz w:val="32"/>
          <w14:textFill>
            <w14:solidFill>
              <w14:schemeClr w14:val="tx1"/>
            </w14:solidFill>
          </w14:textFill>
        </w:rPr>
        <w:t>（四）法定代表人授权委托书</w:t>
      </w:r>
      <w:bookmarkEnd w:id="1058"/>
      <w:bookmarkEnd w:id="1059"/>
      <w:bookmarkEnd w:id="1060"/>
      <w:bookmarkEnd w:id="1061"/>
      <w:bookmarkEnd w:id="1062"/>
      <w:bookmarkEnd w:id="1063"/>
      <w:bookmarkEnd w:id="1064"/>
      <w:bookmarkEnd w:id="1065"/>
      <w:bookmarkEnd w:id="1066"/>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本授权委托书声明：我</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（姓名）系</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（投 标 人 名 称）</w:t>
      </w:r>
      <w:r>
        <w:rPr>
          <w:rFonts w:hint="eastAsia" w:ascii="宋体" w:hAnsi="宋体"/>
          <w:color w:val="000000" w:themeColor="text1"/>
          <w:sz w:val="24"/>
          <w14:textFill>
            <w14:solidFill>
              <w14:schemeClr w14:val="tx1"/>
            </w14:solidFill>
          </w14:textFill>
        </w:rPr>
        <w:t>的法定代表人，现授权委托</w:t>
      </w:r>
      <w:r>
        <w:rPr>
          <w:rFonts w:ascii="宋体" w:hAnsi="宋体"/>
          <w:color w:val="000000" w:themeColor="text1"/>
          <w:sz w:val="24"/>
          <w:u w:val="single"/>
          <w14:textFill>
            <w14:solidFill>
              <w14:schemeClr w14:val="tx1"/>
            </w14:solidFill>
          </w14:textFill>
        </w:rPr>
        <w:t xml:space="preserve">      （单 位 名 称）     </w:t>
      </w:r>
      <w:r>
        <w:rPr>
          <w:rFonts w:hint="eastAsia" w:ascii="宋体" w:hAnsi="宋体"/>
          <w:color w:val="000000" w:themeColor="text1"/>
          <w:sz w:val="24"/>
          <w14:textFill>
            <w14:solidFill>
              <w14:schemeClr w14:val="tx1"/>
            </w14:solidFill>
          </w14:textFill>
        </w:rPr>
        <w:t>的</w:t>
      </w:r>
      <w:r>
        <w:rPr>
          <w:rFonts w:ascii="宋体" w:hAnsi="宋体"/>
          <w:color w:val="000000" w:themeColor="text1"/>
          <w:sz w:val="24"/>
          <w:u w:val="single"/>
          <w14:textFill>
            <w14:solidFill>
              <w14:schemeClr w14:val="tx1"/>
            </w14:solidFill>
          </w14:textFill>
        </w:rPr>
        <w:t xml:space="preserve">    （姓名）    </w:t>
      </w:r>
      <w:r>
        <w:rPr>
          <w:rFonts w:hint="eastAsia" w:ascii="宋体" w:hAnsi="宋体"/>
          <w:color w:val="000000" w:themeColor="text1"/>
          <w:sz w:val="24"/>
          <w14:textFill>
            <w14:solidFill>
              <w14:schemeClr w14:val="tx1"/>
            </w14:solidFill>
          </w14:textFill>
        </w:rPr>
        <w:t>为我公司签署本项目的投标文件的法定代表人授权委托代理人，我承认代理人全权代表我所签署的本项目的投标文件的内容。</w:t>
      </w:r>
    </w:p>
    <w:p>
      <w:pPr>
        <w:spacing w:line="360" w:lineRule="auto"/>
        <w:rPr>
          <w:rFonts w:ascii="宋体" w:hAnsi="宋体"/>
          <w:color w:val="000000" w:themeColor="text1"/>
          <w:sz w:val="24"/>
          <w14:textFill>
            <w14:solidFill>
              <w14:schemeClr w14:val="tx1"/>
            </w14:solidFill>
          </w14:textFill>
        </w:rPr>
      </w:pPr>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代理人无转委托权，特此委托。</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2700" w:firstLineChars="112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代理人：</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 xml:space="preserve">  性别：</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14:textFill>
            <w14:solidFill>
              <w14:schemeClr w14:val="tx1"/>
            </w14:solidFill>
          </w14:textFill>
        </w:rPr>
        <w:t xml:space="preserve"> 年龄：</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p>
    <w:p>
      <w:pPr>
        <w:spacing w:line="360" w:lineRule="auto"/>
        <w:ind w:firstLine="2700" w:firstLineChars="112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职务：</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p>
    <w:p>
      <w:pPr>
        <w:spacing w:line="360" w:lineRule="auto"/>
        <w:ind w:firstLine="2700" w:firstLineChars="11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（电子签章） </w:t>
      </w:r>
    </w:p>
    <w:p>
      <w:pPr>
        <w:spacing w:line="360" w:lineRule="auto"/>
        <w:ind w:firstLine="2700" w:firstLineChars="11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ascii="宋体" w:hAnsi="宋体"/>
          <w:color w:val="000000" w:themeColor="text1"/>
          <w:sz w:val="24"/>
          <w:u w:val="single"/>
          <w14:textFill>
            <w14:solidFill>
              <w14:schemeClr w14:val="tx1"/>
            </w14:solidFill>
          </w14:textFill>
        </w:rPr>
        <w:t xml:space="preserve">                  （电子签章） </w:t>
      </w:r>
    </w:p>
    <w:p>
      <w:pPr>
        <w:spacing w:line="360" w:lineRule="auto"/>
        <w:ind w:firstLine="2700" w:firstLineChars="11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授权委托日期：</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ab/>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日</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注：附授权委托人身份证扫描件（若为联合投标时，由联合体牵头单位提供即可）</w:t>
      </w:r>
    </w:p>
    <w:p>
      <w:pPr>
        <w:spacing w:line="360" w:lineRule="auto"/>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widowControl/>
        <w:jc w:val="left"/>
        <w:rPr>
          <w:rFonts w:ascii="宋体" w:hAnsi="宋体"/>
          <w:b/>
          <w:color w:val="000000" w:themeColor="text1"/>
          <w:kern w:val="0"/>
          <w:sz w:val="32"/>
          <w:szCs w:val="32"/>
          <w14:textFill>
            <w14:solidFill>
              <w14:schemeClr w14:val="tx1"/>
            </w14:solidFill>
          </w14:textFill>
        </w:rPr>
      </w:pPr>
      <w:bookmarkStart w:id="1067" w:name="_Toc414280426"/>
      <w:bookmarkStart w:id="1068" w:name="_Toc529798004"/>
      <w:bookmarkStart w:id="1069" w:name="_Toc410210886"/>
      <w:bookmarkStart w:id="1070" w:name="_Toc446510446"/>
    </w:p>
    <w:p>
      <w:pPr>
        <w:pStyle w:val="7"/>
        <w:jc w:val="center"/>
        <w:rPr>
          <w:rFonts w:ascii="宋体" w:hAnsi="宋体"/>
          <w:bCs w:val="0"/>
          <w:color w:val="000000" w:themeColor="text1"/>
          <w:sz w:val="32"/>
          <w14:textFill>
            <w14:solidFill>
              <w14:schemeClr w14:val="tx1"/>
            </w14:solidFill>
          </w14:textFill>
        </w:rPr>
      </w:pPr>
      <w:r>
        <w:rPr>
          <w:rFonts w:ascii="宋体" w:hAnsi="宋体"/>
          <w:bCs w:val="0"/>
          <w:color w:val="000000" w:themeColor="text1"/>
          <w:sz w:val="32"/>
          <w14:textFill>
            <w14:solidFill>
              <w14:schemeClr w14:val="tx1"/>
            </w14:solidFill>
          </w14:textFill>
        </w:rPr>
        <w:br w:type="page"/>
      </w:r>
      <w:bookmarkStart w:id="1071" w:name="_Toc99567016"/>
      <w:bookmarkStart w:id="1072" w:name="_Toc116261168"/>
      <w:bookmarkStart w:id="1073" w:name="_Toc136956378"/>
      <w:bookmarkStart w:id="1074" w:name="_Toc99567485"/>
      <w:r>
        <w:rPr>
          <w:rFonts w:hint="eastAsia" w:ascii="宋体" w:hAnsi="宋体"/>
          <w:bCs w:val="0"/>
          <w:color w:val="000000" w:themeColor="text1"/>
          <w:sz w:val="32"/>
          <w14:textFill>
            <w14:solidFill>
              <w14:schemeClr w14:val="tx1"/>
            </w14:solidFill>
          </w14:textFill>
        </w:rPr>
        <w:t>（五）营业执照副本原件扫描件</w:t>
      </w:r>
      <w:bookmarkEnd w:id="1067"/>
      <w:bookmarkEnd w:id="1068"/>
      <w:bookmarkEnd w:id="1069"/>
      <w:bookmarkEnd w:id="1070"/>
      <w:bookmarkEnd w:id="1071"/>
      <w:bookmarkEnd w:id="1072"/>
      <w:bookmarkEnd w:id="1073"/>
      <w:bookmarkEnd w:id="1074"/>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附所有成员营业执照副本原件扫描件。</w:t>
      </w:r>
    </w:p>
    <w:p>
      <w:pPr>
        <w:spacing w:line="360" w:lineRule="auto"/>
        <w:ind w:firstLine="542" w:firstLineChars="225"/>
        <w:rPr>
          <w:rFonts w:ascii="宋体" w:hAnsi="宋体"/>
          <w:b/>
          <w:color w:val="000000" w:themeColor="text1"/>
          <w:sz w:val="24"/>
          <w14:textFill>
            <w14:solidFill>
              <w14:schemeClr w14:val="tx1"/>
            </w14:solidFill>
          </w14:textFill>
        </w:rPr>
      </w:pPr>
    </w:p>
    <w:p>
      <w:pPr>
        <w:spacing w:line="360" w:lineRule="auto"/>
        <w:ind w:firstLine="542" w:firstLineChars="225"/>
        <w:rPr>
          <w:rFonts w:ascii="宋体" w:hAnsi="宋体"/>
          <w:b/>
          <w:color w:val="000000" w:themeColor="text1"/>
          <w:sz w:val="24"/>
          <w14:textFill>
            <w14:solidFill>
              <w14:schemeClr w14:val="tx1"/>
            </w14:solidFill>
          </w14:textFill>
        </w:rPr>
      </w:pPr>
    </w:p>
    <w:p>
      <w:pPr>
        <w:pStyle w:val="7"/>
        <w:jc w:val="center"/>
        <w:rPr>
          <w:rFonts w:ascii="宋体" w:hAnsi="宋体"/>
          <w:bCs w:val="0"/>
          <w:color w:val="000000" w:themeColor="text1"/>
          <w:sz w:val="32"/>
          <w14:textFill>
            <w14:solidFill>
              <w14:schemeClr w14:val="tx1"/>
            </w14:solidFill>
          </w14:textFill>
        </w:rPr>
      </w:pPr>
      <w:bookmarkStart w:id="1075" w:name="_Toc136956379"/>
      <w:bookmarkStart w:id="1076" w:name="_Toc99567017"/>
      <w:bookmarkStart w:id="1077" w:name="_Toc414280427"/>
      <w:bookmarkStart w:id="1078" w:name="_Toc116261169"/>
      <w:bookmarkStart w:id="1079" w:name="_Toc529798005"/>
      <w:bookmarkStart w:id="1080" w:name="_Toc410210887"/>
      <w:bookmarkStart w:id="1081" w:name="_Toc446510447"/>
      <w:bookmarkStart w:id="1082" w:name="_Toc99567486"/>
      <w:r>
        <w:rPr>
          <w:rFonts w:hint="eastAsia" w:ascii="宋体" w:hAnsi="宋体"/>
          <w:bCs w:val="0"/>
          <w:color w:val="000000" w:themeColor="text1"/>
          <w:sz w:val="32"/>
          <w14:textFill>
            <w14:solidFill>
              <w14:schemeClr w14:val="tx1"/>
            </w14:solidFill>
          </w14:textFill>
        </w:rPr>
        <w:t>（六）资质证书副本原件扫描件</w:t>
      </w:r>
      <w:bookmarkEnd w:id="1075"/>
      <w:bookmarkEnd w:id="1076"/>
      <w:bookmarkEnd w:id="1077"/>
      <w:bookmarkEnd w:id="1078"/>
      <w:bookmarkEnd w:id="1079"/>
      <w:bookmarkEnd w:id="1080"/>
      <w:bookmarkEnd w:id="1081"/>
      <w:bookmarkEnd w:id="1082"/>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附所有成员资质证书副本原件扫描件。</w:t>
      </w:r>
    </w:p>
    <w:p>
      <w:pPr>
        <w:spacing w:line="360" w:lineRule="auto"/>
        <w:ind w:firstLine="542" w:firstLineChars="225"/>
        <w:rPr>
          <w:rFonts w:ascii="宋体" w:hAnsi="宋体"/>
          <w:b/>
          <w:color w:val="000000" w:themeColor="text1"/>
          <w:sz w:val="24"/>
          <w14:textFill>
            <w14:solidFill>
              <w14:schemeClr w14:val="tx1"/>
            </w14:solidFill>
          </w14:textFill>
        </w:rPr>
      </w:pPr>
    </w:p>
    <w:p>
      <w:pPr>
        <w:spacing w:line="360" w:lineRule="auto"/>
        <w:ind w:firstLine="542" w:firstLineChars="225"/>
        <w:rPr>
          <w:rFonts w:ascii="宋体" w:hAnsi="宋体"/>
          <w:b/>
          <w:color w:val="000000" w:themeColor="text1"/>
          <w:sz w:val="24"/>
          <w14:textFill>
            <w14:solidFill>
              <w14:schemeClr w14:val="tx1"/>
            </w14:solidFill>
          </w14:textFill>
        </w:rPr>
      </w:pPr>
    </w:p>
    <w:p>
      <w:pPr>
        <w:pStyle w:val="7"/>
        <w:jc w:val="center"/>
        <w:rPr>
          <w:rFonts w:ascii="宋体" w:hAnsi="宋体"/>
          <w:bCs w:val="0"/>
          <w:color w:val="000000" w:themeColor="text1"/>
          <w:sz w:val="32"/>
          <w14:textFill>
            <w14:solidFill>
              <w14:schemeClr w14:val="tx1"/>
            </w14:solidFill>
          </w14:textFill>
        </w:rPr>
      </w:pPr>
      <w:bookmarkStart w:id="1083" w:name="_Toc414280428"/>
      <w:bookmarkStart w:id="1084" w:name="_Toc99567018"/>
      <w:bookmarkStart w:id="1085" w:name="_Toc136956380"/>
      <w:bookmarkStart w:id="1086" w:name="_Toc529798006"/>
      <w:bookmarkStart w:id="1087" w:name="_Toc116261170"/>
      <w:bookmarkStart w:id="1088" w:name="_Toc410210888"/>
      <w:bookmarkStart w:id="1089" w:name="_Toc99567487"/>
      <w:bookmarkStart w:id="1090" w:name="_Toc446510448"/>
      <w:bookmarkStart w:id="1091" w:name="_Toc372127123"/>
      <w:r>
        <w:rPr>
          <w:rFonts w:hint="eastAsia" w:ascii="宋体" w:hAnsi="宋体"/>
          <w:bCs w:val="0"/>
          <w:color w:val="000000" w:themeColor="text1"/>
          <w:sz w:val="32"/>
          <w14:textFill>
            <w14:solidFill>
              <w14:schemeClr w14:val="tx1"/>
            </w14:solidFill>
          </w14:textFill>
        </w:rPr>
        <w:t>（七）安全生产许可证副本原件扫描件</w:t>
      </w:r>
      <w:bookmarkEnd w:id="1083"/>
      <w:bookmarkEnd w:id="1084"/>
      <w:bookmarkEnd w:id="1085"/>
      <w:bookmarkEnd w:id="1086"/>
      <w:bookmarkEnd w:id="1087"/>
      <w:bookmarkEnd w:id="1088"/>
      <w:bookmarkEnd w:id="1089"/>
      <w:bookmarkEnd w:id="1090"/>
    </w:p>
    <w:p>
      <w:pPr>
        <w:spacing w:line="360" w:lineRule="auto"/>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附施工单位安全生产许可证副本原件扫描件。</w:t>
      </w:r>
    </w:p>
    <w:p>
      <w:pPr>
        <w:spacing w:line="360" w:lineRule="auto"/>
        <w:ind w:firstLine="542" w:firstLineChars="225"/>
        <w:rPr>
          <w:rFonts w:ascii="宋体" w:hAnsi="宋体"/>
          <w:b/>
          <w:color w:val="000000" w:themeColor="text1"/>
          <w:sz w:val="24"/>
          <w14:textFill>
            <w14:solidFill>
              <w14:schemeClr w14:val="tx1"/>
            </w14:solidFill>
          </w14:textFill>
        </w:rPr>
      </w:pPr>
    </w:p>
    <w:p>
      <w:pPr>
        <w:spacing w:line="360" w:lineRule="auto"/>
        <w:ind w:firstLine="542" w:firstLineChars="225"/>
        <w:rPr>
          <w:rFonts w:ascii="宋体" w:hAnsi="宋体"/>
          <w:b/>
          <w:color w:val="000000" w:themeColor="text1"/>
          <w:sz w:val="24"/>
          <w14:textFill>
            <w14:solidFill>
              <w14:schemeClr w14:val="tx1"/>
            </w14:solidFill>
          </w14:textFill>
        </w:rPr>
      </w:pPr>
    </w:p>
    <w:bookmarkEnd w:id="1091"/>
    <w:p>
      <w:pPr>
        <w:pStyle w:val="7"/>
        <w:jc w:val="center"/>
        <w:rPr>
          <w:rFonts w:ascii="宋体" w:hAnsi="宋体"/>
          <w:bCs w:val="0"/>
          <w:color w:val="000000" w:themeColor="text1"/>
          <w:sz w:val="32"/>
          <w14:textFill>
            <w14:solidFill>
              <w14:schemeClr w14:val="tx1"/>
            </w14:solidFill>
          </w14:textFill>
        </w:rPr>
      </w:pPr>
      <w:bookmarkStart w:id="1092" w:name="_Toc116261171"/>
      <w:bookmarkStart w:id="1093" w:name="_Toc99567488"/>
      <w:bookmarkStart w:id="1094" w:name="_Toc410210889"/>
      <w:bookmarkStart w:id="1095" w:name="_Toc414280429"/>
      <w:bookmarkStart w:id="1096" w:name="_Toc446510450"/>
      <w:bookmarkStart w:id="1097" w:name="_Toc99567019"/>
      <w:bookmarkStart w:id="1098" w:name="_Toc529798007"/>
      <w:bookmarkStart w:id="1099" w:name="_Toc136956381"/>
      <w:r>
        <w:rPr>
          <w:rFonts w:hint="eastAsia" w:ascii="宋体" w:hAnsi="宋体"/>
          <w:bCs w:val="0"/>
          <w:color w:val="000000" w:themeColor="text1"/>
          <w:sz w:val="32"/>
          <w14:textFill>
            <w14:solidFill>
              <w14:schemeClr w14:val="tx1"/>
            </w14:solidFill>
          </w14:textFill>
        </w:rPr>
        <w:t>（八）投标人财务报表及审计报告扫描件</w:t>
      </w:r>
      <w:bookmarkEnd w:id="1092"/>
      <w:bookmarkEnd w:id="1093"/>
      <w:bookmarkEnd w:id="1094"/>
      <w:bookmarkEnd w:id="1095"/>
      <w:bookmarkEnd w:id="1096"/>
      <w:bookmarkEnd w:id="1097"/>
      <w:bookmarkEnd w:id="1098"/>
      <w:bookmarkEnd w:id="1099"/>
    </w:p>
    <w:p>
      <w:pPr>
        <w:autoSpaceDE w:val="0"/>
        <w:autoSpaceDN w:val="0"/>
        <w:adjustRightInd w:val="0"/>
        <w:spacing w:line="360" w:lineRule="auto"/>
        <w:ind w:firstLine="480" w:firstLineChars="200"/>
        <w:rPr>
          <w:rFonts w:ascii="宋体" w:hAnsi="宋体"/>
          <w:snapToGrid w:val="0"/>
          <w:kern w:val="0"/>
          <w:sz w:val="24"/>
        </w:rPr>
      </w:pPr>
      <w:r>
        <w:rPr>
          <w:rFonts w:ascii="宋体" w:hAnsi="宋体"/>
          <w:snapToGrid w:val="0"/>
          <w:kern w:val="0"/>
          <w:sz w:val="24"/>
        </w:rPr>
        <w:t>投标人应具有良好的财务状况，具备近三年（2019-2021</w:t>
      </w:r>
      <w:r>
        <w:rPr>
          <w:rFonts w:hint="eastAsia" w:ascii="宋体" w:hAnsi="宋体"/>
          <w:snapToGrid w:val="0"/>
          <w:kern w:val="0"/>
          <w:sz w:val="24"/>
        </w:rPr>
        <w:t>）经会计师事务所或审计机构审计的财务报表及审计报告（成立时间不足三年的，自成立初年提供），联合体牵头方和成员方均需提供。</w:t>
      </w:r>
    </w:p>
    <w:p>
      <w:pPr>
        <w:spacing w:line="360" w:lineRule="auto"/>
        <w:ind w:firstLine="480" w:firstLineChars="200"/>
        <w:rPr>
          <w:rFonts w:ascii="宋体" w:hAnsi="宋体"/>
          <w:color w:val="000000" w:themeColor="text1"/>
          <w:sz w:val="24"/>
          <w14:textFill>
            <w14:solidFill>
              <w14:schemeClr w14:val="tx1"/>
            </w14:solidFill>
          </w14:textFill>
        </w:rPr>
      </w:pPr>
    </w:p>
    <w:p>
      <w:pPr>
        <w:widowControl/>
        <w:jc w:val="left"/>
        <w:rPr>
          <w:rFonts w:ascii="宋体" w:hAnsi="宋体"/>
          <w:b/>
          <w:color w:val="000000" w:themeColor="text1"/>
          <w:kern w:val="0"/>
          <w:sz w:val="32"/>
          <w:szCs w:val="32"/>
          <w14:textFill>
            <w14:solidFill>
              <w14:schemeClr w14:val="tx1"/>
            </w14:solidFill>
          </w14:textFill>
        </w:rPr>
      </w:pPr>
      <w:bookmarkStart w:id="1100" w:name="_Toc224363914"/>
      <w:bookmarkStart w:id="1101" w:name="_Toc229583232"/>
      <w:bookmarkStart w:id="1102" w:name="_Toc414280430"/>
      <w:bookmarkStart w:id="1103" w:name="_Toc446510451"/>
      <w:bookmarkStart w:id="1104" w:name="_Toc410210890"/>
      <w:bookmarkStart w:id="1105" w:name="_Toc529798008"/>
    </w:p>
    <w:p>
      <w:pPr>
        <w:pStyle w:val="7"/>
        <w:jc w:val="center"/>
        <w:rPr>
          <w:rFonts w:ascii="宋体" w:hAnsi="宋体"/>
          <w:bCs w:val="0"/>
          <w:color w:val="000000" w:themeColor="text1"/>
          <w:sz w:val="32"/>
          <w14:textFill>
            <w14:solidFill>
              <w14:schemeClr w14:val="tx1"/>
            </w14:solidFill>
          </w14:textFill>
        </w:rPr>
      </w:pPr>
      <w:r>
        <w:rPr>
          <w:rFonts w:ascii="宋体" w:hAnsi="宋体"/>
          <w:bCs w:val="0"/>
          <w:color w:val="000000" w:themeColor="text1"/>
          <w:sz w:val="32"/>
          <w14:textFill>
            <w14:solidFill>
              <w14:schemeClr w14:val="tx1"/>
            </w14:solidFill>
          </w14:textFill>
        </w:rPr>
        <w:br w:type="page"/>
      </w:r>
      <w:bookmarkEnd w:id="1100"/>
      <w:bookmarkEnd w:id="1101"/>
      <w:bookmarkEnd w:id="1102"/>
      <w:bookmarkEnd w:id="1103"/>
      <w:bookmarkEnd w:id="1104"/>
      <w:bookmarkEnd w:id="1105"/>
      <w:bookmarkStart w:id="1106" w:name="_Toc516176628"/>
      <w:bookmarkStart w:id="1107" w:name="_Toc99567490"/>
      <w:bookmarkStart w:id="1108" w:name="_Toc116261172"/>
      <w:bookmarkStart w:id="1109" w:name="_Toc136956382"/>
      <w:bookmarkStart w:id="1110" w:name="_Toc529798009"/>
      <w:bookmarkStart w:id="1111" w:name="_Toc99567021"/>
      <w:bookmarkStart w:id="1112" w:name="_Toc414280431"/>
      <w:bookmarkStart w:id="1113" w:name="_Toc410210891"/>
      <w:r>
        <w:rPr>
          <w:rFonts w:hint="eastAsia" w:ascii="宋体" w:hAnsi="宋体"/>
          <w:bCs w:val="0"/>
          <w:color w:val="000000" w:themeColor="text1"/>
          <w:sz w:val="32"/>
          <w14:textFill>
            <w14:solidFill>
              <w14:schemeClr w14:val="tx1"/>
            </w14:solidFill>
          </w14:textFill>
        </w:rPr>
        <w:t>（九）企业信誉情况</w:t>
      </w:r>
      <w:bookmarkEnd w:id="1106"/>
      <w:r>
        <w:rPr>
          <w:rFonts w:hint="eastAsia" w:ascii="宋体" w:hAnsi="宋体"/>
          <w:bCs w:val="0"/>
          <w:color w:val="000000" w:themeColor="text1"/>
          <w:sz w:val="32"/>
          <w14:textFill>
            <w14:solidFill>
              <w14:schemeClr w14:val="tx1"/>
            </w14:solidFill>
          </w14:textFill>
        </w:rPr>
        <w:t>说明</w:t>
      </w:r>
      <w:bookmarkEnd w:id="1107"/>
      <w:bookmarkEnd w:id="1108"/>
      <w:bookmarkEnd w:id="1109"/>
      <w:bookmarkEnd w:id="1110"/>
      <w:bookmarkEnd w:id="1111"/>
    </w:p>
    <w:p>
      <w:pPr>
        <w:spacing w:before="120" w:beforeLines="50" w:after="240" w:afterLines="100"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应提供联合体牵头人及成员单位近三年（</w:t>
      </w:r>
      <w:r>
        <w:rPr>
          <w:rFonts w:ascii="宋体" w:hAnsi="宋体"/>
          <w:color w:val="000000" w:themeColor="text1"/>
          <w:sz w:val="24"/>
          <w14:textFill>
            <w14:solidFill>
              <w14:schemeClr w14:val="tx1"/>
            </w14:solidFill>
          </w14:textFill>
        </w:rPr>
        <w:t>2019年1月1日起至今）的信誉情况。</w:t>
      </w:r>
    </w:p>
    <w:p>
      <w:pPr>
        <w:spacing w:line="440" w:lineRule="exact"/>
        <w:ind w:left="660" w:leftChars="200" w:hanging="240" w:hanging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1、近年企业不良行为记录情况</w:t>
      </w:r>
      <w:r>
        <w:rPr>
          <w:rFonts w:hint="eastAsia" w:ascii="宋体" w:hAnsi="宋体"/>
          <w:color w:val="000000" w:themeColor="text1"/>
          <w:sz w:val="24"/>
          <w14:textFill>
            <w14:solidFill>
              <w14:schemeClr w14:val="tx1"/>
            </w14:solidFill>
          </w14:textFill>
        </w:rPr>
        <w:t>；</w:t>
      </w:r>
    </w:p>
    <w:p>
      <w:pPr>
        <w:spacing w:line="440" w:lineRule="exact"/>
        <w:ind w:left="660" w:leftChars="200" w:hanging="240" w:hanging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2、正在实施</w:t>
      </w:r>
      <w:r>
        <w:rPr>
          <w:rFonts w:hint="eastAsia" w:ascii="宋体" w:hAnsi="宋体"/>
          <w:color w:val="000000" w:themeColor="text1"/>
          <w:sz w:val="24"/>
          <w14:textFill>
            <w14:solidFill>
              <w14:schemeClr w14:val="tx1"/>
            </w14:solidFill>
          </w14:textFill>
        </w:rPr>
        <w:t>项目以及近年已完项目合同履行情况；</w:t>
      </w:r>
    </w:p>
    <w:p>
      <w:pPr>
        <w:spacing w:line="440" w:lineRule="exact"/>
        <w:ind w:left="660" w:leftChars="200" w:hanging="240" w:hanging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3、其  </w:t>
      </w:r>
      <w:r>
        <w:rPr>
          <w:rFonts w:hint="eastAsia" w:ascii="宋体" w:hAnsi="宋体"/>
          <w:color w:val="000000" w:themeColor="text1"/>
          <w:sz w:val="24"/>
          <w14:textFill>
            <w14:solidFill>
              <w14:schemeClr w14:val="tx1"/>
            </w14:solidFill>
          </w14:textFill>
        </w:rPr>
        <w:t>他。</w:t>
      </w:r>
    </w:p>
    <w:p>
      <w:pPr>
        <w:spacing w:line="440" w:lineRule="exact"/>
        <w:ind w:left="630" w:hanging="630" w:hangingChars="300"/>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r>
        <w:rPr>
          <w:rFonts w:ascii="宋体" w:hAnsi="宋体"/>
          <w:color w:val="000000" w:themeColor="text1"/>
          <w:szCs w:val="21"/>
          <w14:textFill>
            <w14:solidFill>
              <w14:schemeClr w14:val="tx1"/>
            </w14:solidFill>
          </w14:textFill>
        </w:rPr>
        <w:t>1、附信誉承诺书及“信用中国”网站(</w:t>
      </w:r>
      <w:r>
        <w:fldChar w:fldCharType="begin"/>
      </w:r>
      <w:r>
        <w:instrText xml:space="preserve"> HYPERLINK "http://www.creditchina.gov.cn" </w:instrText>
      </w:r>
      <w:r>
        <w:fldChar w:fldCharType="separate"/>
      </w:r>
      <w:r>
        <w:rPr>
          <w:rStyle w:val="73"/>
          <w:rFonts w:ascii="宋体" w:hAnsi="宋体"/>
          <w:color w:val="000000" w:themeColor="text1"/>
          <w:szCs w:val="21"/>
          <w14:textFill>
            <w14:solidFill>
              <w14:schemeClr w14:val="tx1"/>
            </w14:solidFill>
          </w14:textFill>
        </w:rPr>
        <w:t>www.creditchina.gov.cn</w:t>
      </w:r>
      <w:r>
        <w:rPr>
          <w:rStyle w:val="73"/>
          <w:rFonts w:ascii="宋体" w:hAnsi="宋体"/>
          <w:color w:val="000000" w:themeColor="text1"/>
          <w:szCs w:val="21"/>
          <w14:textFill>
            <w14:solidFill>
              <w14:schemeClr w14:val="tx1"/>
            </w14:solidFill>
          </w14:textFill>
        </w:rPr>
        <w:fldChar w:fldCharType="end"/>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“国家企业信用信息公示系统”网站（www.gsxt.gov.cn/index.html</w:t>
      </w:r>
      <w:r>
        <w:rPr>
          <w:rFonts w:hint="eastAsia" w:ascii="宋体" w:hAnsi="宋体"/>
          <w:color w:val="000000" w:themeColor="text1"/>
          <w:szCs w:val="21"/>
          <w14:textFill>
            <w14:solidFill>
              <w14:schemeClr w14:val="tx1"/>
            </w14:solidFill>
          </w14:textFill>
        </w:rPr>
        <w:t>）查询结果截图。</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3、合同履行情况主要是投标人近年所接项目和已完项目是否按合同约定的服务期限、服务质量等履行合同义务，对未完合同履行情况还应重点说明非不可抗力解除合同（如果有）的原因等具体情况，等等。</w:t>
      </w:r>
    </w:p>
    <w:p>
      <w:pPr>
        <w:rPr>
          <w:rFonts w:ascii="宋体" w:hAnsi="宋体"/>
          <w:b/>
          <w:color w:val="000000" w:themeColor="text1"/>
          <w:szCs w:val="21"/>
          <w14:textFill>
            <w14:solidFill>
              <w14:schemeClr w14:val="tx1"/>
            </w14:solidFill>
          </w14:textFill>
        </w:rPr>
      </w:pPr>
    </w:p>
    <w:p>
      <w:pPr>
        <w:rPr>
          <w:rFonts w:ascii="宋体" w:hAnsi="宋体"/>
          <w:b/>
          <w:color w:val="000000" w:themeColor="text1"/>
          <w:szCs w:val="21"/>
          <w14:textFill>
            <w14:solidFill>
              <w14:schemeClr w14:val="tx1"/>
            </w14:solidFill>
          </w14:textFill>
        </w:rPr>
      </w:pPr>
    </w:p>
    <w:p>
      <w:pPr>
        <w:rPr>
          <w:rFonts w:ascii="宋体" w:hAnsi="宋体"/>
          <w:b/>
          <w:color w:val="000000" w:themeColor="text1"/>
          <w:szCs w:val="21"/>
          <w14:textFill>
            <w14:solidFill>
              <w14:schemeClr w14:val="tx1"/>
            </w14:solidFill>
          </w14:textFill>
        </w:rPr>
      </w:pPr>
    </w:p>
    <w:p>
      <w:pPr>
        <w:widowControl/>
        <w:jc w:val="left"/>
        <w:rPr>
          <w:rFonts w:ascii="宋体" w:hAnsi="宋体"/>
          <w:b/>
          <w:color w:val="000000" w:themeColor="text1"/>
          <w:kern w:val="0"/>
          <w:sz w:val="32"/>
          <w:szCs w:val="32"/>
          <w14:textFill>
            <w14:solidFill>
              <w14:schemeClr w14:val="tx1"/>
            </w14:solidFill>
          </w14:textFill>
        </w:rPr>
      </w:pPr>
      <w:bookmarkStart w:id="1114" w:name="_Toc371610738"/>
      <w:bookmarkStart w:id="1115" w:name="_Toc516176630"/>
      <w:bookmarkStart w:id="1116" w:name="_Toc513801993"/>
      <w:bookmarkStart w:id="1117" w:name="_Toc529798010"/>
      <w:bookmarkStart w:id="1118" w:name="_Toc371247317"/>
      <w:bookmarkStart w:id="1119" w:name="_Toc514138999"/>
    </w:p>
    <w:p>
      <w:pPr>
        <w:pStyle w:val="7"/>
        <w:jc w:val="center"/>
        <w:rPr>
          <w:rFonts w:ascii="宋体" w:hAnsi="宋体"/>
          <w:bCs w:val="0"/>
          <w:color w:val="000000" w:themeColor="text1"/>
          <w:sz w:val="32"/>
          <w14:textFill>
            <w14:solidFill>
              <w14:schemeClr w14:val="tx1"/>
            </w14:solidFill>
          </w14:textFill>
        </w:rPr>
      </w:pPr>
      <w:r>
        <w:rPr>
          <w:rFonts w:ascii="宋体" w:hAnsi="宋体"/>
          <w:bCs w:val="0"/>
          <w:color w:val="000000" w:themeColor="text1"/>
          <w:sz w:val="32"/>
          <w14:textFill>
            <w14:solidFill>
              <w14:schemeClr w14:val="tx1"/>
            </w14:solidFill>
          </w14:textFill>
        </w:rPr>
        <w:br w:type="page"/>
      </w:r>
      <w:bookmarkStart w:id="1120" w:name="_Toc116261173"/>
      <w:bookmarkStart w:id="1121" w:name="_Toc99567022"/>
      <w:bookmarkStart w:id="1122" w:name="_Toc99567491"/>
      <w:bookmarkStart w:id="1123" w:name="_Toc136956383"/>
      <w:r>
        <w:rPr>
          <w:rFonts w:hint="eastAsia" w:ascii="宋体" w:hAnsi="宋体"/>
          <w:bCs w:val="0"/>
          <w:color w:val="000000" w:themeColor="text1"/>
          <w:sz w:val="32"/>
          <w14:textFill>
            <w14:solidFill>
              <w14:schemeClr w14:val="tx1"/>
            </w14:solidFill>
          </w14:textFill>
        </w:rPr>
        <w:t>（十）近三年发生的诉讼及仲裁情况</w:t>
      </w:r>
      <w:bookmarkEnd w:id="1114"/>
      <w:bookmarkEnd w:id="1115"/>
      <w:bookmarkEnd w:id="1116"/>
      <w:bookmarkEnd w:id="1117"/>
      <w:bookmarkEnd w:id="1118"/>
      <w:bookmarkEnd w:id="1119"/>
      <w:bookmarkEnd w:id="1120"/>
      <w:bookmarkEnd w:id="1121"/>
      <w:bookmarkEnd w:id="1122"/>
      <w:bookmarkEnd w:id="1123"/>
    </w:p>
    <w:p>
      <w:pPr>
        <w:pStyle w:val="1015"/>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无固定格式，由投标人自行文字说明。</w:t>
      </w:r>
    </w:p>
    <w:p>
      <w:pPr>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hint="eastAsia" w:hAnsi="宋体"/>
          <w:b/>
          <w:color w:val="000000" w:themeColor="text1"/>
          <w:sz w:val="24"/>
          <w14:textFill>
            <w14:solidFill>
              <w14:schemeClr w14:val="tx1"/>
            </w14:solidFill>
          </w14:textFill>
        </w:rPr>
        <w:t>若为联合投标时，</w:t>
      </w:r>
      <w:r>
        <w:rPr>
          <w:rFonts w:hint="eastAsia" w:ascii="宋体" w:hAnsi="宋体"/>
          <w:b/>
          <w:color w:val="000000" w:themeColor="text1"/>
          <w:sz w:val="24"/>
          <w14:textFill>
            <w14:solidFill>
              <w14:schemeClr w14:val="tx1"/>
            </w14:solidFill>
          </w14:textFill>
        </w:rPr>
        <w:t>由联合体牵头人提供即可。</w:t>
      </w:r>
    </w:p>
    <w:p>
      <w:pPr>
        <w:tabs>
          <w:tab w:val="left" w:pos="0"/>
        </w:tabs>
        <w:spacing w:line="500" w:lineRule="exact"/>
        <w:ind w:right="-212" w:firstLine="100"/>
        <w:rPr>
          <w:rFonts w:ascii="宋体" w:hAnsi="宋体"/>
          <w:color w:val="000000" w:themeColor="text1"/>
          <w:sz w:val="24"/>
          <w14:textFill>
            <w14:solidFill>
              <w14:schemeClr w14:val="tx1"/>
            </w14:solidFill>
          </w14:textFill>
        </w:rPr>
      </w:pPr>
    </w:p>
    <w:p>
      <w:pPr>
        <w:tabs>
          <w:tab w:val="left" w:pos="0"/>
        </w:tabs>
        <w:spacing w:line="500" w:lineRule="exact"/>
        <w:ind w:right="-212" w:firstLine="426"/>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ascii="宋体" w:hAnsi="宋体"/>
          <w:color w:val="000000" w:themeColor="text1"/>
          <w:sz w:val="24"/>
          <w:u w:val="single"/>
          <w14:textFill>
            <w14:solidFill>
              <w14:schemeClr w14:val="tx1"/>
            </w14:solidFill>
          </w14:textFill>
        </w:rPr>
        <w:t xml:space="preserve">                           （电子签章）</w:t>
      </w:r>
    </w:p>
    <w:p>
      <w:pPr>
        <w:tabs>
          <w:tab w:val="left" w:pos="0"/>
        </w:tabs>
        <w:spacing w:line="500" w:lineRule="exact"/>
        <w:ind w:right="-212" w:firstLine="426"/>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ascii="宋体" w:hAnsi="宋体"/>
          <w:color w:val="000000" w:themeColor="text1"/>
          <w:sz w:val="24"/>
          <w:u w:val="single"/>
          <w14:textFill>
            <w14:solidFill>
              <w14:schemeClr w14:val="tx1"/>
            </w14:solidFill>
          </w14:textFill>
        </w:rPr>
        <w:t xml:space="preserve">                       （电子签章）</w:t>
      </w:r>
    </w:p>
    <w:p>
      <w:pPr>
        <w:tabs>
          <w:tab w:val="left" w:pos="0"/>
        </w:tabs>
        <w:spacing w:line="500" w:lineRule="exact"/>
        <w:ind w:right="-212" w:firstLine="426"/>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left="-359" w:leftChars="-171" w:firstLine="805" w:firstLineChars="334"/>
        <w:rPr>
          <w:rFonts w:ascii="宋体" w:hAnsi="宋体"/>
          <w:b/>
          <w:color w:val="000000" w:themeColor="text1"/>
          <w:sz w:val="24"/>
          <w14:textFill>
            <w14:solidFill>
              <w14:schemeClr w14:val="tx1"/>
            </w14:solidFill>
          </w14:textFill>
        </w:rPr>
      </w:pPr>
    </w:p>
    <w:p>
      <w:pPr>
        <w:spacing w:line="360" w:lineRule="auto"/>
        <w:ind w:left="-359" w:leftChars="-171" w:firstLine="658" w:firstLineChars="312"/>
        <w:rPr>
          <w:rFonts w:ascii="宋体" w:hAnsi="宋体"/>
          <w:b/>
          <w:color w:val="000000" w:themeColor="text1"/>
          <w:szCs w:val="21"/>
          <w14:textFill>
            <w14:solidFill>
              <w14:schemeClr w14:val="tx1"/>
            </w14:solidFill>
          </w14:textFill>
        </w:rPr>
      </w:pPr>
    </w:p>
    <w:p>
      <w:pPr>
        <w:pStyle w:val="7"/>
        <w:jc w:val="center"/>
        <w:rPr>
          <w:rFonts w:ascii="宋体" w:hAnsi="宋体"/>
          <w:bCs w:val="0"/>
          <w:color w:val="000000" w:themeColor="text1"/>
          <w:sz w:val="32"/>
          <w14:textFill>
            <w14:solidFill>
              <w14:schemeClr w14:val="tx1"/>
            </w14:solidFill>
          </w14:textFill>
        </w:rPr>
      </w:pPr>
      <w:bookmarkStart w:id="1124" w:name="_Toc529798011"/>
      <w:bookmarkStart w:id="1125" w:name="_Toc99567023"/>
      <w:bookmarkStart w:id="1126" w:name="_Toc99567492"/>
      <w:bookmarkStart w:id="1127" w:name="_Toc513801994"/>
      <w:bookmarkStart w:id="1128" w:name="_Toc514139000"/>
      <w:bookmarkStart w:id="1129" w:name="_Toc116261174"/>
      <w:bookmarkStart w:id="1130" w:name="_Toc371610739"/>
      <w:bookmarkStart w:id="1131" w:name="_Toc516176631"/>
      <w:bookmarkStart w:id="1132" w:name="_Toc136956384"/>
      <w:r>
        <w:rPr>
          <w:rFonts w:hint="eastAsia" w:ascii="宋体" w:hAnsi="宋体"/>
          <w:bCs w:val="0"/>
          <w:color w:val="000000" w:themeColor="text1"/>
          <w:sz w:val="32"/>
          <w14:textFill>
            <w14:solidFill>
              <w14:schemeClr w14:val="tx1"/>
            </w14:solidFill>
          </w14:textFill>
        </w:rPr>
        <w:t>（十一）廉洁自律书</w:t>
      </w:r>
      <w:bookmarkEnd w:id="1124"/>
      <w:bookmarkEnd w:id="1125"/>
      <w:bookmarkEnd w:id="1126"/>
      <w:bookmarkEnd w:id="1127"/>
      <w:bookmarkEnd w:id="1128"/>
      <w:bookmarkEnd w:id="1129"/>
      <w:bookmarkEnd w:id="1130"/>
      <w:bookmarkEnd w:id="1131"/>
      <w:bookmarkEnd w:id="1132"/>
    </w:p>
    <w:p>
      <w:pPr>
        <w:pStyle w:val="1015"/>
        <w:widowControl/>
        <w:tabs>
          <w:tab w:val="left" w:pos="420"/>
          <w:tab w:val="clear" w:pos="0"/>
        </w:tabs>
        <w:autoSpaceDE/>
        <w:adjustRightInd/>
        <w:spacing w:line="360" w:lineRule="auto"/>
        <w:ind w:firstLine="523" w:firstLineChars="218"/>
        <w:jc w:val="both"/>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从成立</w:t>
      </w:r>
      <w:r>
        <w:rPr>
          <w:rFonts w:ascii="宋体" w:hAnsi="宋体"/>
          <w:color w:val="000000" w:themeColor="text1"/>
          <w:sz w:val="24"/>
          <w:szCs w:val="24"/>
          <w14:textFill>
            <w14:solidFill>
              <w14:schemeClr w14:val="tx1"/>
            </w14:solidFill>
          </w14:textFill>
        </w:rPr>
        <w:t>至今，我公司在经营活动和参加工程招投标过程中严格遵守《中华人民共和国建筑法》、《</w:t>
      </w:r>
      <w:bookmarkStart w:id="1233" w:name="_GoBack"/>
      <w:bookmarkEnd w:id="1233"/>
      <w:r>
        <w:rPr>
          <w:rFonts w:hint="eastAsia" w:ascii="宋体" w:hAnsi="宋体"/>
          <w:color w:val="000000" w:themeColor="text1"/>
          <w:sz w:val="24"/>
          <w:szCs w:val="24"/>
          <w:lang w:eastAsia="zh-CN"/>
          <w14:textFill>
            <w14:solidFill>
              <w14:schemeClr w14:val="tx1"/>
            </w14:solidFill>
          </w14:textFill>
        </w:rPr>
        <w:t>中华人民共和国招标投标法</w:t>
      </w:r>
      <w:r>
        <w:rPr>
          <w:rFonts w:ascii="宋体" w:hAnsi="宋体"/>
          <w:color w:val="000000" w:themeColor="text1"/>
          <w:sz w:val="24"/>
          <w:szCs w:val="24"/>
          <w14:textFill>
            <w14:solidFill>
              <w14:schemeClr w14:val="tx1"/>
            </w14:solidFill>
          </w14:textFill>
        </w:rPr>
        <w:t>》、《中华人民共和国民法典》、昆明市建字[2006]48</w:t>
      </w:r>
      <w:r>
        <w:rPr>
          <w:rFonts w:hint="eastAsia" w:ascii="宋体" w:hAnsi="宋体"/>
          <w:color w:val="000000" w:themeColor="text1"/>
          <w:sz w:val="24"/>
          <w:szCs w:val="24"/>
          <w14:textFill>
            <w14:solidFill>
              <w14:schemeClr w14:val="tx1"/>
            </w14:solidFill>
          </w14:textFill>
        </w:rPr>
        <w:t>号文《昆明建筑市场廉政准入规定（试行）》等有关规定，无商业贿赂等违法违规行为发生。</w:t>
      </w:r>
    </w:p>
    <w:p>
      <w:pPr>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hint="eastAsia" w:hAnsi="宋体"/>
          <w:b/>
          <w:color w:val="000000" w:themeColor="text1"/>
          <w:sz w:val="24"/>
          <w14:textFill>
            <w14:solidFill>
              <w14:schemeClr w14:val="tx1"/>
            </w14:solidFill>
          </w14:textFill>
        </w:rPr>
        <w:t>若为联合投标时，</w:t>
      </w:r>
      <w:r>
        <w:rPr>
          <w:rFonts w:hint="eastAsia" w:ascii="宋体" w:hAnsi="宋体"/>
          <w:b/>
          <w:color w:val="000000" w:themeColor="text1"/>
          <w:sz w:val="24"/>
          <w14:textFill>
            <w14:solidFill>
              <w14:schemeClr w14:val="tx1"/>
            </w14:solidFill>
          </w14:textFill>
        </w:rPr>
        <w:t>由联合体牵头人提供即可。</w:t>
      </w:r>
    </w:p>
    <w:p>
      <w:pPr>
        <w:spacing w:line="360" w:lineRule="auto"/>
        <w:ind w:firstLine="384" w:firstLineChars="160"/>
        <w:rPr>
          <w:rFonts w:ascii="宋体" w:hAnsi="宋体"/>
          <w:color w:val="000000" w:themeColor="text1"/>
          <w:sz w:val="24"/>
          <w14:textFill>
            <w14:solidFill>
              <w14:schemeClr w14:val="tx1"/>
            </w14:solidFill>
          </w14:textFill>
        </w:rPr>
      </w:pPr>
    </w:p>
    <w:p>
      <w:pPr>
        <w:tabs>
          <w:tab w:val="left" w:pos="0"/>
        </w:tabs>
        <w:spacing w:line="500" w:lineRule="exact"/>
        <w:ind w:right="-212"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ascii="宋体" w:hAnsi="宋体"/>
          <w:color w:val="000000" w:themeColor="text1"/>
          <w:sz w:val="24"/>
          <w:u w:val="single"/>
          <w14:textFill>
            <w14:solidFill>
              <w14:schemeClr w14:val="tx1"/>
            </w14:solidFill>
          </w14:textFill>
        </w:rPr>
        <w:t xml:space="preserve">                           （电子签章）</w:t>
      </w:r>
    </w:p>
    <w:p>
      <w:pPr>
        <w:tabs>
          <w:tab w:val="left" w:pos="0"/>
        </w:tabs>
        <w:spacing w:line="500" w:lineRule="exact"/>
        <w:ind w:right="-212"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ascii="宋体" w:hAnsi="宋体"/>
          <w:color w:val="000000" w:themeColor="text1"/>
          <w:sz w:val="24"/>
          <w:u w:val="single"/>
          <w14:textFill>
            <w14:solidFill>
              <w14:schemeClr w14:val="tx1"/>
            </w14:solidFill>
          </w14:textFill>
        </w:rPr>
        <w:t xml:space="preserve">                       （电子签章）</w:t>
      </w:r>
    </w:p>
    <w:p>
      <w:pPr>
        <w:tabs>
          <w:tab w:val="left" w:pos="0"/>
        </w:tabs>
        <w:spacing w:line="500" w:lineRule="exact"/>
        <w:ind w:right="-212"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rFonts w:ascii="宋体" w:hAnsi="宋体"/>
          <w:color w:val="000000" w:themeColor="text1"/>
          <w:sz w:val="24"/>
          <w14:textFill>
            <w14:solidFill>
              <w14:schemeClr w14:val="tx1"/>
            </w14:solidFill>
          </w14:textFill>
        </w:rPr>
      </w:pPr>
    </w:p>
    <w:p>
      <w:pPr>
        <w:pStyle w:val="16"/>
        <w:spacing w:line="360" w:lineRule="auto"/>
        <w:ind w:firstLine="0"/>
        <w:rPr>
          <w:rFonts w:ascii="宋体" w:hAnsi="宋体"/>
          <w:b/>
          <w:color w:val="000000" w:themeColor="text1"/>
          <w14:textFill>
            <w14:solidFill>
              <w14:schemeClr w14:val="tx1"/>
            </w14:solidFill>
          </w14:textFill>
        </w:rPr>
      </w:pPr>
    </w:p>
    <w:p>
      <w:pPr>
        <w:pStyle w:val="7"/>
        <w:ind w:firstLine="700"/>
        <w:jc w:val="center"/>
        <w:rPr>
          <w:rFonts w:ascii="宋体" w:hAnsi="宋体"/>
          <w:color w:val="000000" w:themeColor="text1"/>
          <w:sz w:val="24"/>
          <w:szCs w:val="24"/>
          <w14:textFill>
            <w14:solidFill>
              <w14:schemeClr w14:val="tx1"/>
            </w14:solidFill>
          </w14:textFill>
        </w:rPr>
      </w:pPr>
      <w:bookmarkStart w:id="1133" w:name="_Toc371610741"/>
      <w:bookmarkStart w:id="1134" w:name="_Toc514139002"/>
      <w:bookmarkStart w:id="1135" w:name="_Toc513801996"/>
      <w:bookmarkStart w:id="1136" w:name="_Toc529798013"/>
      <w:bookmarkStart w:id="1137" w:name="_Toc371247314"/>
      <w:bookmarkStart w:id="1138" w:name="_Toc516176633"/>
      <w:r>
        <w:rPr>
          <w:rFonts w:ascii="宋体" w:hAnsi="宋体"/>
          <w:color w:val="000000" w:themeColor="text1"/>
          <w:sz w:val="32"/>
          <w14:textFill>
            <w14:solidFill>
              <w14:schemeClr w14:val="tx1"/>
            </w14:solidFill>
          </w14:textFill>
        </w:rPr>
        <w:br w:type="page"/>
      </w:r>
      <w:bookmarkStart w:id="1139" w:name="_Toc99567494"/>
      <w:bookmarkStart w:id="1140" w:name="_Toc99567025"/>
    </w:p>
    <w:p>
      <w:pPr>
        <w:pStyle w:val="7"/>
        <w:jc w:val="center"/>
        <w:rPr>
          <w:rFonts w:ascii="宋体" w:hAnsi="宋体"/>
          <w:bCs w:val="0"/>
          <w:color w:val="000000" w:themeColor="text1"/>
          <w:sz w:val="32"/>
          <w14:textFill>
            <w14:solidFill>
              <w14:schemeClr w14:val="tx1"/>
            </w14:solidFill>
          </w14:textFill>
        </w:rPr>
      </w:pPr>
      <w:bookmarkStart w:id="1141" w:name="_Toc116261177"/>
      <w:bookmarkStart w:id="1142" w:name="_Toc136956385"/>
      <w:r>
        <w:rPr>
          <w:rFonts w:hint="eastAsia" w:ascii="宋体" w:hAnsi="宋体"/>
          <w:bCs w:val="0"/>
          <w:color w:val="000000" w:themeColor="text1"/>
          <w:sz w:val="32"/>
          <w14:textFill>
            <w14:solidFill>
              <w14:schemeClr w14:val="tx1"/>
            </w14:solidFill>
          </w14:textFill>
        </w:rPr>
        <w:t>（十二）拟派人员不更换、不缺失承诺</w:t>
      </w:r>
      <w:bookmarkEnd w:id="1133"/>
      <w:bookmarkEnd w:id="1134"/>
      <w:bookmarkEnd w:id="1135"/>
      <w:bookmarkEnd w:id="1136"/>
      <w:bookmarkEnd w:id="1137"/>
      <w:bookmarkEnd w:id="1138"/>
      <w:bookmarkEnd w:id="1139"/>
      <w:bookmarkEnd w:id="1140"/>
      <w:bookmarkEnd w:id="1141"/>
      <w:bookmarkEnd w:id="1142"/>
    </w:p>
    <w:p>
      <w:pPr>
        <w:spacing w:line="44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ascii="宋体" w:hAnsi="宋体"/>
          <w:color w:val="000000" w:themeColor="text1"/>
          <w:sz w:val="24"/>
          <w:u w:val="single"/>
          <w14:textFill>
            <w14:solidFill>
              <w14:schemeClr w14:val="tx1"/>
            </w14:solidFill>
          </w14:textFill>
        </w:rPr>
        <w:t xml:space="preserve">             招标人名称          </w:t>
      </w:r>
    </w:p>
    <w:p>
      <w:pPr>
        <w:spacing w:line="440" w:lineRule="exact"/>
        <w:ind w:firstLine="480" w:firstLineChars="200"/>
        <w:rPr>
          <w:rFonts w:ascii="宋体" w:hAnsi="宋体"/>
          <w:color w:val="000000" w:themeColor="text1"/>
          <w:sz w:val="24"/>
          <w:u w:val="single"/>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、若我方有幸中标，中标后项目负责人、主要人员未经招标人同意不得进行更换。如果确因特殊原因需要更换，则须报经招标人同意后方可更换且更换人员须与原人员具备相同另外加以每更换一人处以</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元罚款。</w:t>
      </w:r>
    </w:p>
    <w:p>
      <w:pPr>
        <w:spacing w:line="360" w:lineRule="auto"/>
        <w:ind w:firstLine="484" w:firstLineChars="202"/>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、服务承诺：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（包含但不限于以上内容，其余内容由投标人自行补充）</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我方保证上述信息的真实和准确，并愿意承担因我方就此弄虚作假所引起的一切法律后果。</w:t>
      </w:r>
    </w:p>
    <w:p>
      <w:pPr>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hint="eastAsia" w:hAnsi="宋体"/>
          <w:b/>
          <w:color w:val="000000" w:themeColor="text1"/>
          <w:sz w:val="24"/>
          <w14:textFill>
            <w14:solidFill>
              <w14:schemeClr w14:val="tx1"/>
            </w14:solidFill>
          </w14:textFill>
        </w:rPr>
        <w:t>若为联合投标时，</w:t>
      </w:r>
      <w:r>
        <w:rPr>
          <w:rFonts w:hint="eastAsia" w:ascii="宋体" w:hAnsi="宋体"/>
          <w:b/>
          <w:color w:val="000000" w:themeColor="text1"/>
          <w:sz w:val="24"/>
          <w14:textFill>
            <w14:solidFill>
              <w14:schemeClr w14:val="tx1"/>
            </w14:solidFill>
          </w14:textFill>
        </w:rPr>
        <w:t>由联合体牵头人提供即可。</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tabs>
          <w:tab w:val="left" w:pos="0"/>
        </w:tabs>
        <w:spacing w:line="500" w:lineRule="exact"/>
        <w:ind w:right="-212" w:firstLine="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ascii="宋体" w:hAnsi="宋体"/>
          <w:color w:val="000000" w:themeColor="text1"/>
          <w:sz w:val="24"/>
          <w:u w:val="single"/>
          <w14:textFill>
            <w14:solidFill>
              <w14:schemeClr w14:val="tx1"/>
            </w14:solidFill>
          </w14:textFill>
        </w:rPr>
        <w:t xml:space="preserve">                           （电子签章）</w:t>
      </w:r>
    </w:p>
    <w:p>
      <w:pPr>
        <w:tabs>
          <w:tab w:val="left" w:pos="0"/>
        </w:tabs>
        <w:spacing w:line="500" w:lineRule="exact"/>
        <w:ind w:right="-212" w:firstLine="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ascii="宋体" w:hAnsi="宋体"/>
          <w:color w:val="000000" w:themeColor="text1"/>
          <w:sz w:val="24"/>
          <w:u w:val="single"/>
          <w14:textFill>
            <w14:solidFill>
              <w14:schemeClr w14:val="tx1"/>
            </w14:solidFill>
          </w14:textFill>
        </w:rPr>
        <w:t xml:space="preserve">                       （电子签章）</w:t>
      </w:r>
    </w:p>
    <w:p>
      <w:pPr>
        <w:tabs>
          <w:tab w:val="left" w:pos="0"/>
        </w:tabs>
        <w:spacing w:line="500" w:lineRule="exact"/>
        <w:ind w:right="-212" w:firstLine="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left="-2" w:leftChars="-1" w:firstLine="410" w:firstLineChars="171"/>
        <w:rPr>
          <w:rFonts w:ascii="宋体" w:hAnsi="宋体"/>
          <w:color w:val="000000" w:themeColor="text1"/>
          <w:sz w:val="24"/>
          <w14:textFill>
            <w14:solidFill>
              <w14:schemeClr w14:val="tx1"/>
            </w14:solidFill>
          </w14:textFill>
        </w:rPr>
      </w:pPr>
    </w:p>
    <w:p>
      <w:pPr>
        <w:pStyle w:val="30"/>
        <w:spacing w:line="600" w:lineRule="exact"/>
        <w:ind w:firstLine="120" w:firstLineChars="50"/>
        <w:rPr>
          <w:rFonts w:hAnsi="宋体"/>
          <w:b/>
          <w:color w:val="000000" w:themeColor="text1"/>
          <w:sz w:val="24"/>
          <w14:textFill>
            <w14:solidFill>
              <w14:schemeClr w14:val="tx1"/>
            </w14:solidFill>
          </w14:textFill>
        </w:rPr>
      </w:pPr>
    </w:p>
    <w:bookmarkEnd w:id="1112"/>
    <w:bookmarkEnd w:id="1113"/>
    <w:p>
      <w:pPr>
        <w:pStyle w:val="7"/>
        <w:jc w:val="center"/>
        <w:rPr>
          <w:rFonts w:ascii="宋体" w:hAnsi="宋体"/>
          <w:bCs w:val="0"/>
          <w:color w:val="000000" w:themeColor="text1"/>
          <w:sz w:val="32"/>
          <w14:textFill>
            <w14:solidFill>
              <w14:schemeClr w14:val="tx1"/>
            </w14:solidFill>
          </w14:textFill>
        </w:rPr>
      </w:pPr>
      <w:bookmarkStart w:id="1143" w:name="_Toc136956386"/>
      <w:bookmarkStart w:id="1144" w:name="_Toc529798015"/>
      <w:bookmarkStart w:id="1145" w:name="_Toc446510454"/>
      <w:bookmarkStart w:id="1146" w:name="_Toc116261178"/>
      <w:bookmarkStart w:id="1147" w:name="_Toc99567495"/>
      <w:bookmarkStart w:id="1148" w:name="_Toc99567026"/>
      <w:r>
        <w:rPr>
          <w:rFonts w:hint="eastAsia" w:ascii="宋体" w:hAnsi="宋体"/>
          <w:bCs w:val="0"/>
          <w:color w:val="000000" w:themeColor="text1"/>
          <w:sz w:val="32"/>
          <w14:textFill>
            <w14:solidFill>
              <w14:schemeClr w14:val="tx1"/>
            </w14:solidFill>
          </w14:textFill>
        </w:rPr>
        <w:t>（十三）</w:t>
      </w:r>
      <w:r>
        <w:rPr>
          <w:rFonts w:ascii="宋体" w:hAnsi="宋体"/>
          <w:bCs w:val="0"/>
          <w:color w:val="000000" w:themeColor="text1"/>
          <w:sz w:val="32"/>
          <w14:textFill>
            <w14:solidFill>
              <w14:schemeClr w14:val="tx1"/>
            </w14:solidFill>
          </w14:textFill>
        </w:rPr>
        <w:t>类似业绩证明材料原件扫描件</w:t>
      </w:r>
      <w:bookmarkEnd w:id="1143"/>
      <w:bookmarkEnd w:id="1144"/>
      <w:bookmarkEnd w:id="1145"/>
      <w:bookmarkEnd w:id="1146"/>
      <w:bookmarkEnd w:id="1147"/>
      <w:bookmarkEnd w:id="1148"/>
    </w:p>
    <w:p>
      <w:pPr>
        <w:ind w:firstLine="720" w:firstLineChars="30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附业绩证明材料原件扫描件。</w:t>
      </w:r>
    </w:p>
    <w:p>
      <w:pPr>
        <w:spacing w:line="360" w:lineRule="auto"/>
        <w:rPr>
          <w:rFonts w:ascii="宋体" w:hAnsi="宋体"/>
          <w:b/>
          <w:color w:val="000000" w:themeColor="text1"/>
          <w:sz w:val="24"/>
          <w14:textFill>
            <w14:solidFill>
              <w14:schemeClr w14:val="tx1"/>
            </w14:solidFill>
          </w14:textFill>
        </w:rPr>
      </w:pPr>
    </w:p>
    <w:p>
      <w:pPr>
        <w:widowControl/>
        <w:jc w:val="left"/>
        <w:rPr>
          <w:rFonts w:ascii="宋体" w:hAnsi="宋体"/>
          <w:b/>
          <w:color w:val="000000" w:themeColor="text1"/>
          <w:kern w:val="0"/>
          <w:sz w:val="32"/>
          <w:szCs w:val="32"/>
          <w14:textFill>
            <w14:solidFill>
              <w14:schemeClr w14:val="tx1"/>
            </w14:solidFill>
          </w14:textFill>
        </w:rPr>
      </w:pPr>
      <w:bookmarkStart w:id="1149" w:name="_Toc529798016"/>
      <w:bookmarkStart w:id="1150" w:name="_Toc446510456"/>
    </w:p>
    <w:p>
      <w:pPr>
        <w:widowControl/>
        <w:jc w:val="left"/>
        <w:rPr>
          <w:rFonts w:ascii="宋体" w:hAnsi="宋体"/>
          <w:b/>
          <w:color w:val="000000" w:themeColor="text1"/>
          <w:sz w:val="32"/>
          <w:szCs w:val="28"/>
          <w14:textFill>
            <w14:solidFill>
              <w14:schemeClr w14:val="tx1"/>
            </w14:solidFill>
          </w14:textFill>
        </w:rPr>
      </w:pPr>
      <w:r>
        <w:rPr>
          <w:rFonts w:ascii="宋体" w:hAnsi="宋体"/>
          <w:color w:val="000000" w:themeColor="text1"/>
          <w:sz w:val="32"/>
          <w14:textFill>
            <w14:solidFill>
              <w14:schemeClr w14:val="tx1"/>
            </w14:solidFill>
          </w14:textFill>
        </w:rPr>
        <w:br w:type="page"/>
      </w:r>
      <w:bookmarkStart w:id="1151" w:name="_Toc99567027"/>
      <w:bookmarkStart w:id="1152" w:name="_Toc99567496"/>
    </w:p>
    <w:p>
      <w:pPr>
        <w:pStyle w:val="7"/>
        <w:jc w:val="center"/>
        <w:rPr>
          <w:rFonts w:ascii="宋体" w:hAnsi="宋体"/>
          <w:bCs w:val="0"/>
          <w:color w:val="000000" w:themeColor="text1"/>
          <w:sz w:val="32"/>
          <w14:textFill>
            <w14:solidFill>
              <w14:schemeClr w14:val="tx1"/>
            </w14:solidFill>
          </w14:textFill>
        </w:rPr>
      </w:pPr>
      <w:bookmarkStart w:id="1153" w:name="_Toc116261180"/>
      <w:bookmarkStart w:id="1154" w:name="_Toc136956387"/>
      <w:r>
        <w:rPr>
          <w:rFonts w:hint="eastAsia" w:ascii="宋体" w:hAnsi="宋体"/>
          <w:bCs w:val="0"/>
          <w:color w:val="000000" w:themeColor="text1"/>
          <w:sz w:val="32"/>
          <w14:textFill>
            <w14:solidFill>
              <w14:schemeClr w14:val="tx1"/>
            </w14:solidFill>
          </w14:textFill>
        </w:rPr>
        <w:t>（十四）项目负责人（兼设计负责人）简历表</w:t>
      </w:r>
      <w:bookmarkEnd w:id="1151"/>
      <w:bookmarkEnd w:id="1152"/>
      <w:bookmarkEnd w:id="1153"/>
      <w:bookmarkEnd w:id="115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134"/>
        <w:gridCol w:w="1124"/>
        <w:gridCol w:w="1417"/>
        <w:gridCol w:w="756"/>
        <w:gridCol w:w="612"/>
        <w:gridCol w:w="708"/>
        <w:gridCol w:w="119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姓名</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7"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性别</w:t>
            </w:r>
          </w:p>
        </w:tc>
        <w:tc>
          <w:tcPr>
            <w:tcW w:w="756"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20"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出生日期</w:t>
            </w:r>
          </w:p>
        </w:tc>
        <w:tc>
          <w:tcPr>
            <w:tcW w:w="26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 xml:space="preserve">年 </w:t>
            </w:r>
            <w:r>
              <w:rPr>
                <w:rFonts w:ascii="宋体" w:hAnsi="宋体"/>
                <w:color w:val="000000" w:themeColor="text1"/>
                <w:sz w:val="22"/>
                <w:szCs w:val="21"/>
                <w14:textFill>
                  <w14:solidFill>
                    <w14:schemeClr w14:val="tx1"/>
                  </w14:solidFill>
                </w14:textFill>
              </w:rPr>
              <w:t xml:space="preserve">  </w:t>
            </w:r>
            <w:r>
              <w:rPr>
                <w:rFonts w:hint="eastAsia" w:ascii="宋体" w:hAnsi="宋体"/>
                <w:color w:val="000000" w:themeColor="text1"/>
                <w:sz w:val="22"/>
                <w:szCs w:val="21"/>
                <w14:textFill>
                  <w14:solidFill>
                    <w14:schemeClr w14:val="tx1"/>
                  </w14:solidFill>
                </w14:textFill>
              </w:rPr>
              <w:t xml:space="preserve">月 </w:t>
            </w:r>
            <w:r>
              <w:rPr>
                <w:rFonts w:ascii="宋体" w:hAnsi="宋体"/>
                <w:color w:val="000000" w:themeColor="text1"/>
                <w:sz w:val="22"/>
                <w:szCs w:val="21"/>
                <w14:textFill>
                  <w14:solidFill>
                    <w14:schemeClr w14:val="tx1"/>
                  </w14:solidFill>
                </w14:textFill>
              </w:rPr>
              <w:t xml:space="preserve">  </w:t>
            </w:r>
            <w:r>
              <w:rPr>
                <w:rFonts w:hint="eastAsia" w:ascii="宋体" w:hAnsi="宋体"/>
                <w:color w:val="000000" w:themeColor="text1"/>
                <w:sz w:val="22"/>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职称</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7"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职务</w:t>
            </w:r>
          </w:p>
        </w:tc>
        <w:tc>
          <w:tcPr>
            <w:tcW w:w="756"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20"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担任设计负责人年限</w:t>
            </w:r>
          </w:p>
        </w:tc>
        <w:tc>
          <w:tcPr>
            <w:tcW w:w="26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毕业院校及专业</w:t>
            </w:r>
          </w:p>
        </w:tc>
        <w:tc>
          <w:tcPr>
            <w:tcW w:w="3297" w:type="dxa"/>
            <w:gridSpan w:val="3"/>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20"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毕业时间</w:t>
            </w:r>
          </w:p>
        </w:tc>
        <w:tc>
          <w:tcPr>
            <w:tcW w:w="26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 xml:space="preserve">年 </w:t>
            </w:r>
            <w:r>
              <w:rPr>
                <w:rFonts w:ascii="宋体" w:hAnsi="宋体"/>
                <w:color w:val="000000" w:themeColor="text1"/>
                <w:sz w:val="22"/>
                <w:szCs w:val="21"/>
                <w14:textFill>
                  <w14:solidFill>
                    <w14:schemeClr w14:val="tx1"/>
                  </w14:solidFill>
                </w14:textFill>
              </w:rPr>
              <w:t xml:space="preserve">  </w:t>
            </w:r>
            <w:r>
              <w:rPr>
                <w:rFonts w:hint="eastAsia" w:ascii="宋体" w:hAnsi="宋体"/>
                <w:color w:val="000000" w:themeColor="text1"/>
                <w:sz w:val="22"/>
                <w:szCs w:val="21"/>
                <w14:textFill>
                  <w14:solidFill>
                    <w14:schemeClr w14:val="tx1"/>
                  </w14:solidFill>
                </w14:textFill>
              </w:rPr>
              <w:t xml:space="preserve">月 </w:t>
            </w:r>
            <w:r>
              <w:rPr>
                <w:rFonts w:ascii="宋体" w:hAnsi="宋体"/>
                <w:color w:val="000000" w:themeColor="text1"/>
                <w:sz w:val="22"/>
                <w:szCs w:val="21"/>
                <w14:textFill>
                  <w14:solidFill>
                    <w14:schemeClr w14:val="tx1"/>
                  </w14:solidFill>
                </w14:textFill>
              </w:rPr>
              <w:t xml:space="preserve">  </w:t>
            </w:r>
            <w:r>
              <w:rPr>
                <w:rFonts w:hint="eastAsia" w:ascii="宋体" w:hAnsi="宋体"/>
                <w:color w:val="000000" w:themeColor="text1"/>
                <w:sz w:val="22"/>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从事本专业时间</w:t>
            </w:r>
          </w:p>
        </w:tc>
        <w:tc>
          <w:tcPr>
            <w:tcW w:w="3297" w:type="dxa"/>
            <w:gridSpan w:val="3"/>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20"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在本项目中担任职务</w:t>
            </w:r>
          </w:p>
        </w:tc>
        <w:tc>
          <w:tcPr>
            <w:tcW w:w="26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设计负责人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202" w:type="dxa"/>
            <w:gridSpan w:val="2"/>
            <w:vAlign w:val="center"/>
          </w:tcPr>
          <w:p>
            <w:pPr>
              <w:spacing w:line="440" w:lineRule="exact"/>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注册证书号：</w:t>
            </w:r>
          </w:p>
        </w:tc>
        <w:tc>
          <w:tcPr>
            <w:tcW w:w="3297" w:type="dxa"/>
            <w:gridSpan w:val="3"/>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20"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专业</w:t>
            </w:r>
          </w:p>
        </w:tc>
        <w:tc>
          <w:tcPr>
            <w:tcW w:w="26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68" w:type="dxa"/>
            <w:vMerge w:val="restart"/>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本人主要业绩</w:t>
            </w: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序号</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项目名称</w:t>
            </w:r>
          </w:p>
        </w:tc>
        <w:tc>
          <w:tcPr>
            <w:tcW w:w="1417"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委托人名称</w:t>
            </w:r>
          </w:p>
        </w:tc>
        <w:tc>
          <w:tcPr>
            <w:tcW w:w="1368"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合同金额</w:t>
            </w:r>
          </w:p>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（万元）</w:t>
            </w:r>
          </w:p>
        </w:tc>
        <w:tc>
          <w:tcPr>
            <w:tcW w:w="708"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委托</w:t>
            </w:r>
          </w:p>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时间</w:t>
            </w:r>
          </w:p>
        </w:tc>
        <w:tc>
          <w:tcPr>
            <w:tcW w:w="1195"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承担内容</w:t>
            </w:r>
          </w:p>
        </w:tc>
        <w:tc>
          <w:tcPr>
            <w:tcW w:w="1407"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在该项目中担任何职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1</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68"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708"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95"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0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2</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68"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708"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95"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0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3</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68"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708"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95"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0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4</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68"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708"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95"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0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5</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68"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708"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95"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0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6</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68"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708"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95"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0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7</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68"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708"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95"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0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368"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708"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95"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07"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bl>
    <w:p>
      <w:pPr>
        <w:ind w:firstLine="316" w:firstLineChars="150"/>
        <w:rPr>
          <w:rFonts w:ascii="宋体" w:hAnsi="宋体"/>
          <w:b/>
          <w:color w:val="000000" w:themeColor="text1"/>
          <w14:textFill>
            <w14:solidFill>
              <w14:schemeClr w14:val="tx1"/>
            </w14:solidFill>
          </w14:textFill>
        </w:rPr>
      </w:pPr>
    </w:p>
    <w:p>
      <w:pPr>
        <w:spacing w:before="72" w:beforeLines="30" w:line="276"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注：①本表可相应扩展；</w:t>
      </w:r>
    </w:p>
    <w:p>
      <w:pPr>
        <w:spacing w:before="72" w:beforeLines="30" w:line="276"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②按评标办法要求附相关证件、相关证明材料的原件扫描件。</w:t>
      </w:r>
    </w:p>
    <w:p>
      <w:pPr>
        <w:spacing w:before="72" w:beforeLines="30" w:line="276" w:lineRule="auto"/>
        <w:ind w:firstLine="422" w:firstLineChars="200"/>
        <w:rPr>
          <w:rFonts w:ascii="宋体" w:hAnsi="宋体"/>
          <w:b/>
          <w:color w:val="000000" w:themeColor="text1"/>
          <w:szCs w:val="21"/>
          <w14:textFill>
            <w14:solidFill>
              <w14:schemeClr w14:val="tx1"/>
            </w14:solidFill>
          </w14:textFill>
        </w:rPr>
      </w:pPr>
    </w:p>
    <w:p>
      <w:pPr>
        <w:spacing w:before="72" w:beforeLines="30" w:line="276" w:lineRule="auto"/>
        <w:ind w:firstLine="422" w:firstLineChars="200"/>
        <w:rPr>
          <w:rFonts w:ascii="宋体" w:hAnsi="宋体"/>
          <w:b/>
          <w:color w:val="000000" w:themeColor="text1"/>
          <w:szCs w:val="21"/>
          <w14:textFill>
            <w14:solidFill>
              <w14:schemeClr w14:val="tx1"/>
            </w14:solidFill>
          </w14:textFill>
        </w:rPr>
      </w:pPr>
    </w:p>
    <w:p>
      <w:pPr>
        <w:spacing w:before="72" w:beforeLines="30" w:line="276" w:lineRule="auto"/>
        <w:ind w:firstLine="422" w:firstLineChars="200"/>
        <w:rPr>
          <w:rFonts w:ascii="宋体" w:hAnsi="宋体"/>
          <w:b/>
          <w:color w:val="000000" w:themeColor="text1"/>
          <w:szCs w:val="21"/>
          <w14:textFill>
            <w14:solidFill>
              <w14:schemeClr w14:val="tx1"/>
            </w14:solidFill>
          </w14:textFill>
        </w:rPr>
      </w:pPr>
    </w:p>
    <w:p>
      <w:pPr>
        <w:spacing w:before="72" w:beforeLines="30" w:line="276" w:lineRule="auto"/>
        <w:ind w:firstLine="422" w:firstLineChars="200"/>
        <w:rPr>
          <w:rFonts w:ascii="宋体" w:hAnsi="宋体"/>
          <w:b/>
          <w:color w:val="000000" w:themeColor="text1"/>
          <w:szCs w:val="21"/>
          <w14:textFill>
            <w14:solidFill>
              <w14:schemeClr w14:val="tx1"/>
            </w14:solidFill>
          </w14:textFill>
        </w:rPr>
      </w:pPr>
    </w:p>
    <w:p>
      <w:pPr>
        <w:spacing w:before="72" w:beforeLines="30" w:line="276" w:lineRule="auto"/>
        <w:ind w:firstLine="422" w:firstLineChars="200"/>
        <w:rPr>
          <w:rFonts w:ascii="宋体" w:hAnsi="宋体"/>
          <w:b/>
          <w:color w:val="000000" w:themeColor="text1"/>
          <w:szCs w:val="21"/>
          <w14:textFill>
            <w14:solidFill>
              <w14:schemeClr w14:val="tx1"/>
            </w14:solidFill>
          </w14:textFill>
        </w:rPr>
      </w:pPr>
    </w:p>
    <w:p>
      <w:pPr>
        <w:pStyle w:val="7"/>
        <w:rPr>
          <w:rFonts w:ascii="宋体" w:hAnsi="宋体"/>
          <w:bCs w:val="0"/>
          <w:color w:val="000000" w:themeColor="text1"/>
          <w:sz w:val="32"/>
          <w14:textFill>
            <w14:solidFill>
              <w14:schemeClr w14:val="tx1"/>
            </w14:solidFill>
          </w14:textFill>
        </w:rPr>
      </w:pPr>
      <w:bookmarkStart w:id="1155" w:name="_Toc99567497"/>
      <w:bookmarkStart w:id="1156" w:name="_Toc99567028"/>
      <w:r>
        <w:rPr>
          <w:rFonts w:ascii="宋体" w:hAnsi="宋体"/>
          <w:bCs w:val="0"/>
          <w:color w:val="000000" w:themeColor="text1"/>
          <w:sz w:val="32"/>
          <w14:textFill>
            <w14:solidFill>
              <w14:schemeClr w14:val="tx1"/>
            </w14:solidFill>
          </w14:textFill>
        </w:rPr>
        <w:br w:type="page"/>
      </w:r>
      <w:bookmarkStart w:id="1157" w:name="_Toc116261182"/>
      <w:r>
        <w:rPr>
          <w:rFonts w:hint="eastAsia" w:ascii="宋体" w:hAnsi="宋体"/>
          <w:bCs w:val="0"/>
          <w:color w:val="000000" w:themeColor="text1"/>
          <w:sz w:val="32"/>
          <w14:textFill>
            <w14:solidFill>
              <w14:schemeClr w14:val="tx1"/>
            </w14:solidFill>
          </w14:textFill>
        </w:rPr>
        <w:t xml:space="preserve">       </w:t>
      </w:r>
      <w:bookmarkStart w:id="1158" w:name="_Toc136956388"/>
      <w:r>
        <w:rPr>
          <w:rFonts w:hint="eastAsia" w:ascii="宋体" w:hAnsi="宋体"/>
          <w:bCs w:val="0"/>
          <w:color w:val="000000" w:themeColor="text1"/>
          <w:sz w:val="32"/>
          <w14:textFill>
            <w14:solidFill>
              <w14:schemeClr w14:val="tx1"/>
            </w14:solidFill>
          </w14:textFill>
        </w:rPr>
        <w:t>（十五）施工负责人（项目经理）简历表</w:t>
      </w:r>
      <w:bookmarkEnd w:id="1149"/>
      <w:bookmarkEnd w:id="1150"/>
      <w:bookmarkEnd w:id="1155"/>
      <w:bookmarkEnd w:id="1156"/>
      <w:bookmarkEnd w:id="1157"/>
      <w:bookmarkEnd w:id="1158"/>
    </w:p>
    <w:tbl>
      <w:tblPr>
        <w:tblStyle w:val="62"/>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45"/>
        <w:gridCol w:w="561"/>
        <w:gridCol w:w="1119"/>
        <w:gridCol w:w="185"/>
        <w:gridCol w:w="964"/>
        <w:gridCol w:w="1556"/>
        <w:gridCol w:w="435"/>
        <w:gridCol w:w="560"/>
        <w:gridCol w:w="42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2610" w:type="dxa"/>
            <w:gridSpan w:val="4"/>
            <w:vAlign w:val="center"/>
          </w:tcPr>
          <w:p>
            <w:pPr>
              <w:jc w:val="center"/>
              <w:rPr>
                <w:rFonts w:ascii="宋体" w:hAnsi="宋体"/>
                <w:color w:val="000000" w:themeColor="text1"/>
                <w:sz w:val="22"/>
                <w:szCs w:val="22"/>
                <w14:textFill>
                  <w14:solidFill>
                    <w14:schemeClr w14:val="tx1"/>
                  </w14:solidFill>
                </w14:textFill>
              </w:rPr>
            </w:pPr>
          </w:p>
        </w:tc>
        <w:tc>
          <w:tcPr>
            <w:tcW w:w="964"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556" w:type="dxa"/>
            <w:vAlign w:val="center"/>
          </w:tcPr>
          <w:p>
            <w:pPr>
              <w:jc w:val="center"/>
              <w:rPr>
                <w:rFonts w:ascii="宋体" w:hAnsi="宋体"/>
                <w:color w:val="000000" w:themeColor="text1"/>
                <w:sz w:val="22"/>
                <w:szCs w:val="22"/>
                <w14:textFill>
                  <w14:solidFill>
                    <w14:schemeClr w14:val="tx1"/>
                  </w14:solidFill>
                </w14:textFill>
              </w:rPr>
            </w:pPr>
          </w:p>
        </w:tc>
        <w:tc>
          <w:tcPr>
            <w:tcW w:w="995" w:type="dxa"/>
            <w:gridSpan w:val="2"/>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年龄</w:t>
            </w:r>
          </w:p>
        </w:tc>
        <w:tc>
          <w:tcPr>
            <w:tcW w:w="1967" w:type="dxa"/>
            <w:gridSpan w:val="2"/>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4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职务</w:t>
            </w:r>
          </w:p>
        </w:tc>
        <w:tc>
          <w:tcPr>
            <w:tcW w:w="2610" w:type="dxa"/>
            <w:gridSpan w:val="4"/>
            <w:vAlign w:val="center"/>
          </w:tcPr>
          <w:p>
            <w:pPr>
              <w:jc w:val="center"/>
              <w:rPr>
                <w:rFonts w:ascii="宋体" w:hAnsi="宋体"/>
                <w:color w:val="000000" w:themeColor="text1"/>
                <w:sz w:val="22"/>
                <w:szCs w:val="22"/>
                <w14:textFill>
                  <w14:solidFill>
                    <w14:schemeClr w14:val="tx1"/>
                  </w14:solidFill>
                </w14:textFill>
              </w:rPr>
            </w:pPr>
          </w:p>
        </w:tc>
        <w:tc>
          <w:tcPr>
            <w:tcW w:w="964"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职称</w:t>
            </w:r>
          </w:p>
        </w:tc>
        <w:tc>
          <w:tcPr>
            <w:tcW w:w="1556" w:type="dxa"/>
            <w:vAlign w:val="center"/>
          </w:tcPr>
          <w:p>
            <w:pPr>
              <w:jc w:val="center"/>
              <w:rPr>
                <w:rFonts w:ascii="宋体" w:hAnsi="宋体"/>
                <w:color w:val="000000" w:themeColor="text1"/>
                <w:sz w:val="22"/>
                <w:szCs w:val="22"/>
                <w14:textFill>
                  <w14:solidFill>
                    <w14:schemeClr w14:val="tx1"/>
                  </w14:solidFill>
                </w14:textFill>
              </w:rPr>
            </w:pPr>
          </w:p>
        </w:tc>
        <w:tc>
          <w:tcPr>
            <w:tcW w:w="995" w:type="dxa"/>
            <w:gridSpan w:val="2"/>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967" w:type="dxa"/>
            <w:gridSpan w:val="2"/>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47" w:type="dxa"/>
            <w:gridSpan w:val="3"/>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参加工作时间</w:t>
            </w:r>
          </w:p>
        </w:tc>
        <w:tc>
          <w:tcPr>
            <w:tcW w:w="2268" w:type="dxa"/>
            <w:gridSpan w:val="3"/>
            <w:vAlign w:val="center"/>
          </w:tcPr>
          <w:p>
            <w:pPr>
              <w:jc w:val="center"/>
              <w:rPr>
                <w:rFonts w:ascii="宋体" w:hAnsi="宋体"/>
                <w:color w:val="000000" w:themeColor="text1"/>
                <w:sz w:val="22"/>
                <w:szCs w:val="22"/>
                <w14:textFill>
                  <w14:solidFill>
                    <w14:schemeClr w14:val="tx1"/>
                  </w14:solidFill>
                </w14:textFill>
              </w:rPr>
            </w:pPr>
          </w:p>
        </w:tc>
        <w:tc>
          <w:tcPr>
            <w:tcW w:w="2977" w:type="dxa"/>
            <w:gridSpan w:val="4"/>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担任项目经理年限</w:t>
            </w:r>
          </w:p>
        </w:tc>
        <w:tc>
          <w:tcPr>
            <w:tcW w:w="1541"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547" w:type="dxa"/>
            <w:gridSpan w:val="3"/>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项目经理注册证书编号</w:t>
            </w:r>
          </w:p>
        </w:tc>
        <w:tc>
          <w:tcPr>
            <w:tcW w:w="6786" w:type="dxa"/>
            <w:gridSpan w:val="8"/>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33" w:type="dxa"/>
            <w:gridSpan w:val="11"/>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6" w:type="dxa"/>
            <w:gridSpan w:val="2"/>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建设单位</w:t>
            </w:r>
          </w:p>
        </w:tc>
        <w:tc>
          <w:tcPr>
            <w:tcW w:w="1680" w:type="dxa"/>
            <w:gridSpan w:val="2"/>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项目名称</w:t>
            </w:r>
          </w:p>
        </w:tc>
        <w:tc>
          <w:tcPr>
            <w:tcW w:w="1149" w:type="dxa"/>
            <w:gridSpan w:val="2"/>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建设规模</w:t>
            </w:r>
          </w:p>
        </w:tc>
        <w:tc>
          <w:tcPr>
            <w:tcW w:w="1991" w:type="dxa"/>
            <w:gridSpan w:val="2"/>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开、竣工</w:t>
            </w:r>
          </w:p>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日期</w:t>
            </w:r>
          </w:p>
        </w:tc>
        <w:tc>
          <w:tcPr>
            <w:tcW w:w="986" w:type="dxa"/>
            <w:gridSpan w:val="2"/>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在建或已完</w:t>
            </w:r>
          </w:p>
        </w:tc>
        <w:tc>
          <w:tcPr>
            <w:tcW w:w="154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680"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149"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991" w:type="dxa"/>
            <w:gridSpan w:val="2"/>
            <w:vAlign w:val="center"/>
          </w:tcPr>
          <w:p>
            <w:pPr>
              <w:jc w:val="center"/>
              <w:rPr>
                <w:rFonts w:ascii="宋体" w:hAnsi="宋体"/>
                <w:color w:val="000000" w:themeColor="text1"/>
                <w:sz w:val="22"/>
                <w:szCs w:val="22"/>
                <w14:textFill>
                  <w14:solidFill>
                    <w14:schemeClr w14:val="tx1"/>
                  </w14:solidFill>
                </w14:textFill>
              </w:rPr>
            </w:pPr>
          </w:p>
        </w:tc>
        <w:tc>
          <w:tcPr>
            <w:tcW w:w="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541"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680"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149"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991" w:type="dxa"/>
            <w:gridSpan w:val="2"/>
            <w:vAlign w:val="center"/>
          </w:tcPr>
          <w:p>
            <w:pPr>
              <w:jc w:val="center"/>
              <w:rPr>
                <w:rFonts w:ascii="宋体" w:hAnsi="宋体"/>
                <w:color w:val="000000" w:themeColor="text1"/>
                <w:sz w:val="22"/>
                <w:szCs w:val="22"/>
                <w14:textFill>
                  <w14:solidFill>
                    <w14:schemeClr w14:val="tx1"/>
                  </w14:solidFill>
                </w14:textFill>
              </w:rPr>
            </w:pPr>
          </w:p>
        </w:tc>
        <w:tc>
          <w:tcPr>
            <w:tcW w:w="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541"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680"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149"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991" w:type="dxa"/>
            <w:gridSpan w:val="2"/>
            <w:vAlign w:val="center"/>
          </w:tcPr>
          <w:p>
            <w:pPr>
              <w:jc w:val="center"/>
              <w:rPr>
                <w:rFonts w:ascii="宋体" w:hAnsi="宋体"/>
                <w:color w:val="000000" w:themeColor="text1"/>
                <w:sz w:val="22"/>
                <w:szCs w:val="22"/>
                <w14:textFill>
                  <w14:solidFill>
                    <w14:schemeClr w14:val="tx1"/>
                  </w14:solidFill>
                </w14:textFill>
              </w:rPr>
            </w:pPr>
          </w:p>
        </w:tc>
        <w:tc>
          <w:tcPr>
            <w:tcW w:w="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541"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680"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149"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991" w:type="dxa"/>
            <w:gridSpan w:val="2"/>
            <w:vAlign w:val="center"/>
          </w:tcPr>
          <w:p>
            <w:pPr>
              <w:jc w:val="center"/>
              <w:rPr>
                <w:rFonts w:ascii="宋体" w:hAnsi="宋体"/>
                <w:color w:val="000000" w:themeColor="text1"/>
                <w:sz w:val="22"/>
                <w:szCs w:val="22"/>
                <w14:textFill>
                  <w14:solidFill>
                    <w14:schemeClr w14:val="tx1"/>
                  </w14:solidFill>
                </w14:textFill>
              </w:rPr>
            </w:pPr>
          </w:p>
        </w:tc>
        <w:tc>
          <w:tcPr>
            <w:tcW w:w="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541"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680"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149"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991" w:type="dxa"/>
            <w:gridSpan w:val="2"/>
            <w:vAlign w:val="center"/>
          </w:tcPr>
          <w:p>
            <w:pPr>
              <w:jc w:val="center"/>
              <w:rPr>
                <w:rFonts w:ascii="宋体" w:hAnsi="宋体"/>
                <w:color w:val="000000" w:themeColor="text1"/>
                <w:sz w:val="22"/>
                <w:szCs w:val="22"/>
                <w14:textFill>
                  <w14:solidFill>
                    <w14:schemeClr w14:val="tx1"/>
                  </w14:solidFill>
                </w14:textFill>
              </w:rPr>
            </w:pPr>
          </w:p>
        </w:tc>
        <w:tc>
          <w:tcPr>
            <w:tcW w:w="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541"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680"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149"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991" w:type="dxa"/>
            <w:gridSpan w:val="2"/>
            <w:vAlign w:val="center"/>
          </w:tcPr>
          <w:p>
            <w:pPr>
              <w:jc w:val="center"/>
              <w:rPr>
                <w:rFonts w:ascii="宋体" w:hAnsi="宋体"/>
                <w:color w:val="000000" w:themeColor="text1"/>
                <w:sz w:val="22"/>
                <w:szCs w:val="22"/>
                <w14:textFill>
                  <w14:solidFill>
                    <w14:schemeClr w14:val="tx1"/>
                  </w14:solidFill>
                </w14:textFill>
              </w:rPr>
            </w:pPr>
          </w:p>
        </w:tc>
        <w:tc>
          <w:tcPr>
            <w:tcW w:w="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541"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680"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149"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991" w:type="dxa"/>
            <w:gridSpan w:val="2"/>
            <w:vAlign w:val="center"/>
          </w:tcPr>
          <w:p>
            <w:pPr>
              <w:jc w:val="center"/>
              <w:rPr>
                <w:rFonts w:ascii="宋体" w:hAnsi="宋体"/>
                <w:color w:val="000000" w:themeColor="text1"/>
                <w:sz w:val="22"/>
                <w:szCs w:val="22"/>
                <w14:textFill>
                  <w14:solidFill>
                    <w14:schemeClr w14:val="tx1"/>
                  </w14:solidFill>
                </w14:textFill>
              </w:rPr>
            </w:pPr>
          </w:p>
        </w:tc>
        <w:tc>
          <w:tcPr>
            <w:tcW w:w="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541"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680"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149"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991" w:type="dxa"/>
            <w:gridSpan w:val="2"/>
            <w:vAlign w:val="center"/>
          </w:tcPr>
          <w:p>
            <w:pPr>
              <w:jc w:val="center"/>
              <w:rPr>
                <w:rFonts w:ascii="宋体" w:hAnsi="宋体"/>
                <w:color w:val="000000" w:themeColor="text1"/>
                <w:sz w:val="22"/>
                <w:szCs w:val="22"/>
                <w14:textFill>
                  <w14:solidFill>
                    <w14:schemeClr w14:val="tx1"/>
                  </w14:solidFill>
                </w14:textFill>
              </w:rPr>
            </w:pPr>
          </w:p>
        </w:tc>
        <w:tc>
          <w:tcPr>
            <w:tcW w:w="986" w:type="dxa"/>
            <w:gridSpan w:val="2"/>
            <w:vAlign w:val="center"/>
          </w:tcPr>
          <w:p>
            <w:pPr>
              <w:jc w:val="center"/>
              <w:rPr>
                <w:rFonts w:ascii="宋体" w:hAnsi="宋体"/>
                <w:color w:val="000000" w:themeColor="text1"/>
                <w:sz w:val="22"/>
                <w:szCs w:val="22"/>
                <w14:textFill>
                  <w14:solidFill>
                    <w14:schemeClr w14:val="tx1"/>
                  </w14:solidFill>
                </w14:textFill>
              </w:rPr>
            </w:pPr>
          </w:p>
        </w:tc>
        <w:tc>
          <w:tcPr>
            <w:tcW w:w="1541" w:type="dxa"/>
            <w:vAlign w:val="center"/>
          </w:tcPr>
          <w:p>
            <w:pPr>
              <w:jc w:val="center"/>
              <w:rPr>
                <w:rFonts w:ascii="宋体" w:hAnsi="宋体"/>
                <w:color w:val="000000" w:themeColor="text1"/>
                <w:sz w:val="22"/>
                <w:szCs w:val="22"/>
                <w14:textFill>
                  <w14:solidFill>
                    <w14:schemeClr w14:val="tx1"/>
                  </w14:solidFill>
                </w14:textFill>
              </w:rPr>
            </w:pPr>
          </w:p>
        </w:tc>
      </w:tr>
    </w:tbl>
    <w:p>
      <w:pPr>
        <w:ind w:firstLine="316" w:firstLineChars="150"/>
        <w:rPr>
          <w:rFonts w:ascii="宋体" w:hAnsi="宋体"/>
          <w:b/>
          <w:color w:val="000000" w:themeColor="text1"/>
          <w14:textFill>
            <w14:solidFill>
              <w14:schemeClr w14:val="tx1"/>
            </w14:solidFill>
          </w14:textFill>
        </w:rPr>
      </w:pPr>
    </w:p>
    <w:p>
      <w:pPr>
        <w:spacing w:before="72" w:beforeLines="30" w:line="276"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注：①本表可相应扩展；</w:t>
      </w:r>
    </w:p>
    <w:p>
      <w:pPr>
        <w:spacing w:before="72" w:beforeLines="30" w:line="276"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②按评标办法要求附相关证件、相关证明材料的原件扫描件。</w:t>
      </w:r>
    </w:p>
    <w:p>
      <w:pPr>
        <w:rPr>
          <w:rFonts w:ascii="宋体" w:hAnsi="宋体"/>
          <w:b/>
          <w:color w:val="000000" w:themeColor="text1"/>
          <w14:textFill>
            <w14:solidFill>
              <w14:schemeClr w14:val="tx1"/>
            </w14:solidFill>
          </w14:textFill>
        </w:rPr>
      </w:pPr>
    </w:p>
    <w:p>
      <w:pPr>
        <w:rPr>
          <w:rFonts w:ascii="宋体" w:hAnsi="宋体"/>
          <w:b/>
          <w:color w:val="000000" w:themeColor="text1"/>
          <w14:textFill>
            <w14:solidFill>
              <w14:schemeClr w14:val="tx1"/>
            </w14:solidFill>
          </w14:textFill>
        </w:rPr>
      </w:pPr>
    </w:p>
    <w:p>
      <w:pPr>
        <w:pStyle w:val="30"/>
        <w:spacing w:line="600" w:lineRule="exact"/>
        <w:ind w:firstLine="120" w:firstLineChars="50"/>
        <w:rPr>
          <w:rFonts w:hAnsi="宋体"/>
          <w:b/>
          <w:color w:val="000000" w:themeColor="text1"/>
          <w:sz w:val="24"/>
          <w14:textFill>
            <w14:solidFill>
              <w14:schemeClr w14:val="tx1"/>
            </w14:solidFill>
          </w14:textFill>
        </w:rPr>
      </w:pPr>
    </w:p>
    <w:p>
      <w:pPr>
        <w:pStyle w:val="30"/>
        <w:spacing w:line="600" w:lineRule="exact"/>
        <w:ind w:firstLine="120" w:firstLineChars="50"/>
        <w:rPr>
          <w:rFonts w:hAnsi="宋体"/>
          <w:b/>
          <w:color w:val="000000" w:themeColor="text1"/>
          <w:sz w:val="24"/>
          <w14:textFill>
            <w14:solidFill>
              <w14:schemeClr w14:val="tx1"/>
            </w14:solidFill>
          </w14:textFill>
        </w:rPr>
      </w:pPr>
    </w:p>
    <w:p>
      <w:pPr>
        <w:pStyle w:val="30"/>
        <w:spacing w:line="600" w:lineRule="exact"/>
        <w:ind w:firstLine="120" w:firstLineChars="50"/>
        <w:rPr>
          <w:rFonts w:hAnsi="宋体"/>
          <w:b/>
          <w:color w:val="000000" w:themeColor="text1"/>
          <w:sz w:val="24"/>
          <w14:textFill>
            <w14:solidFill>
              <w14:schemeClr w14:val="tx1"/>
            </w14:solidFill>
          </w14:textFill>
        </w:rPr>
      </w:pPr>
    </w:p>
    <w:p>
      <w:pPr>
        <w:pStyle w:val="30"/>
        <w:spacing w:line="600" w:lineRule="exact"/>
        <w:ind w:firstLine="120" w:firstLineChars="50"/>
        <w:rPr>
          <w:rFonts w:hAnsi="宋体"/>
          <w:b/>
          <w:color w:val="000000" w:themeColor="text1"/>
          <w:sz w:val="24"/>
          <w14:textFill>
            <w14:solidFill>
              <w14:schemeClr w14:val="tx1"/>
            </w14:solidFill>
          </w14:textFill>
        </w:rPr>
      </w:pPr>
    </w:p>
    <w:p>
      <w:pPr>
        <w:pStyle w:val="30"/>
        <w:spacing w:line="600" w:lineRule="exact"/>
        <w:ind w:firstLine="120" w:firstLineChars="50"/>
        <w:rPr>
          <w:rFonts w:hAnsi="宋体"/>
          <w:b/>
          <w:color w:val="000000" w:themeColor="text1"/>
          <w:sz w:val="24"/>
          <w14:textFill>
            <w14:solidFill>
              <w14:schemeClr w14:val="tx1"/>
            </w14:solidFill>
          </w14:textFill>
        </w:rPr>
      </w:pPr>
    </w:p>
    <w:p>
      <w:pPr>
        <w:pStyle w:val="7"/>
        <w:jc w:val="center"/>
        <w:rPr>
          <w:rFonts w:ascii="宋体" w:hAnsi="宋体"/>
          <w:bCs w:val="0"/>
          <w:color w:val="000000" w:themeColor="text1"/>
          <w:sz w:val="32"/>
          <w14:textFill>
            <w14:solidFill>
              <w14:schemeClr w14:val="tx1"/>
            </w14:solidFill>
          </w14:textFill>
        </w:rPr>
      </w:pPr>
      <w:bookmarkStart w:id="1159" w:name="_Toc99567029"/>
      <w:bookmarkStart w:id="1160" w:name="_Toc116261183"/>
      <w:bookmarkStart w:id="1161" w:name="_Toc136956389"/>
      <w:bookmarkStart w:id="1162" w:name="_Toc99567498"/>
      <w:bookmarkStart w:id="1163" w:name="_Toc446510457"/>
      <w:bookmarkStart w:id="1164" w:name="_Toc529798017"/>
      <w:r>
        <w:rPr>
          <w:rFonts w:hint="eastAsia" w:ascii="宋体" w:hAnsi="宋体"/>
          <w:bCs w:val="0"/>
          <w:color w:val="000000" w:themeColor="text1"/>
          <w:sz w:val="32"/>
          <w14:textFill>
            <w14:solidFill>
              <w14:schemeClr w14:val="tx1"/>
            </w14:solidFill>
          </w14:textFill>
        </w:rPr>
        <w:t>（十六）施工技术负责人简历表</w:t>
      </w:r>
      <w:bookmarkEnd w:id="1159"/>
      <w:bookmarkEnd w:id="1160"/>
      <w:bookmarkEnd w:id="1161"/>
      <w:bookmarkEnd w:id="1162"/>
    </w:p>
    <w:tbl>
      <w:tblPr>
        <w:tblStyle w:val="62"/>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134"/>
        <w:gridCol w:w="1124"/>
        <w:gridCol w:w="141"/>
        <w:gridCol w:w="923"/>
        <w:gridCol w:w="1109"/>
        <w:gridCol w:w="612"/>
        <w:gridCol w:w="830"/>
        <w:gridCol w:w="1073"/>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姓名</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064"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性别</w:t>
            </w:r>
          </w:p>
        </w:tc>
        <w:tc>
          <w:tcPr>
            <w:tcW w:w="1109"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4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出生日期</w:t>
            </w:r>
          </w:p>
        </w:tc>
        <w:tc>
          <w:tcPr>
            <w:tcW w:w="2487"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 xml:space="preserve">年 </w:t>
            </w:r>
            <w:r>
              <w:rPr>
                <w:rFonts w:ascii="宋体" w:hAnsi="宋体"/>
                <w:color w:val="000000" w:themeColor="text1"/>
                <w:sz w:val="22"/>
                <w:szCs w:val="21"/>
                <w14:textFill>
                  <w14:solidFill>
                    <w14:schemeClr w14:val="tx1"/>
                  </w14:solidFill>
                </w14:textFill>
              </w:rPr>
              <w:t xml:space="preserve">  </w:t>
            </w:r>
            <w:r>
              <w:rPr>
                <w:rFonts w:hint="eastAsia" w:ascii="宋体" w:hAnsi="宋体"/>
                <w:color w:val="000000" w:themeColor="text1"/>
                <w:sz w:val="22"/>
                <w:szCs w:val="21"/>
                <w14:textFill>
                  <w14:solidFill>
                    <w14:schemeClr w14:val="tx1"/>
                  </w14:solidFill>
                </w14:textFill>
              </w:rPr>
              <w:t xml:space="preserve">月 </w:t>
            </w:r>
            <w:r>
              <w:rPr>
                <w:rFonts w:ascii="宋体" w:hAnsi="宋体"/>
                <w:color w:val="000000" w:themeColor="text1"/>
                <w:sz w:val="22"/>
                <w:szCs w:val="21"/>
                <w14:textFill>
                  <w14:solidFill>
                    <w14:schemeClr w14:val="tx1"/>
                  </w14:solidFill>
                </w14:textFill>
              </w:rPr>
              <w:t xml:space="preserve">  </w:t>
            </w:r>
            <w:r>
              <w:rPr>
                <w:rFonts w:hint="eastAsia" w:ascii="宋体" w:hAnsi="宋体"/>
                <w:color w:val="000000" w:themeColor="text1"/>
                <w:sz w:val="22"/>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职称</w:t>
            </w:r>
          </w:p>
        </w:tc>
        <w:tc>
          <w:tcPr>
            <w:tcW w:w="112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064"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职务</w:t>
            </w:r>
          </w:p>
        </w:tc>
        <w:tc>
          <w:tcPr>
            <w:tcW w:w="1109"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4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担任负责人年限</w:t>
            </w:r>
          </w:p>
        </w:tc>
        <w:tc>
          <w:tcPr>
            <w:tcW w:w="2487"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毕业院校及专业</w:t>
            </w:r>
          </w:p>
        </w:tc>
        <w:tc>
          <w:tcPr>
            <w:tcW w:w="3297" w:type="dxa"/>
            <w:gridSpan w:val="4"/>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4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毕业时间</w:t>
            </w:r>
          </w:p>
        </w:tc>
        <w:tc>
          <w:tcPr>
            <w:tcW w:w="2487"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 xml:space="preserve">年 </w:t>
            </w:r>
            <w:r>
              <w:rPr>
                <w:rFonts w:ascii="宋体" w:hAnsi="宋体"/>
                <w:color w:val="000000" w:themeColor="text1"/>
                <w:sz w:val="22"/>
                <w:szCs w:val="21"/>
                <w14:textFill>
                  <w14:solidFill>
                    <w14:schemeClr w14:val="tx1"/>
                  </w14:solidFill>
                </w14:textFill>
              </w:rPr>
              <w:t xml:space="preserve">  </w:t>
            </w:r>
            <w:r>
              <w:rPr>
                <w:rFonts w:hint="eastAsia" w:ascii="宋体" w:hAnsi="宋体"/>
                <w:color w:val="000000" w:themeColor="text1"/>
                <w:sz w:val="22"/>
                <w:szCs w:val="21"/>
                <w14:textFill>
                  <w14:solidFill>
                    <w14:schemeClr w14:val="tx1"/>
                  </w14:solidFill>
                </w14:textFill>
              </w:rPr>
              <w:t xml:space="preserve">月 </w:t>
            </w:r>
            <w:r>
              <w:rPr>
                <w:rFonts w:ascii="宋体" w:hAnsi="宋体"/>
                <w:color w:val="000000" w:themeColor="text1"/>
                <w:sz w:val="22"/>
                <w:szCs w:val="21"/>
                <w14:textFill>
                  <w14:solidFill>
                    <w14:schemeClr w14:val="tx1"/>
                  </w14:solidFill>
                </w14:textFill>
              </w:rPr>
              <w:t xml:space="preserve">  </w:t>
            </w:r>
            <w:r>
              <w:rPr>
                <w:rFonts w:hint="eastAsia" w:ascii="宋体" w:hAnsi="宋体"/>
                <w:color w:val="000000" w:themeColor="text1"/>
                <w:sz w:val="22"/>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0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从事本专业时间</w:t>
            </w:r>
          </w:p>
        </w:tc>
        <w:tc>
          <w:tcPr>
            <w:tcW w:w="3297" w:type="dxa"/>
            <w:gridSpan w:val="4"/>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4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在本项目中担任职务</w:t>
            </w:r>
          </w:p>
        </w:tc>
        <w:tc>
          <w:tcPr>
            <w:tcW w:w="2487"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施工技术负责人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202" w:type="dxa"/>
            <w:gridSpan w:val="2"/>
            <w:vAlign w:val="center"/>
          </w:tcPr>
          <w:p>
            <w:pPr>
              <w:spacing w:line="440" w:lineRule="exact"/>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职称证书号：</w:t>
            </w:r>
          </w:p>
          <w:p>
            <w:pPr>
              <w:spacing w:line="440" w:lineRule="exact"/>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注册证书号（如有）：</w:t>
            </w:r>
          </w:p>
        </w:tc>
        <w:tc>
          <w:tcPr>
            <w:tcW w:w="3297" w:type="dxa"/>
            <w:gridSpan w:val="4"/>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42"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专业</w:t>
            </w:r>
          </w:p>
        </w:tc>
        <w:tc>
          <w:tcPr>
            <w:tcW w:w="2487"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68" w:type="dxa"/>
            <w:vMerge w:val="restart"/>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本人主要业绩</w:t>
            </w: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序号</w:t>
            </w:r>
          </w:p>
        </w:tc>
        <w:tc>
          <w:tcPr>
            <w:tcW w:w="1265"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项目名称</w:t>
            </w:r>
          </w:p>
        </w:tc>
        <w:tc>
          <w:tcPr>
            <w:tcW w:w="923"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委托人名称</w:t>
            </w:r>
          </w:p>
        </w:tc>
        <w:tc>
          <w:tcPr>
            <w:tcW w:w="1721"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合同金额</w:t>
            </w:r>
          </w:p>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（万元）</w:t>
            </w:r>
          </w:p>
        </w:tc>
        <w:tc>
          <w:tcPr>
            <w:tcW w:w="830"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委托</w:t>
            </w:r>
          </w:p>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时间</w:t>
            </w:r>
          </w:p>
        </w:tc>
        <w:tc>
          <w:tcPr>
            <w:tcW w:w="1073"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 xml:space="preserve">承担 </w:t>
            </w:r>
            <w:r>
              <w:rPr>
                <w:rFonts w:ascii="宋体" w:hAnsi="宋体"/>
                <w:color w:val="000000" w:themeColor="text1"/>
                <w:sz w:val="22"/>
                <w:szCs w:val="21"/>
                <w14:textFill>
                  <w14:solidFill>
                    <w14:schemeClr w14:val="tx1"/>
                  </w14:solidFill>
                </w14:textFill>
              </w:rPr>
              <w:t xml:space="preserve"> </w:t>
            </w:r>
            <w:r>
              <w:rPr>
                <w:rFonts w:hint="eastAsia" w:ascii="宋体" w:hAnsi="宋体"/>
                <w:color w:val="000000" w:themeColor="text1"/>
                <w:sz w:val="22"/>
                <w:szCs w:val="21"/>
                <w14:textFill>
                  <w14:solidFill>
                    <w14:schemeClr w14:val="tx1"/>
                  </w14:solidFill>
                </w14:textFill>
              </w:rPr>
              <w:t>内容</w:t>
            </w:r>
          </w:p>
        </w:tc>
        <w:tc>
          <w:tcPr>
            <w:tcW w:w="141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在该项目中担任何职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1</w:t>
            </w:r>
          </w:p>
        </w:tc>
        <w:tc>
          <w:tcPr>
            <w:tcW w:w="1265"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92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721"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830"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07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2</w:t>
            </w:r>
          </w:p>
        </w:tc>
        <w:tc>
          <w:tcPr>
            <w:tcW w:w="1265"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92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721"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830"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07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3</w:t>
            </w:r>
          </w:p>
        </w:tc>
        <w:tc>
          <w:tcPr>
            <w:tcW w:w="1265"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92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721"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830"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07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4</w:t>
            </w:r>
          </w:p>
        </w:tc>
        <w:tc>
          <w:tcPr>
            <w:tcW w:w="1265"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92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721"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830"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07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5</w:t>
            </w:r>
          </w:p>
        </w:tc>
        <w:tc>
          <w:tcPr>
            <w:tcW w:w="1265"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92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721"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830"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07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6</w:t>
            </w:r>
          </w:p>
        </w:tc>
        <w:tc>
          <w:tcPr>
            <w:tcW w:w="1265"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92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721"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830"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07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7</w:t>
            </w:r>
          </w:p>
        </w:tc>
        <w:tc>
          <w:tcPr>
            <w:tcW w:w="1265"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92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721"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830"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07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vMerge w:val="continue"/>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134" w:type="dxa"/>
            <w:vAlign w:val="center"/>
          </w:tcPr>
          <w:p>
            <w:pPr>
              <w:spacing w:line="440" w:lineRule="exact"/>
              <w:jc w:val="center"/>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w:t>
            </w:r>
          </w:p>
        </w:tc>
        <w:tc>
          <w:tcPr>
            <w:tcW w:w="1265"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92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721" w:type="dxa"/>
            <w:gridSpan w:val="2"/>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830"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073"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c>
          <w:tcPr>
            <w:tcW w:w="1414" w:type="dxa"/>
            <w:vAlign w:val="center"/>
          </w:tcPr>
          <w:p>
            <w:pPr>
              <w:spacing w:line="440" w:lineRule="exact"/>
              <w:jc w:val="center"/>
              <w:rPr>
                <w:rFonts w:ascii="宋体" w:hAnsi="宋体"/>
                <w:color w:val="000000" w:themeColor="text1"/>
                <w:sz w:val="22"/>
                <w:szCs w:val="21"/>
                <w14:textFill>
                  <w14:solidFill>
                    <w14:schemeClr w14:val="tx1"/>
                  </w14:solidFill>
                </w14:textFill>
              </w:rPr>
            </w:pPr>
          </w:p>
        </w:tc>
      </w:tr>
    </w:tbl>
    <w:p>
      <w:pPr>
        <w:ind w:firstLine="316" w:firstLineChars="150"/>
        <w:rPr>
          <w:rFonts w:ascii="宋体" w:hAnsi="宋体"/>
          <w:b/>
          <w:color w:val="000000" w:themeColor="text1"/>
          <w14:textFill>
            <w14:solidFill>
              <w14:schemeClr w14:val="tx1"/>
            </w14:solidFill>
          </w14:textFill>
        </w:rPr>
      </w:pPr>
    </w:p>
    <w:p>
      <w:pPr>
        <w:spacing w:before="72" w:beforeLines="30" w:line="276"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注：①本表可相应扩展；</w:t>
      </w:r>
    </w:p>
    <w:p>
      <w:pPr>
        <w:spacing w:before="72" w:beforeLines="30" w:line="276"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②按评标办法要求附相关证件、相关证明材料的原件扫描件。</w:t>
      </w:r>
    </w:p>
    <w:p>
      <w:pPr>
        <w:spacing w:before="72" w:beforeLines="30" w:line="276" w:lineRule="auto"/>
        <w:ind w:firstLine="422" w:firstLineChars="200"/>
        <w:rPr>
          <w:rFonts w:ascii="宋体" w:hAnsi="宋体"/>
          <w:b/>
          <w:color w:val="000000" w:themeColor="text1"/>
          <w:szCs w:val="21"/>
          <w14:textFill>
            <w14:solidFill>
              <w14:schemeClr w14:val="tx1"/>
            </w14:solidFill>
          </w14:textFill>
        </w:rPr>
      </w:pPr>
    </w:p>
    <w:p>
      <w:pPr>
        <w:spacing w:before="72" w:beforeLines="30" w:line="276" w:lineRule="auto"/>
        <w:ind w:firstLine="422" w:firstLineChars="200"/>
        <w:rPr>
          <w:rFonts w:ascii="宋体" w:hAnsi="宋体"/>
          <w:b/>
          <w:color w:val="000000" w:themeColor="text1"/>
          <w:szCs w:val="21"/>
          <w14:textFill>
            <w14:solidFill>
              <w14:schemeClr w14:val="tx1"/>
            </w14:solidFill>
          </w14:textFill>
        </w:rPr>
      </w:pPr>
    </w:p>
    <w:p>
      <w:pPr>
        <w:spacing w:before="72" w:beforeLines="30" w:line="276" w:lineRule="auto"/>
        <w:ind w:firstLine="422" w:firstLineChars="200"/>
        <w:rPr>
          <w:rFonts w:ascii="宋体" w:hAnsi="宋体"/>
          <w:b/>
          <w:color w:val="000000" w:themeColor="text1"/>
          <w:szCs w:val="21"/>
          <w14:textFill>
            <w14:solidFill>
              <w14:schemeClr w14:val="tx1"/>
            </w14:solidFill>
          </w14:textFill>
        </w:rPr>
      </w:pPr>
    </w:p>
    <w:p>
      <w:pPr>
        <w:pStyle w:val="7"/>
        <w:jc w:val="center"/>
        <w:rPr>
          <w:rFonts w:ascii="宋体" w:hAnsi="宋体"/>
          <w:bCs w:val="0"/>
          <w:color w:val="000000" w:themeColor="text1"/>
          <w:sz w:val="32"/>
          <w14:textFill>
            <w14:solidFill>
              <w14:schemeClr w14:val="tx1"/>
            </w14:solidFill>
          </w14:textFill>
        </w:rPr>
      </w:pPr>
      <w:r>
        <w:rPr>
          <w:rFonts w:ascii="宋体" w:hAnsi="宋体"/>
          <w:bCs w:val="0"/>
          <w:color w:val="000000" w:themeColor="text1"/>
          <w:sz w:val="32"/>
          <w14:textFill>
            <w14:solidFill>
              <w14:schemeClr w14:val="tx1"/>
            </w14:solidFill>
          </w14:textFill>
        </w:rPr>
        <w:br w:type="page"/>
      </w:r>
      <w:bookmarkStart w:id="1165" w:name="_Toc136956390"/>
      <w:bookmarkStart w:id="1166" w:name="_Toc116261184"/>
      <w:bookmarkStart w:id="1167" w:name="_Toc99567030"/>
      <w:bookmarkStart w:id="1168" w:name="_Toc99567499"/>
      <w:r>
        <w:rPr>
          <w:rFonts w:hint="eastAsia" w:ascii="宋体" w:hAnsi="宋体"/>
          <w:bCs w:val="0"/>
          <w:color w:val="000000" w:themeColor="text1"/>
          <w:sz w:val="32"/>
          <w14:textFill>
            <w14:solidFill>
              <w14:schemeClr w14:val="tx1"/>
            </w14:solidFill>
          </w14:textFill>
        </w:rPr>
        <w:t>（十七）</w:t>
      </w:r>
      <w:bookmarkEnd w:id="1163"/>
      <w:bookmarkStart w:id="1169" w:name="_Toc409467613"/>
      <w:bookmarkStart w:id="1170" w:name="_Toc281515719"/>
      <w:bookmarkStart w:id="1171" w:name="_Toc272599183"/>
      <w:bookmarkStart w:id="1172" w:name="_Toc277584847"/>
      <w:bookmarkStart w:id="1173" w:name="_Toc279347250"/>
      <w:r>
        <w:rPr>
          <w:rFonts w:hint="eastAsia" w:ascii="宋体" w:hAnsi="宋体"/>
          <w:bCs w:val="0"/>
          <w:color w:val="000000" w:themeColor="text1"/>
          <w:sz w:val="32"/>
          <w14:textFill>
            <w14:solidFill>
              <w14:schemeClr w14:val="tx1"/>
            </w14:solidFill>
          </w14:textFill>
        </w:rPr>
        <w:t>投标人承诺书</w:t>
      </w:r>
      <w:bookmarkEnd w:id="1164"/>
      <w:bookmarkEnd w:id="1165"/>
      <w:bookmarkEnd w:id="1166"/>
      <w:bookmarkEnd w:id="1167"/>
      <w:bookmarkEnd w:id="1168"/>
      <w:bookmarkEnd w:id="1169"/>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本企业参与</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项目的投标，现作如下承诺：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1、我公司参与此次投标活动所提交的所有资料都是合法、真实、有效的。</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2、不与其他投标人串通投标、围标，依法、依规公平竞争，不损害招标人或其他投标人的合法权益。</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3、不转让、出租、出借资质证书、人员岗位证书，不以法律、法规禁止的方式投标。</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4、不与招标人或招标代理机构串通投标，不损害国家利益、社会公共利益或其他当事人的合法权益。</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5、不向招标人、评标委员会成员、监督人员行贿。</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6、不扰乱昆明市公共资源交易活动正常秩序。</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7、不进行虚假恶意投诉。</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8、因违反法律、法规或相关规定被查处的，不干预案件查处。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9、我方对投标文件（包括资质、业绩、主要人员资历和目前在岗情况、信用等级等信息）的真实性负责。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、其它承诺：</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如出现上述行为，本投标人自愿承担相关责任，接受招标投标监督管理部门、纪检监察部门或司法机关调查处理。</w:t>
      </w:r>
      <w:r>
        <w:rPr>
          <w:rFonts w:hint="eastAsia" w:ascii="宋体" w:hAnsi="宋体" w:cs="宋体"/>
          <w:color w:val="000000" w:themeColor="text1"/>
          <w:sz w:val="24"/>
          <w14:textFill>
            <w14:solidFill>
              <w14:schemeClr w14:val="tx1"/>
            </w14:solidFill>
          </w14:textFill>
        </w:rPr>
        <w:t>给招标人造成损失的，依法承担赔偿责任。</w:t>
      </w:r>
    </w:p>
    <w:p>
      <w:pPr>
        <w:pStyle w:val="30"/>
        <w:spacing w:line="6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注：若为联合投标时，由联合体牵头单位提供即可。</w:t>
      </w:r>
    </w:p>
    <w:p>
      <w:pPr>
        <w:tabs>
          <w:tab w:val="left" w:pos="0"/>
        </w:tabs>
        <w:spacing w:line="360" w:lineRule="auto"/>
        <w:ind w:right="-212" w:firstLine="100"/>
        <w:rPr>
          <w:rFonts w:ascii="宋体" w:hAnsi="宋体"/>
          <w:color w:val="000000" w:themeColor="text1"/>
          <w:sz w:val="24"/>
          <w14:textFill>
            <w14:solidFill>
              <w14:schemeClr w14:val="tx1"/>
            </w14:solidFill>
          </w14:textFill>
        </w:rPr>
      </w:pPr>
    </w:p>
    <w:p>
      <w:pPr>
        <w:tabs>
          <w:tab w:val="left" w:pos="0"/>
        </w:tabs>
        <w:spacing w:line="500" w:lineRule="exact"/>
        <w:ind w:right="-212" w:firstLine="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ascii="宋体" w:hAnsi="宋体"/>
          <w:color w:val="000000" w:themeColor="text1"/>
          <w:sz w:val="24"/>
          <w:u w:val="single"/>
          <w14:textFill>
            <w14:solidFill>
              <w14:schemeClr w14:val="tx1"/>
            </w14:solidFill>
          </w14:textFill>
        </w:rPr>
        <w:t xml:space="preserve">                           （电子签章）</w:t>
      </w:r>
    </w:p>
    <w:p>
      <w:pPr>
        <w:tabs>
          <w:tab w:val="left" w:pos="0"/>
        </w:tabs>
        <w:spacing w:line="500" w:lineRule="exact"/>
        <w:ind w:right="-212" w:firstLine="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ascii="宋体" w:hAnsi="宋体"/>
          <w:color w:val="000000" w:themeColor="text1"/>
          <w:sz w:val="24"/>
          <w:u w:val="single"/>
          <w14:textFill>
            <w14:solidFill>
              <w14:schemeClr w14:val="tx1"/>
            </w14:solidFill>
          </w14:textFill>
        </w:rPr>
        <w:t xml:space="preserve">                       （电子签章）</w:t>
      </w:r>
    </w:p>
    <w:p>
      <w:pPr>
        <w:tabs>
          <w:tab w:val="left" w:pos="0"/>
        </w:tabs>
        <w:spacing w:line="500" w:lineRule="exact"/>
        <w:ind w:right="-212" w:firstLine="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pStyle w:val="30"/>
        <w:spacing w:line="600" w:lineRule="exact"/>
        <w:rPr>
          <w:rFonts w:hAnsi="宋体"/>
          <w:b/>
          <w:color w:val="000000" w:themeColor="text1"/>
          <w:sz w:val="24"/>
          <w14:textFill>
            <w14:solidFill>
              <w14:schemeClr w14:val="tx1"/>
            </w14:solidFill>
          </w14:textFill>
        </w:rPr>
      </w:pPr>
    </w:p>
    <w:p>
      <w:pPr>
        <w:pStyle w:val="7"/>
        <w:jc w:val="center"/>
        <w:rPr>
          <w:rFonts w:ascii="宋体" w:hAnsi="宋体"/>
          <w:bCs w:val="0"/>
          <w:color w:val="000000" w:themeColor="text1"/>
          <w:sz w:val="32"/>
          <w14:textFill>
            <w14:solidFill>
              <w14:schemeClr w14:val="tx1"/>
            </w14:solidFill>
          </w14:textFill>
        </w:rPr>
      </w:pPr>
      <w:bookmarkStart w:id="1174" w:name="_Toc99567500"/>
      <w:bookmarkStart w:id="1175" w:name="_Toc136956391"/>
      <w:bookmarkStart w:id="1176" w:name="_Toc99567031"/>
      <w:bookmarkStart w:id="1177" w:name="_Toc116261185"/>
      <w:r>
        <w:rPr>
          <w:rFonts w:hint="eastAsia" w:ascii="宋体" w:hAnsi="宋体"/>
          <w:bCs w:val="0"/>
          <w:color w:val="000000" w:themeColor="text1"/>
          <w:sz w:val="32"/>
          <w14:textFill>
            <w14:solidFill>
              <w14:schemeClr w14:val="tx1"/>
            </w14:solidFill>
          </w14:textFill>
        </w:rPr>
        <w:t>（十八）其他资料</w:t>
      </w:r>
      <w:bookmarkEnd w:id="1174"/>
      <w:bookmarkEnd w:id="1175"/>
      <w:bookmarkEnd w:id="1176"/>
      <w:bookmarkEnd w:id="1177"/>
    </w:p>
    <w:p>
      <w:pPr>
        <w:spacing w:before="120" w:beforeLines="50" w:after="120" w:afterLines="50"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附：</w:t>
      </w:r>
      <w:r>
        <w:rPr>
          <w:rFonts w:hint="eastAsia" w:ascii="宋体" w:hAnsi="宋体"/>
          <w:color w:val="000000" w:themeColor="text1"/>
          <w:sz w:val="24"/>
          <w14:textFill>
            <w14:solidFill>
              <w14:schemeClr w14:val="tx1"/>
            </w14:solidFill>
          </w14:textFill>
        </w:rPr>
        <w:t>招标文件要求的或投标人认为有必须提供的资料、说明等，如荣誉证书等证明材料（格式自拟）</w:t>
      </w:r>
      <w:r>
        <w:rPr>
          <w:rFonts w:ascii="宋体" w:hAnsi="宋体"/>
          <w:color w:val="000000" w:themeColor="text1"/>
          <w:sz w:val="24"/>
          <w14:textFill>
            <w14:solidFill>
              <w14:schemeClr w14:val="tx1"/>
            </w14:solidFill>
          </w14:textFill>
        </w:rPr>
        <w:t>。</w:t>
      </w:r>
    </w:p>
    <w:bookmarkEnd w:id="1170"/>
    <w:bookmarkEnd w:id="1171"/>
    <w:bookmarkEnd w:id="1172"/>
    <w:bookmarkEnd w:id="1173"/>
    <w:p>
      <w:pPr>
        <w:spacing w:before="120" w:beforeLines="50" w:after="120" w:afterLines="50" w:line="420" w:lineRule="exact"/>
        <w:rPr>
          <w:rFonts w:ascii="宋体" w:hAnsi="宋体"/>
          <w:b/>
          <w:color w:val="000000" w:themeColor="text1"/>
          <w:sz w:val="24"/>
          <w14:textFill>
            <w14:solidFill>
              <w14:schemeClr w14:val="tx1"/>
            </w14:solidFill>
          </w14:textFill>
        </w:rPr>
        <w:sectPr>
          <w:headerReference r:id="rId10" w:type="default"/>
          <w:footerReference r:id="rId11" w:type="even"/>
          <w:type w:val="nextColumn"/>
          <w:pgSz w:w="11906" w:h="16838"/>
          <w:pgMar w:top="1304" w:right="1304" w:bottom="1560" w:left="1304" w:header="851" w:footer="992" w:gutter="0"/>
          <w:pgNumType w:fmt="numberInDash"/>
          <w:cols w:space="720" w:num="1"/>
          <w:docGrid w:linePitch="312" w:charSpace="0"/>
        </w:sectPr>
      </w:pPr>
    </w:p>
    <w:p>
      <w:pPr>
        <w:pStyle w:val="6"/>
        <w:widowControl/>
        <w:spacing w:before="360" w:after="360" w:line="440" w:lineRule="exact"/>
        <w:jc w:val="center"/>
        <w:rPr>
          <w:rFonts w:ascii="宋体" w:hAnsi="宋体"/>
          <w:bCs w:val="0"/>
          <w:color w:val="000000" w:themeColor="text1"/>
          <w:kern w:val="0"/>
          <w:sz w:val="36"/>
          <w:szCs w:val="36"/>
          <w14:textFill>
            <w14:solidFill>
              <w14:schemeClr w14:val="tx1"/>
            </w14:solidFill>
          </w14:textFill>
        </w:rPr>
      </w:pPr>
      <w:bookmarkStart w:id="1178" w:name="_Toc446510458"/>
      <w:bookmarkStart w:id="1179" w:name="_Toc529798018"/>
      <w:bookmarkStart w:id="1180" w:name="_Toc136956392"/>
      <w:bookmarkStart w:id="1181" w:name="_Toc347307808"/>
      <w:bookmarkStart w:id="1182" w:name="_Toc289247368"/>
      <w:r>
        <w:rPr>
          <w:rFonts w:hint="eastAsia" w:ascii="宋体" w:hAnsi="宋体"/>
          <w:bCs w:val="0"/>
          <w:color w:val="000000" w:themeColor="text1"/>
          <w:kern w:val="0"/>
          <w:sz w:val="36"/>
          <w:szCs w:val="36"/>
          <w14:textFill>
            <w14:solidFill>
              <w14:schemeClr w14:val="tx1"/>
            </w14:solidFill>
          </w14:textFill>
        </w:rPr>
        <w:t>二、投标文件技术部分格式</w:t>
      </w:r>
      <w:bookmarkEnd w:id="1178"/>
      <w:bookmarkEnd w:id="1179"/>
      <w:bookmarkEnd w:id="1180"/>
      <w:bookmarkEnd w:id="1181"/>
      <w:bookmarkEnd w:id="1182"/>
    </w:p>
    <w:p>
      <w:pPr>
        <w:pStyle w:val="7"/>
        <w:jc w:val="center"/>
        <w:rPr>
          <w:rFonts w:ascii="宋体" w:hAnsi="宋体"/>
          <w:bCs w:val="0"/>
          <w:color w:val="000000" w:themeColor="text1"/>
          <w:sz w:val="32"/>
          <w14:textFill>
            <w14:solidFill>
              <w14:schemeClr w14:val="tx1"/>
            </w14:solidFill>
          </w14:textFill>
        </w:rPr>
      </w:pPr>
      <w:bookmarkStart w:id="1183" w:name="_Toc116261187"/>
      <w:bookmarkStart w:id="1184" w:name="_Toc99567502"/>
      <w:bookmarkStart w:id="1185" w:name="_Toc136956393"/>
      <w:bookmarkStart w:id="1186" w:name="_Toc99567033"/>
      <w:bookmarkStart w:id="1187" w:name="_Toc529798019"/>
      <w:bookmarkStart w:id="1188" w:name="_Toc446510459"/>
      <w:bookmarkStart w:id="1189" w:name="_Toc119402794"/>
      <w:bookmarkStart w:id="1190" w:name="_Toc347307809"/>
      <w:bookmarkStart w:id="1191" w:name="_Toc289099864"/>
      <w:bookmarkStart w:id="1192" w:name="_Toc214071879"/>
      <w:bookmarkStart w:id="1193" w:name="_Toc247969225"/>
      <w:bookmarkStart w:id="1194" w:name="_Toc289247385"/>
      <w:bookmarkStart w:id="1195" w:name="_Toc275942846"/>
      <w:r>
        <w:rPr>
          <w:rFonts w:hint="eastAsia" w:ascii="宋体" w:hAnsi="宋体"/>
          <w:bCs w:val="0"/>
          <w:color w:val="000000" w:themeColor="text1"/>
          <w:sz w:val="32"/>
          <w14:textFill>
            <w14:solidFill>
              <w14:schemeClr w14:val="tx1"/>
            </w14:solidFill>
          </w14:textFill>
        </w:rPr>
        <w:t>（一）设计及施工组织技术部分</w:t>
      </w:r>
      <w:bookmarkEnd w:id="1183"/>
      <w:bookmarkEnd w:id="1184"/>
      <w:bookmarkEnd w:id="1185"/>
      <w:bookmarkEnd w:id="1186"/>
    </w:p>
    <w:p>
      <w:pPr>
        <w:pStyle w:val="8"/>
        <w:jc w:val="center"/>
        <w:rPr>
          <w:rFonts w:ascii="宋体" w:hAnsi="宋体"/>
          <w:bCs w:val="0"/>
          <w:color w:val="000000" w:themeColor="text1"/>
          <w:sz w:val="32"/>
          <w14:textFill>
            <w14:solidFill>
              <w14:schemeClr w14:val="tx1"/>
            </w14:solidFill>
          </w14:textFill>
        </w:rPr>
      </w:pPr>
      <w:r>
        <w:rPr>
          <w:rFonts w:ascii="宋体" w:hAnsi="宋体"/>
          <w:bCs w:val="0"/>
          <w:color w:val="000000" w:themeColor="text1"/>
          <w:sz w:val="32"/>
          <w14:textFill>
            <w14:solidFill>
              <w14:schemeClr w14:val="tx1"/>
            </w14:solidFill>
          </w14:textFill>
        </w:rPr>
        <w:t>1</w:t>
      </w:r>
      <w:bookmarkEnd w:id="1187"/>
      <w:bookmarkEnd w:id="1188"/>
      <w:r>
        <w:rPr>
          <w:rFonts w:hint="eastAsia" w:ascii="宋体" w:hAnsi="宋体"/>
          <w:bCs w:val="0"/>
          <w:color w:val="000000" w:themeColor="text1"/>
          <w:sz w:val="32"/>
          <w14:textFill>
            <w14:solidFill>
              <w14:schemeClr w14:val="tx1"/>
            </w14:solidFill>
          </w14:textFill>
        </w:rPr>
        <w:t>、设计部分</w:t>
      </w:r>
    </w:p>
    <w:p>
      <w:pPr>
        <w:spacing w:line="360" w:lineRule="auto"/>
        <w:ind w:firstLine="849" w:firstLineChars="3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设计部分包括但不限于下述内容：</w:t>
      </w:r>
    </w:p>
    <w:p>
      <w:pPr>
        <w:spacing w:line="360" w:lineRule="auto"/>
        <w:ind w:firstLine="849" w:firstLineChars="3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1）总体设计方案；</w:t>
      </w:r>
    </w:p>
    <w:p>
      <w:pPr>
        <w:spacing w:line="360" w:lineRule="auto"/>
        <w:ind w:firstLine="849" w:firstLineChars="3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2）设计组织方案；</w:t>
      </w:r>
    </w:p>
    <w:p>
      <w:pPr>
        <w:spacing w:line="360" w:lineRule="auto"/>
        <w:ind w:firstLine="849" w:firstLineChars="3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3）设计服务承诺；</w:t>
      </w:r>
    </w:p>
    <w:p>
      <w:pPr>
        <w:spacing w:line="360" w:lineRule="auto"/>
        <w:ind w:firstLine="849" w:firstLineChars="3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设计组织机构及主要管理人员配置；</w:t>
      </w:r>
    </w:p>
    <w:p>
      <w:pPr>
        <w:spacing w:line="360" w:lineRule="auto"/>
        <w:ind w:firstLine="849" w:firstLineChars="3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注：格式及内容由投标人自定。</w:t>
      </w:r>
    </w:p>
    <w:p>
      <w:pPr>
        <w:pStyle w:val="8"/>
        <w:jc w:val="center"/>
        <w:rPr>
          <w:rFonts w:ascii="宋体" w:hAnsi="宋体"/>
          <w:bCs w:val="0"/>
          <w:color w:val="000000" w:themeColor="text1"/>
          <w:sz w:val="32"/>
          <w14:textFill>
            <w14:solidFill>
              <w14:schemeClr w14:val="tx1"/>
            </w14:solidFill>
          </w14:textFill>
        </w:rPr>
      </w:pPr>
      <w:bookmarkStart w:id="1196" w:name="_Toc446510464"/>
      <w:bookmarkStart w:id="1197" w:name="_Toc529798020"/>
      <w:r>
        <w:rPr>
          <w:rFonts w:hint="eastAsia" w:ascii="宋体" w:hAnsi="宋体"/>
          <w:bCs w:val="0"/>
          <w:color w:val="000000" w:themeColor="text1"/>
          <w:sz w:val="32"/>
          <w14:textFill>
            <w14:solidFill>
              <w14:schemeClr w14:val="tx1"/>
            </w14:solidFill>
          </w14:textFill>
        </w:rPr>
        <w:t>2、施工</w:t>
      </w:r>
      <w:bookmarkEnd w:id="1189"/>
      <w:bookmarkEnd w:id="1190"/>
      <w:bookmarkEnd w:id="1191"/>
      <w:bookmarkEnd w:id="1192"/>
      <w:bookmarkEnd w:id="1193"/>
      <w:bookmarkEnd w:id="1196"/>
      <w:bookmarkEnd w:id="1197"/>
      <w:r>
        <w:rPr>
          <w:rFonts w:hint="eastAsia" w:ascii="宋体" w:hAnsi="宋体"/>
          <w:bCs w:val="0"/>
          <w:color w:val="000000" w:themeColor="text1"/>
          <w:sz w:val="32"/>
          <w14:textFill>
            <w14:solidFill>
              <w14:schemeClr w14:val="tx1"/>
            </w14:solidFill>
          </w14:textFill>
        </w:rPr>
        <w:t>部分</w:t>
      </w:r>
    </w:p>
    <w:p>
      <w:pPr>
        <w:spacing w:line="360" w:lineRule="auto"/>
        <w:ind w:firstLine="849" w:firstLineChars="3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施工部分包括但不限于下述内容：</w:t>
      </w:r>
    </w:p>
    <w:p>
      <w:pPr>
        <w:spacing w:line="360" w:lineRule="auto"/>
        <w:ind w:left="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）对项目的理解、重难点分析及合理化建议；</w:t>
      </w:r>
    </w:p>
    <w:p>
      <w:pPr>
        <w:spacing w:line="360" w:lineRule="auto"/>
        <w:ind w:left="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）施工方案与技术措施；</w:t>
      </w:r>
    </w:p>
    <w:p>
      <w:pPr>
        <w:spacing w:line="360" w:lineRule="auto"/>
        <w:ind w:left="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）质量管理体系与措施；</w:t>
      </w:r>
    </w:p>
    <w:p>
      <w:pPr>
        <w:spacing w:line="360" w:lineRule="auto"/>
        <w:ind w:left="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）环境保护安全管理体系与措施；</w:t>
      </w:r>
    </w:p>
    <w:p>
      <w:pPr>
        <w:spacing w:line="360" w:lineRule="auto"/>
        <w:ind w:left="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（5）工期承诺与保证措施；</w:t>
      </w:r>
    </w:p>
    <w:p>
      <w:pPr>
        <w:spacing w:line="360" w:lineRule="auto"/>
        <w:ind w:left="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（6）资源配备计划；</w:t>
      </w:r>
    </w:p>
    <w:p>
      <w:pPr>
        <w:spacing w:line="360" w:lineRule="auto"/>
        <w:ind w:left="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（7）施工主要工序；</w:t>
      </w:r>
    </w:p>
    <w:p>
      <w:pPr>
        <w:spacing w:line="360" w:lineRule="auto"/>
        <w:ind w:left="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（8）项目管理机构配置；</w:t>
      </w:r>
    </w:p>
    <w:p>
      <w:pPr>
        <w:spacing w:line="360" w:lineRule="auto"/>
        <w:ind w:left="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注：格式及内容由投标人自定。</w:t>
      </w:r>
    </w:p>
    <w:p>
      <w:pPr>
        <w:spacing w:line="360" w:lineRule="auto"/>
        <w:rPr>
          <w:rFonts w:ascii="宋体" w:hAnsi="宋体"/>
          <w:b/>
          <w:color w:val="000000" w:themeColor="text1"/>
          <w:sz w:val="24"/>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2"/>
        <w:ind w:left="420"/>
        <w:rPr>
          <w:color w:val="000000" w:themeColor="text1"/>
          <w14:textFill>
            <w14:solidFill>
              <w14:schemeClr w14:val="tx1"/>
            </w14:solidFill>
          </w14:textFill>
        </w:rPr>
      </w:pPr>
    </w:p>
    <w:p>
      <w:pPr>
        <w:pStyle w:val="8"/>
        <w:jc w:val="center"/>
        <w:rPr>
          <w:rFonts w:ascii="宋体" w:hAnsi="宋体"/>
          <w:bCs w:val="0"/>
          <w:color w:val="000000" w:themeColor="text1"/>
          <w:sz w:val="32"/>
          <w14:textFill>
            <w14:solidFill>
              <w14:schemeClr w14:val="tx1"/>
            </w14:solidFill>
          </w14:textFill>
        </w:rPr>
      </w:pPr>
      <w:r>
        <w:rPr>
          <w:rFonts w:hint="eastAsia" w:ascii="宋体" w:hAnsi="宋体"/>
          <w:bCs w:val="0"/>
          <w:color w:val="000000" w:themeColor="text1"/>
          <w14:textFill>
            <w14:solidFill>
              <w14:schemeClr w14:val="tx1"/>
            </w14:solidFill>
          </w14:textFill>
        </w:rPr>
        <w:t>3</w:t>
      </w:r>
      <w:r>
        <w:rPr>
          <w:rFonts w:hint="eastAsia" w:ascii="宋体" w:hAnsi="宋体"/>
          <w:bCs w:val="0"/>
          <w:color w:val="000000" w:themeColor="text1"/>
          <w:sz w:val="32"/>
          <w14:textFill>
            <w14:solidFill>
              <w14:schemeClr w14:val="tx1"/>
            </w14:solidFill>
          </w14:textFill>
        </w:rPr>
        <w:t>、附表</w:t>
      </w:r>
    </w:p>
    <w:p>
      <w:pPr>
        <w:spacing w:before="120" w:beforeLines="50" w:after="120" w:afterLines="50" w:line="420" w:lineRule="exac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附表一：拟投入本工程的主要施工设备表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00"/>
        <w:gridCol w:w="763"/>
        <w:gridCol w:w="1161"/>
        <w:gridCol w:w="805"/>
        <w:gridCol w:w="805"/>
        <w:gridCol w:w="1336"/>
        <w:gridCol w:w="991"/>
        <w:gridCol w:w="991"/>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58"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序号</w:t>
            </w:r>
          </w:p>
        </w:tc>
        <w:tc>
          <w:tcPr>
            <w:tcW w:w="1100"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设备名称</w:t>
            </w:r>
          </w:p>
        </w:tc>
        <w:tc>
          <w:tcPr>
            <w:tcW w:w="763"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型号</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规格</w:t>
            </w:r>
          </w:p>
        </w:tc>
        <w:tc>
          <w:tcPr>
            <w:tcW w:w="1161"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数  量</w:t>
            </w:r>
          </w:p>
        </w:tc>
        <w:tc>
          <w:tcPr>
            <w:tcW w:w="80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国别</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产地</w:t>
            </w:r>
          </w:p>
        </w:tc>
        <w:tc>
          <w:tcPr>
            <w:tcW w:w="80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制造</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年份</w:t>
            </w:r>
          </w:p>
        </w:tc>
        <w:tc>
          <w:tcPr>
            <w:tcW w:w="1336"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额定功率</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（KW）</w:t>
            </w:r>
          </w:p>
        </w:tc>
        <w:tc>
          <w:tcPr>
            <w:tcW w:w="991"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生产</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能力</w:t>
            </w:r>
          </w:p>
        </w:tc>
        <w:tc>
          <w:tcPr>
            <w:tcW w:w="991"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用于施</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工部位</w:t>
            </w:r>
          </w:p>
        </w:tc>
        <w:tc>
          <w:tcPr>
            <w:tcW w:w="869"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8" w:type="dxa"/>
            <w:vAlign w:val="center"/>
          </w:tcPr>
          <w:p>
            <w:pPr>
              <w:jc w:val="center"/>
              <w:rPr>
                <w:rFonts w:ascii="宋体" w:hAnsi="宋体"/>
                <w:color w:val="000000" w:themeColor="text1"/>
                <w:szCs w:val="21"/>
                <w14:textFill>
                  <w14:solidFill>
                    <w14:schemeClr w14:val="tx1"/>
                  </w14:solidFill>
                </w14:textFill>
              </w:rPr>
            </w:pPr>
          </w:p>
        </w:tc>
        <w:tc>
          <w:tcPr>
            <w:tcW w:w="1100" w:type="dxa"/>
            <w:vAlign w:val="center"/>
          </w:tcPr>
          <w:p>
            <w:pPr>
              <w:jc w:val="center"/>
              <w:rPr>
                <w:rFonts w:ascii="宋体" w:hAnsi="宋体"/>
                <w:color w:val="000000" w:themeColor="text1"/>
                <w:szCs w:val="21"/>
                <w14:textFill>
                  <w14:solidFill>
                    <w14:schemeClr w14:val="tx1"/>
                  </w14:solidFill>
                </w14:textFill>
              </w:rPr>
            </w:pPr>
          </w:p>
        </w:tc>
        <w:tc>
          <w:tcPr>
            <w:tcW w:w="763" w:type="dxa"/>
            <w:vAlign w:val="center"/>
          </w:tcPr>
          <w:p>
            <w:pPr>
              <w:jc w:val="center"/>
              <w:rPr>
                <w:rFonts w:ascii="宋体" w:hAnsi="宋体"/>
                <w:color w:val="000000" w:themeColor="text1"/>
                <w:szCs w:val="21"/>
                <w14:textFill>
                  <w14:solidFill>
                    <w14:schemeClr w14:val="tx1"/>
                  </w14:solidFill>
                </w14:textFill>
              </w:rPr>
            </w:pPr>
          </w:p>
        </w:tc>
        <w:tc>
          <w:tcPr>
            <w:tcW w:w="1161"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1336"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86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8" w:type="dxa"/>
            <w:vAlign w:val="center"/>
          </w:tcPr>
          <w:p>
            <w:pPr>
              <w:jc w:val="center"/>
              <w:rPr>
                <w:rFonts w:ascii="宋体" w:hAnsi="宋体"/>
                <w:color w:val="000000" w:themeColor="text1"/>
                <w:szCs w:val="21"/>
                <w14:textFill>
                  <w14:solidFill>
                    <w14:schemeClr w14:val="tx1"/>
                  </w14:solidFill>
                </w14:textFill>
              </w:rPr>
            </w:pPr>
          </w:p>
        </w:tc>
        <w:tc>
          <w:tcPr>
            <w:tcW w:w="1100" w:type="dxa"/>
            <w:vAlign w:val="center"/>
          </w:tcPr>
          <w:p>
            <w:pPr>
              <w:jc w:val="center"/>
              <w:rPr>
                <w:rFonts w:ascii="宋体" w:hAnsi="宋体"/>
                <w:color w:val="000000" w:themeColor="text1"/>
                <w:szCs w:val="21"/>
                <w14:textFill>
                  <w14:solidFill>
                    <w14:schemeClr w14:val="tx1"/>
                  </w14:solidFill>
                </w14:textFill>
              </w:rPr>
            </w:pPr>
          </w:p>
        </w:tc>
        <w:tc>
          <w:tcPr>
            <w:tcW w:w="763" w:type="dxa"/>
            <w:vAlign w:val="center"/>
          </w:tcPr>
          <w:p>
            <w:pPr>
              <w:jc w:val="center"/>
              <w:rPr>
                <w:rFonts w:ascii="宋体" w:hAnsi="宋体"/>
                <w:color w:val="000000" w:themeColor="text1"/>
                <w:szCs w:val="21"/>
                <w14:textFill>
                  <w14:solidFill>
                    <w14:schemeClr w14:val="tx1"/>
                  </w14:solidFill>
                </w14:textFill>
              </w:rPr>
            </w:pPr>
          </w:p>
        </w:tc>
        <w:tc>
          <w:tcPr>
            <w:tcW w:w="1161"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1336"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86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8" w:type="dxa"/>
            <w:vAlign w:val="center"/>
          </w:tcPr>
          <w:p>
            <w:pPr>
              <w:jc w:val="center"/>
              <w:rPr>
                <w:rFonts w:ascii="宋体" w:hAnsi="宋体"/>
                <w:color w:val="000000" w:themeColor="text1"/>
                <w:szCs w:val="21"/>
                <w14:textFill>
                  <w14:solidFill>
                    <w14:schemeClr w14:val="tx1"/>
                  </w14:solidFill>
                </w14:textFill>
              </w:rPr>
            </w:pPr>
          </w:p>
        </w:tc>
        <w:tc>
          <w:tcPr>
            <w:tcW w:w="1100" w:type="dxa"/>
            <w:vAlign w:val="center"/>
          </w:tcPr>
          <w:p>
            <w:pPr>
              <w:jc w:val="center"/>
              <w:rPr>
                <w:rFonts w:ascii="宋体" w:hAnsi="宋体"/>
                <w:color w:val="000000" w:themeColor="text1"/>
                <w:szCs w:val="21"/>
                <w14:textFill>
                  <w14:solidFill>
                    <w14:schemeClr w14:val="tx1"/>
                  </w14:solidFill>
                </w14:textFill>
              </w:rPr>
            </w:pPr>
          </w:p>
        </w:tc>
        <w:tc>
          <w:tcPr>
            <w:tcW w:w="763" w:type="dxa"/>
            <w:vAlign w:val="center"/>
          </w:tcPr>
          <w:p>
            <w:pPr>
              <w:jc w:val="center"/>
              <w:rPr>
                <w:rFonts w:ascii="宋体" w:hAnsi="宋体"/>
                <w:color w:val="000000" w:themeColor="text1"/>
                <w:szCs w:val="21"/>
                <w14:textFill>
                  <w14:solidFill>
                    <w14:schemeClr w14:val="tx1"/>
                  </w14:solidFill>
                </w14:textFill>
              </w:rPr>
            </w:pPr>
          </w:p>
        </w:tc>
        <w:tc>
          <w:tcPr>
            <w:tcW w:w="1161"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1336"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86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8" w:type="dxa"/>
            <w:vAlign w:val="center"/>
          </w:tcPr>
          <w:p>
            <w:pPr>
              <w:jc w:val="center"/>
              <w:rPr>
                <w:rFonts w:ascii="宋体" w:hAnsi="宋体"/>
                <w:color w:val="000000" w:themeColor="text1"/>
                <w:szCs w:val="21"/>
                <w14:textFill>
                  <w14:solidFill>
                    <w14:schemeClr w14:val="tx1"/>
                  </w14:solidFill>
                </w14:textFill>
              </w:rPr>
            </w:pPr>
          </w:p>
        </w:tc>
        <w:tc>
          <w:tcPr>
            <w:tcW w:w="1100" w:type="dxa"/>
            <w:vAlign w:val="center"/>
          </w:tcPr>
          <w:p>
            <w:pPr>
              <w:jc w:val="center"/>
              <w:rPr>
                <w:rFonts w:ascii="宋体" w:hAnsi="宋体"/>
                <w:color w:val="000000" w:themeColor="text1"/>
                <w:szCs w:val="21"/>
                <w14:textFill>
                  <w14:solidFill>
                    <w14:schemeClr w14:val="tx1"/>
                  </w14:solidFill>
                </w14:textFill>
              </w:rPr>
            </w:pPr>
          </w:p>
        </w:tc>
        <w:tc>
          <w:tcPr>
            <w:tcW w:w="763" w:type="dxa"/>
            <w:vAlign w:val="center"/>
          </w:tcPr>
          <w:p>
            <w:pPr>
              <w:jc w:val="center"/>
              <w:rPr>
                <w:rFonts w:ascii="宋体" w:hAnsi="宋体"/>
                <w:color w:val="000000" w:themeColor="text1"/>
                <w:szCs w:val="21"/>
                <w14:textFill>
                  <w14:solidFill>
                    <w14:schemeClr w14:val="tx1"/>
                  </w14:solidFill>
                </w14:textFill>
              </w:rPr>
            </w:pPr>
          </w:p>
        </w:tc>
        <w:tc>
          <w:tcPr>
            <w:tcW w:w="1161"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1336"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86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8" w:type="dxa"/>
            <w:vAlign w:val="center"/>
          </w:tcPr>
          <w:p>
            <w:pPr>
              <w:jc w:val="center"/>
              <w:rPr>
                <w:rFonts w:ascii="宋体" w:hAnsi="宋体"/>
                <w:color w:val="000000" w:themeColor="text1"/>
                <w:szCs w:val="21"/>
                <w14:textFill>
                  <w14:solidFill>
                    <w14:schemeClr w14:val="tx1"/>
                  </w14:solidFill>
                </w14:textFill>
              </w:rPr>
            </w:pPr>
          </w:p>
        </w:tc>
        <w:tc>
          <w:tcPr>
            <w:tcW w:w="1100" w:type="dxa"/>
            <w:vAlign w:val="center"/>
          </w:tcPr>
          <w:p>
            <w:pPr>
              <w:jc w:val="center"/>
              <w:rPr>
                <w:rFonts w:ascii="宋体" w:hAnsi="宋体"/>
                <w:color w:val="000000" w:themeColor="text1"/>
                <w:szCs w:val="21"/>
                <w14:textFill>
                  <w14:solidFill>
                    <w14:schemeClr w14:val="tx1"/>
                  </w14:solidFill>
                </w14:textFill>
              </w:rPr>
            </w:pPr>
          </w:p>
        </w:tc>
        <w:tc>
          <w:tcPr>
            <w:tcW w:w="763" w:type="dxa"/>
            <w:vAlign w:val="center"/>
          </w:tcPr>
          <w:p>
            <w:pPr>
              <w:jc w:val="center"/>
              <w:rPr>
                <w:rFonts w:ascii="宋体" w:hAnsi="宋体"/>
                <w:color w:val="000000" w:themeColor="text1"/>
                <w:szCs w:val="21"/>
                <w14:textFill>
                  <w14:solidFill>
                    <w14:schemeClr w14:val="tx1"/>
                  </w14:solidFill>
                </w14:textFill>
              </w:rPr>
            </w:pPr>
          </w:p>
        </w:tc>
        <w:tc>
          <w:tcPr>
            <w:tcW w:w="1161"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1336"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86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8" w:type="dxa"/>
            <w:vAlign w:val="center"/>
          </w:tcPr>
          <w:p>
            <w:pPr>
              <w:jc w:val="center"/>
              <w:rPr>
                <w:rFonts w:ascii="宋体" w:hAnsi="宋体"/>
                <w:color w:val="000000" w:themeColor="text1"/>
                <w:szCs w:val="21"/>
                <w14:textFill>
                  <w14:solidFill>
                    <w14:schemeClr w14:val="tx1"/>
                  </w14:solidFill>
                </w14:textFill>
              </w:rPr>
            </w:pPr>
          </w:p>
        </w:tc>
        <w:tc>
          <w:tcPr>
            <w:tcW w:w="1100" w:type="dxa"/>
            <w:vAlign w:val="center"/>
          </w:tcPr>
          <w:p>
            <w:pPr>
              <w:jc w:val="center"/>
              <w:rPr>
                <w:rFonts w:ascii="宋体" w:hAnsi="宋体"/>
                <w:color w:val="000000" w:themeColor="text1"/>
                <w:szCs w:val="21"/>
                <w14:textFill>
                  <w14:solidFill>
                    <w14:schemeClr w14:val="tx1"/>
                  </w14:solidFill>
                </w14:textFill>
              </w:rPr>
            </w:pPr>
          </w:p>
        </w:tc>
        <w:tc>
          <w:tcPr>
            <w:tcW w:w="763" w:type="dxa"/>
            <w:vAlign w:val="center"/>
          </w:tcPr>
          <w:p>
            <w:pPr>
              <w:jc w:val="center"/>
              <w:rPr>
                <w:rFonts w:ascii="宋体" w:hAnsi="宋体"/>
                <w:color w:val="000000" w:themeColor="text1"/>
                <w:szCs w:val="21"/>
                <w14:textFill>
                  <w14:solidFill>
                    <w14:schemeClr w14:val="tx1"/>
                  </w14:solidFill>
                </w14:textFill>
              </w:rPr>
            </w:pPr>
          </w:p>
        </w:tc>
        <w:tc>
          <w:tcPr>
            <w:tcW w:w="1161"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1336"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86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8" w:type="dxa"/>
            <w:vAlign w:val="center"/>
          </w:tcPr>
          <w:p>
            <w:pPr>
              <w:jc w:val="center"/>
              <w:rPr>
                <w:rFonts w:ascii="宋体" w:hAnsi="宋体"/>
                <w:color w:val="000000" w:themeColor="text1"/>
                <w:szCs w:val="21"/>
                <w14:textFill>
                  <w14:solidFill>
                    <w14:schemeClr w14:val="tx1"/>
                  </w14:solidFill>
                </w14:textFill>
              </w:rPr>
            </w:pPr>
          </w:p>
        </w:tc>
        <w:tc>
          <w:tcPr>
            <w:tcW w:w="1100" w:type="dxa"/>
            <w:vAlign w:val="center"/>
          </w:tcPr>
          <w:p>
            <w:pPr>
              <w:jc w:val="center"/>
              <w:rPr>
                <w:rFonts w:ascii="宋体" w:hAnsi="宋体"/>
                <w:color w:val="000000" w:themeColor="text1"/>
                <w:szCs w:val="21"/>
                <w14:textFill>
                  <w14:solidFill>
                    <w14:schemeClr w14:val="tx1"/>
                  </w14:solidFill>
                </w14:textFill>
              </w:rPr>
            </w:pPr>
          </w:p>
        </w:tc>
        <w:tc>
          <w:tcPr>
            <w:tcW w:w="763" w:type="dxa"/>
            <w:vAlign w:val="center"/>
          </w:tcPr>
          <w:p>
            <w:pPr>
              <w:jc w:val="center"/>
              <w:rPr>
                <w:rFonts w:ascii="宋体" w:hAnsi="宋体"/>
                <w:color w:val="000000" w:themeColor="text1"/>
                <w:szCs w:val="21"/>
                <w14:textFill>
                  <w14:solidFill>
                    <w14:schemeClr w14:val="tx1"/>
                  </w14:solidFill>
                </w14:textFill>
              </w:rPr>
            </w:pPr>
          </w:p>
        </w:tc>
        <w:tc>
          <w:tcPr>
            <w:tcW w:w="1161"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1336"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86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8" w:type="dxa"/>
            <w:vAlign w:val="center"/>
          </w:tcPr>
          <w:p>
            <w:pPr>
              <w:jc w:val="center"/>
              <w:rPr>
                <w:rFonts w:ascii="宋体" w:hAnsi="宋体"/>
                <w:color w:val="000000" w:themeColor="text1"/>
                <w:szCs w:val="21"/>
                <w14:textFill>
                  <w14:solidFill>
                    <w14:schemeClr w14:val="tx1"/>
                  </w14:solidFill>
                </w14:textFill>
              </w:rPr>
            </w:pPr>
          </w:p>
        </w:tc>
        <w:tc>
          <w:tcPr>
            <w:tcW w:w="1100" w:type="dxa"/>
            <w:vAlign w:val="center"/>
          </w:tcPr>
          <w:p>
            <w:pPr>
              <w:jc w:val="center"/>
              <w:rPr>
                <w:rFonts w:ascii="宋体" w:hAnsi="宋体"/>
                <w:color w:val="000000" w:themeColor="text1"/>
                <w:szCs w:val="21"/>
                <w14:textFill>
                  <w14:solidFill>
                    <w14:schemeClr w14:val="tx1"/>
                  </w14:solidFill>
                </w14:textFill>
              </w:rPr>
            </w:pPr>
          </w:p>
        </w:tc>
        <w:tc>
          <w:tcPr>
            <w:tcW w:w="763" w:type="dxa"/>
            <w:vAlign w:val="center"/>
          </w:tcPr>
          <w:p>
            <w:pPr>
              <w:jc w:val="center"/>
              <w:rPr>
                <w:rFonts w:ascii="宋体" w:hAnsi="宋体"/>
                <w:color w:val="000000" w:themeColor="text1"/>
                <w:szCs w:val="21"/>
                <w14:textFill>
                  <w14:solidFill>
                    <w14:schemeClr w14:val="tx1"/>
                  </w14:solidFill>
                </w14:textFill>
              </w:rPr>
            </w:pPr>
          </w:p>
        </w:tc>
        <w:tc>
          <w:tcPr>
            <w:tcW w:w="1161"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1336"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86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8" w:type="dxa"/>
            <w:vAlign w:val="center"/>
          </w:tcPr>
          <w:p>
            <w:pPr>
              <w:jc w:val="center"/>
              <w:rPr>
                <w:rFonts w:ascii="宋体" w:hAnsi="宋体"/>
                <w:color w:val="000000" w:themeColor="text1"/>
                <w:szCs w:val="21"/>
                <w14:textFill>
                  <w14:solidFill>
                    <w14:schemeClr w14:val="tx1"/>
                  </w14:solidFill>
                </w14:textFill>
              </w:rPr>
            </w:pPr>
          </w:p>
        </w:tc>
        <w:tc>
          <w:tcPr>
            <w:tcW w:w="1100" w:type="dxa"/>
            <w:vAlign w:val="center"/>
          </w:tcPr>
          <w:p>
            <w:pPr>
              <w:jc w:val="center"/>
              <w:rPr>
                <w:rFonts w:ascii="宋体" w:hAnsi="宋体"/>
                <w:color w:val="000000" w:themeColor="text1"/>
                <w:szCs w:val="21"/>
                <w14:textFill>
                  <w14:solidFill>
                    <w14:schemeClr w14:val="tx1"/>
                  </w14:solidFill>
                </w14:textFill>
              </w:rPr>
            </w:pPr>
          </w:p>
        </w:tc>
        <w:tc>
          <w:tcPr>
            <w:tcW w:w="763" w:type="dxa"/>
            <w:vAlign w:val="center"/>
          </w:tcPr>
          <w:p>
            <w:pPr>
              <w:jc w:val="center"/>
              <w:rPr>
                <w:rFonts w:ascii="宋体" w:hAnsi="宋体"/>
                <w:color w:val="000000" w:themeColor="text1"/>
                <w:szCs w:val="21"/>
                <w14:textFill>
                  <w14:solidFill>
                    <w14:schemeClr w14:val="tx1"/>
                  </w14:solidFill>
                </w14:textFill>
              </w:rPr>
            </w:pPr>
          </w:p>
        </w:tc>
        <w:tc>
          <w:tcPr>
            <w:tcW w:w="1161"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805" w:type="dxa"/>
            <w:vAlign w:val="center"/>
          </w:tcPr>
          <w:p>
            <w:pPr>
              <w:jc w:val="center"/>
              <w:rPr>
                <w:rFonts w:ascii="宋体" w:hAnsi="宋体"/>
                <w:color w:val="000000" w:themeColor="text1"/>
                <w:szCs w:val="21"/>
                <w14:textFill>
                  <w14:solidFill>
                    <w14:schemeClr w14:val="tx1"/>
                  </w14:solidFill>
                </w14:textFill>
              </w:rPr>
            </w:pPr>
          </w:p>
        </w:tc>
        <w:tc>
          <w:tcPr>
            <w:tcW w:w="1336"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991" w:type="dxa"/>
            <w:vAlign w:val="center"/>
          </w:tcPr>
          <w:p>
            <w:pPr>
              <w:jc w:val="center"/>
              <w:rPr>
                <w:rFonts w:ascii="宋体" w:hAnsi="宋体"/>
                <w:color w:val="000000" w:themeColor="text1"/>
                <w:szCs w:val="21"/>
                <w14:textFill>
                  <w14:solidFill>
                    <w14:schemeClr w14:val="tx1"/>
                  </w14:solidFill>
                </w14:textFill>
              </w:rPr>
            </w:pPr>
          </w:p>
        </w:tc>
        <w:tc>
          <w:tcPr>
            <w:tcW w:w="869" w:type="dxa"/>
            <w:vAlign w:val="center"/>
          </w:tcPr>
          <w:p>
            <w:pPr>
              <w:jc w:val="center"/>
              <w:rPr>
                <w:rFonts w:ascii="宋体" w:hAnsi="宋体"/>
                <w:color w:val="000000" w:themeColor="text1"/>
                <w:szCs w:val="21"/>
                <w14:textFill>
                  <w14:solidFill>
                    <w14:schemeClr w14:val="tx1"/>
                  </w14:solidFill>
                </w14:textFill>
              </w:rPr>
            </w:pPr>
          </w:p>
        </w:tc>
      </w:tr>
    </w:tbl>
    <w:p>
      <w:pPr>
        <w:spacing w:line="420" w:lineRule="exact"/>
        <w:rPr>
          <w:rFonts w:ascii="宋体" w:hAnsi="宋体"/>
          <w:b/>
          <w:color w:val="000000" w:themeColor="text1"/>
          <w:szCs w:val="21"/>
          <w14:textFill>
            <w14:solidFill>
              <w14:schemeClr w14:val="tx1"/>
            </w14:solidFill>
          </w14:textFill>
        </w:rPr>
      </w:pPr>
    </w:p>
    <w:p>
      <w:pPr>
        <w:pStyle w:val="2"/>
        <w:ind w:left="420" w:firstLine="422"/>
        <w:rPr>
          <w:b/>
          <w:color w:val="000000" w:themeColor="text1"/>
          <w14:textFill>
            <w14:solidFill>
              <w14:schemeClr w14:val="tx1"/>
            </w14:solidFill>
          </w14:textFill>
        </w:rPr>
      </w:pPr>
    </w:p>
    <w:p>
      <w:pPr>
        <w:spacing w:before="120" w:beforeLines="50" w:after="120" w:afterLines="50" w:line="420" w:lineRule="exac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附表二：拟配备本工程的</w:t>
      </w:r>
      <w:r>
        <w:rPr>
          <w:rFonts w:hint="eastAsia" w:ascii="宋体" w:hAnsi="宋体"/>
          <w:b/>
          <w:color w:val="000000" w:themeColor="text1"/>
          <w:sz w:val="24"/>
          <w14:textFill>
            <w14:solidFill>
              <w14:schemeClr w14:val="tx1"/>
            </w14:solidFill>
          </w14:textFill>
        </w:rPr>
        <w:t>施工、</w:t>
      </w:r>
      <w:r>
        <w:rPr>
          <w:rFonts w:ascii="宋体" w:hAnsi="宋体"/>
          <w:b/>
          <w:color w:val="000000" w:themeColor="text1"/>
          <w:sz w:val="24"/>
          <w14:textFill>
            <w14:solidFill>
              <w14:schemeClr w14:val="tx1"/>
            </w14:solidFill>
          </w14:textFill>
        </w:rPr>
        <w:t>试验和检测仪器设备表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90"/>
        <w:gridCol w:w="752"/>
        <w:gridCol w:w="1143"/>
        <w:gridCol w:w="793"/>
        <w:gridCol w:w="793"/>
        <w:gridCol w:w="1315"/>
        <w:gridCol w:w="185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0"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序号</w:t>
            </w:r>
          </w:p>
        </w:tc>
        <w:tc>
          <w:tcPr>
            <w:tcW w:w="1190"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仪器设备</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名    称</w:t>
            </w:r>
          </w:p>
        </w:tc>
        <w:tc>
          <w:tcPr>
            <w:tcW w:w="752"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型号</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规格</w:t>
            </w:r>
          </w:p>
        </w:tc>
        <w:tc>
          <w:tcPr>
            <w:tcW w:w="1143"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数  量</w:t>
            </w:r>
          </w:p>
        </w:tc>
        <w:tc>
          <w:tcPr>
            <w:tcW w:w="793"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国别</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产地</w:t>
            </w:r>
          </w:p>
        </w:tc>
        <w:tc>
          <w:tcPr>
            <w:tcW w:w="793"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制造</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年份</w:t>
            </w:r>
          </w:p>
        </w:tc>
        <w:tc>
          <w:tcPr>
            <w:tcW w:w="131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已使用台</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时    数</w:t>
            </w:r>
          </w:p>
        </w:tc>
        <w:tc>
          <w:tcPr>
            <w:tcW w:w="185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用  途</w:t>
            </w:r>
          </w:p>
        </w:tc>
        <w:tc>
          <w:tcPr>
            <w:tcW w:w="951"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0" w:type="dxa"/>
            <w:vAlign w:val="center"/>
          </w:tcPr>
          <w:p>
            <w:pPr>
              <w:jc w:val="center"/>
              <w:rPr>
                <w:rFonts w:ascii="宋体" w:hAnsi="宋体"/>
                <w:color w:val="000000" w:themeColor="text1"/>
                <w:szCs w:val="21"/>
                <w14:textFill>
                  <w14:solidFill>
                    <w14:schemeClr w14:val="tx1"/>
                  </w14:solidFill>
                </w14:textFill>
              </w:rPr>
            </w:pPr>
          </w:p>
        </w:tc>
        <w:tc>
          <w:tcPr>
            <w:tcW w:w="1190" w:type="dxa"/>
            <w:vAlign w:val="center"/>
          </w:tcPr>
          <w:p>
            <w:pPr>
              <w:jc w:val="center"/>
              <w:rPr>
                <w:rFonts w:ascii="宋体" w:hAnsi="宋体"/>
                <w:color w:val="000000" w:themeColor="text1"/>
                <w:szCs w:val="21"/>
                <w14:textFill>
                  <w14:solidFill>
                    <w14:schemeClr w14:val="tx1"/>
                  </w14:solidFill>
                </w14:textFill>
              </w:rPr>
            </w:pPr>
          </w:p>
        </w:tc>
        <w:tc>
          <w:tcPr>
            <w:tcW w:w="752" w:type="dxa"/>
            <w:vAlign w:val="center"/>
          </w:tcPr>
          <w:p>
            <w:pPr>
              <w:jc w:val="center"/>
              <w:rPr>
                <w:rFonts w:ascii="宋体" w:hAnsi="宋体"/>
                <w:color w:val="000000" w:themeColor="text1"/>
                <w:szCs w:val="21"/>
                <w14:textFill>
                  <w14:solidFill>
                    <w14:schemeClr w14:val="tx1"/>
                  </w14:solidFill>
                </w14:textFill>
              </w:rPr>
            </w:pPr>
          </w:p>
        </w:tc>
        <w:tc>
          <w:tcPr>
            <w:tcW w:w="114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1315" w:type="dxa"/>
            <w:vAlign w:val="center"/>
          </w:tcPr>
          <w:p>
            <w:pPr>
              <w:jc w:val="center"/>
              <w:rPr>
                <w:rFonts w:ascii="宋体" w:hAnsi="宋体"/>
                <w:color w:val="000000" w:themeColor="text1"/>
                <w:szCs w:val="21"/>
                <w14:textFill>
                  <w14:solidFill>
                    <w14:schemeClr w14:val="tx1"/>
                  </w14:solidFill>
                </w14:textFill>
              </w:rPr>
            </w:pPr>
          </w:p>
        </w:tc>
        <w:tc>
          <w:tcPr>
            <w:tcW w:w="1855" w:type="dxa"/>
            <w:vAlign w:val="center"/>
          </w:tcPr>
          <w:p>
            <w:pPr>
              <w:jc w:val="center"/>
              <w:rPr>
                <w:rFonts w:ascii="宋体" w:hAnsi="宋体"/>
                <w:color w:val="000000" w:themeColor="text1"/>
                <w:szCs w:val="21"/>
                <w14:textFill>
                  <w14:solidFill>
                    <w14:schemeClr w14:val="tx1"/>
                  </w14:solidFill>
                </w14:textFill>
              </w:rPr>
            </w:pPr>
          </w:p>
        </w:tc>
        <w:tc>
          <w:tcPr>
            <w:tcW w:w="951"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0" w:type="dxa"/>
            <w:vAlign w:val="center"/>
          </w:tcPr>
          <w:p>
            <w:pPr>
              <w:jc w:val="center"/>
              <w:rPr>
                <w:rFonts w:ascii="宋体" w:hAnsi="宋体"/>
                <w:color w:val="000000" w:themeColor="text1"/>
                <w:szCs w:val="21"/>
                <w14:textFill>
                  <w14:solidFill>
                    <w14:schemeClr w14:val="tx1"/>
                  </w14:solidFill>
                </w14:textFill>
              </w:rPr>
            </w:pPr>
          </w:p>
        </w:tc>
        <w:tc>
          <w:tcPr>
            <w:tcW w:w="1190" w:type="dxa"/>
            <w:vAlign w:val="center"/>
          </w:tcPr>
          <w:p>
            <w:pPr>
              <w:jc w:val="center"/>
              <w:rPr>
                <w:rFonts w:ascii="宋体" w:hAnsi="宋体"/>
                <w:color w:val="000000" w:themeColor="text1"/>
                <w:szCs w:val="21"/>
                <w14:textFill>
                  <w14:solidFill>
                    <w14:schemeClr w14:val="tx1"/>
                  </w14:solidFill>
                </w14:textFill>
              </w:rPr>
            </w:pPr>
          </w:p>
        </w:tc>
        <w:tc>
          <w:tcPr>
            <w:tcW w:w="752" w:type="dxa"/>
            <w:vAlign w:val="center"/>
          </w:tcPr>
          <w:p>
            <w:pPr>
              <w:jc w:val="center"/>
              <w:rPr>
                <w:rFonts w:ascii="宋体" w:hAnsi="宋体"/>
                <w:color w:val="000000" w:themeColor="text1"/>
                <w:szCs w:val="21"/>
                <w14:textFill>
                  <w14:solidFill>
                    <w14:schemeClr w14:val="tx1"/>
                  </w14:solidFill>
                </w14:textFill>
              </w:rPr>
            </w:pPr>
          </w:p>
        </w:tc>
        <w:tc>
          <w:tcPr>
            <w:tcW w:w="114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1315" w:type="dxa"/>
            <w:vAlign w:val="center"/>
          </w:tcPr>
          <w:p>
            <w:pPr>
              <w:jc w:val="center"/>
              <w:rPr>
                <w:rFonts w:ascii="宋体" w:hAnsi="宋体"/>
                <w:color w:val="000000" w:themeColor="text1"/>
                <w:szCs w:val="21"/>
                <w14:textFill>
                  <w14:solidFill>
                    <w14:schemeClr w14:val="tx1"/>
                  </w14:solidFill>
                </w14:textFill>
              </w:rPr>
            </w:pPr>
          </w:p>
        </w:tc>
        <w:tc>
          <w:tcPr>
            <w:tcW w:w="1855" w:type="dxa"/>
            <w:vAlign w:val="center"/>
          </w:tcPr>
          <w:p>
            <w:pPr>
              <w:jc w:val="center"/>
              <w:rPr>
                <w:rFonts w:ascii="宋体" w:hAnsi="宋体"/>
                <w:color w:val="000000" w:themeColor="text1"/>
                <w:szCs w:val="21"/>
                <w14:textFill>
                  <w14:solidFill>
                    <w14:schemeClr w14:val="tx1"/>
                  </w14:solidFill>
                </w14:textFill>
              </w:rPr>
            </w:pPr>
          </w:p>
        </w:tc>
        <w:tc>
          <w:tcPr>
            <w:tcW w:w="951"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0" w:type="dxa"/>
            <w:vAlign w:val="center"/>
          </w:tcPr>
          <w:p>
            <w:pPr>
              <w:jc w:val="center"/>
              <w:rPr>
                <w:rFonts w:ascii="宋体" w:hAnsi="宋体"/>
                <w:color w:val="000000" w:themeColor="text1"/>
                <w:szCs w:val="21"/>
                <w14:textFill>
                  <w14:solidFill>
                    <w14:schemeClr w14:val="tx1"/>
                  </w14:solidFill>
                </w14:textFill>
              </w:rPr>
            </w:pPr>
          </w:p>
        </w:tc>
        <w:tc>
          <w:tcPr>
            <w:tcW w:w="1190" w:type="dxa"/>
            <w:vAlign w:val="center"/>
          </w:tcPr>
          <w:p>
            <w:pPr>
              <w:jc w:val="center"/>
              <w:rPr>
                <w:rFonts w:ascii="宋体" w:hAnsi="宋体"/>
                <w:color w:val="000000" w:themeColor="text1"/>
                <w:szCs w:val="21"/>
                <w14:textFill>
                  <w14:solidFill>
                    <w14:schemeClr w14:val="tx1"/>
                  </w14:solidFill>
                </w14:textFill>
              </w:rPr>
            </w:pPr>
          </w:p>
        </w:tc>
        <w:tc>
          <w:tcPr>
            <w:tcW w:w="752" w:type="dxa"/>
            <w:vAlign w:val="center"/>
          </w:tcPr>
          <w:p>
            <w:pPr>
              <w:jc w:val="center"/>
              <w:rPr>
                <w:rFonts w:ascii="宋体" w:hAnsi="宋体"/>
                <w:color w:val="000000" w:themeColor="text1"/>
                <w:szCs w:val="21"/>
                <w14:textFill>
                  <w14:solidFill>
                    <w14:schemeClr w14:val="tx1"/>
                  </w14:solidFill>
                </w14:textFill>
              </w:rPr>
            </w:pPr>
          </w:p>
        </w:tc>
        <w:tc>
          <w:tcPr>
            <w:tcW w:w="114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1315" w:type="dxa"/>
            <w:vAlign w:val="center"/>
          </w:tcPr>
          <w:p>
            <w:pPr>
              <w:jc w:val="center"/>
              <w:rPr>
                <w:rFonts w:ascii="宋体" w:hAnsi="宋体"/>
                <w:color w:val="000000" w:themeColor="text1"/>
                <w:szCs w:val="21"/>
                <w14:textFill>
                  <w14:solidFill>
                    <w14:schemeClr w14:val="tx1"/>
                  </w14:solidFill>
                </w14:textFill>
              </w:rPr>
            </w:pPr>
          </w:p>
        </w:tc>
        <w:tc>
          <w:tcPr>
            <w:tcW w:w="1855" w:type="dxa"/>
            <w:vAlign w:val="center"/>
          </w:tcPr>
          <w:p>
            <w:pPr>
              <w:jc w:val="center"/>
              <w:rPr>
                <w:rFonts w:ascii="宋体" w:hAnsi="宋体"/>
                <w:color w:val="000000" w:themeColor="text1"/>
                <w:szCs w:val="21"/>
                <w14:textFill>
                  <w14:solidFill>
                    <w14:schemeClr w14:val="tx1"/>
                  </w14:solidFill>
                </w14:textFill>
              </w:rPr>
            </w:pPr>
          </w:p>
        </w:tc>
        <w:tc>
          <w:tcPr>
            <w:tcW w:w="951"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0" w:type="dxa"/>
            <w:vAlign w:val="center"/>
          </w:tcPr>
          <w:p>
            <w:pPr>
              <w:jc w:val="center"/>
              <w:rPr>
                <w:rFonts w:ascii="宋体" w:hAnsi="宋体"/>
                <w:color w:val="000000" w:themeColor="text1"/>
                <w:szCs w:val="21"/>
                <w14:textFill>
                  <w14:solidFill>
                    <w14:schemeClr w14:val="tx1"/>
                  </w14:solidFill>
                </w14:textFill>
              </w:rPr>
            </w:pPr>
          </w:p>
        </w:tc>
        <w:tc>
          <w:tcPr>
            <w:tcW w:w="1190" w:type="dxa"/>
            <w:vAlign w:val="center"/>
          </w:tcPr>
          <w:p>
            <w:pPr>
              <w:jc w:val="center"/>
              <w:rPr>
                <w:rFonts w:ascii="宋体" w:hAnsi="宋体"/>
                <w:color w:val="000000" w:themeColor="text1"/>
                <w:szCs w:val="21"/>
                <w14:textFill>
                  <w14:solidFill>
                    <w14:schemeClr w14:val="tx1"/>
                  </w14:solidFill>
                </w14:textFill>
              </w:rPr>
            </w:pPr>
          </w:p>
        </w:tc>
        <w:tc>
          <w:tcPr>
            <w:tcW w:w="752" w:type="dxa"/>
            <w:vAlign w:val="center"/>
          </w:tcPr>
          <w:p>
            <w:pPr>
              <w:jc w:val="center"/>
              <w:rPr>
                <w:rFonts w:ascii="宋体" w:hAnsi="宋体"/>
                <w:color w:val="000000" w:themeColor="text1"/>
                <w:szCs w:val="21"/>
                <w14:textFill>
                  <w14:solidFill>
                    <w14:schemeClr w14:val="tx1"/>
                  </w14:solidFill>
                </w14:textFill>
              </w:rPr>
            </w:pPr>
          </w:p>
        </w:tc>
        <w:tc>
          <w:tcPr>
            <w:tcW w:w="114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1315" w:type="dxa"/>
            <w:vAlign w:val="center"/>
          </w:tcPr>
          <w:p>
            <w:pPr>
              <w:jc w:val="center"/>
              <w:rPr>
                <w:rFonts w:ascii="宋体" w:hAnsi="宋体"/>
                <w:color w:val="000000" w:themeColor="text1"/>
                <w:szCs w:val="21"/>
                <w14:textFill>
                  <w14:solidFill>
                    <w14:schemeClr w14:val="tx1"/>
                  </w14:solidFill>
                </w14:textFill>
              </w:rPr>
            </w:pPr>
          </w:p>
        </w:tc>
        <w:tc>
          <w:tcPr>
            <w:tcW w:w="1855" w:type="dxa"/>
            <w:vAlign w:val="center"/>
          </w:tcPr>
          <w:p>
            <w:pPr>
              <w:jc w:val="center"/>
              <w:rPr>
                <w:rFonts w:ascii="宋体" w:hAnsi="宋体"/>
                <w:color w:val="000000" w:themeColor="text1"/>
                <w:szCs w:val="21"/>
                <w14:textFill>
                  <w14:solidFill>
                    <w14:schemeClr w14:val="tx1"/>
                  </w14:solidFill>
                </w14:textFill>
              </w:rPr>
            </w:pPr>
          </w:p>
        </w:tc>
        <w:tc>
          <w:tcPr>
            <w:tcW w:w="951"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0" w:type="dxa"/>
            <w:vAlign w:val="center"/>
          </w:tcPr>
          <w:p>
            <w:pPr>
              <w:jc w:val="center"/>
              <w:rPr>
                <w:rFonts w:ascii="宋体" w:hAnsi="宋体"/>
                <w:color w:val="000000" w:themeColor="text1"/>
                <w:szCs w:val="21"/>
                <w14:textFill>
                  <w14:solidFill>
                    <w14:schemeClr w14:val="tx1"/>
                  </w14:solidFill>
                </w14:textFill>
              </w:rPr>
            </w:pPr>
          </w:p>
        </w:tc>
        <w:tc>
          <w:tcPr>
            <w:tcW w:w="1190" w:type="dxa"/>
            <w:vAlign w:val="center"/>
          </w:tcPr>
          <w:p>
            <w:pPr>
              <w:jc w:val="center"/>
              <w:rPr>
                <w:rFonts w:ascii="宋体" w:hAnsi="宋体"/>
                <w:color w:val="000000" w:themeColor="text1"/>
                <w:szCs w:val="21"/>
                <w14:textFill>
                  <w14:solidFill>
                    <w14:schemeClr w14:val="tx1"/>
                  </w14:solidFill>
                </w14:textFill>
              </w:rPr>
            </w:pPr>
          </w:p>
        </w:tc>
        <w:tc>
          <w:tcPr>
            <w:tcW w:w="752" w:type="dxa"/>
            <w:vAlign w:val="center"/>
          </w:tcPr>
          <w:p>
            <w:pPr>
              <w:jc w:val="center"/>
              <w:rPr>
                <w:rFonts w:ascii="宋体" w:hAnsi="宋体"/>
                <w:color w:val="000000" w:themeColor="text1"/>
                <w:szCs w:val="21"/>
                <w14:textFill>
                  <w14:solidFill>
                    <w14:schemeClr w14:val="tx1"/>
                  </w14:solidFill>
                </w14:textFill>
              </w:rPr>
            </w:pPr>
          </w:p>
        </w:tc>
        <w:tc>
          <w:tcPr>
            <w:tcW w:w="114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1315" w:type="dxa"/>
            <w:vAlign w:val="center"/>
          </w:tcPr>
          <w:p>
            <w:pPr>
              <w:jc w:val="center"/>
              <w:rPr>
                <w:rFonts w:ascii="宋体" w:hAnsi="宋体"/>
                <w:color w:val="000000" w:themeColor="text1"/>
                <w:szCs w:val="21"/>
                <w14:textFill>
                  <w14:solidFill>
                    <w14:schemeClr w14:val="tx1"/>
                  </w14:solidFill>
                </w14:textFill>
              </w:rPr>
            </w:pPr>
          </w:p>
        </w:tc>
        <w:tc>
          <w:tcPr>
            <w:tcW w:w="1855" w:type="dxa"/>
            <w:vAlign w:val="center"/>
          </w:tcPr>
          <w:p>
            <w:pPr>
              <w:jc w:val="center"/>
              <w:rPr>
                <w:rFonts w:ascii="宋体" w:hAnsi="宋体"/>
                <w:color w:val="000000" w:themeColor="text1"/>
                <w:szCs w:val="21"/>
                <w14:textFill>
                  <w14:solidFill>
                    <w14:schemeClr w14:val="tx1"/>
                  </w14:solidFill>
                </w14:textFill>
              </w:rPr>
            </w:pPr>
          </w:p>
        </w:tc>
        <w:tc>
          <w:tcPr>
            <w:tcW w:w="951"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0" w:type="dxa"/>
            <w:vAlign w:val="center"/>
          </w:tcPr>
          <w:p>
            <w:pPr>
              <w:jc w:val="center"/>
              <w:rPr>
                <w:rFonts w:ascii="宋体" w:hAnsi="宋体"/>
                <w:color w:val="000000" w:themeColor="text1"/>
                <w:szCs w:val="21"/>
                <w14:textFill>
                  <w14:solidFill>
                    <w14:schemeClr w14:val="tx1"/>
                  </w14:solidFill>
                </w14:textFill>
              </w:rPr>
            </w:pPr>
          </w:p>
        </w:tc>
        <w:tc>
          <w:tcPr>
            <w:tcW w:w="1190" w:type="dxa"/>
            <w:vAlign w:val="center"/>
          </w:tcPr>
          <w:p>
            <w:pPr>
              <w:jc w:val="center"/>
              <w:rPr>
                <w:rFonts w:ascii="宋体" w:hAnsi="宋体"/>
                <w:color w:val="000000" w:themeColor="text1"/>
                <w:szCs w:val="21"/>
                <w14:textFill>
                  <w14:solidFill>
                    <w14:schemeClr w14:val="tx1"/>
                  </w14:solidFill>
                </w14:textFill>
              </w:rPr>
            </w:pPr>
          </w:p>
        </w:tc>
        <w:tc>
          <w:tcPr>
            <w:tcW w:w="752" w:type="dxa"/>
            <w:vAlign w:val="center"/>
          </w:tcPr>
          <w:p>
            <w:pPr>
              <w:jc w:val="center"/>
              <w:rPr>
                <w:rFonts w:ascii="宋体" w:hAnsi="宋体"/>
                <w:color w:val="000000" w:themeColor="text1"/>
                <w:szCs w:val="21"/>
                <w14:textFill>
                  <w14:solidFill>
                    <w14:schemeClr w14:val="tx1"/>
                  </w14:solidFill>
                </w14:textFill>
              </w:rPr>
            </w:pPr>
          </w:p>
        </w:tc>
        <w:tc>
          <w:tcPr>
            <w:tcW w:w="114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1315" w:type="dxa"/>
            <w:vAlign w:val="center"/>
          </w:tcPr>
          <w:p>
            <w:pPr>
              <w:jc w:val="center"/>
              <w:rPr>
                <w:rFonts w:ascii="宋体" w:hAnsi="宋体"/>
                <w:color w:val="000000" w:themeColor="text1"/>
                <w:szCs w:val="21"/>
                <w14:textFill>
                  <w14:solidFill>
                    <w14:schemeClr w14:val="tx1"/>
                  </w14:solidFill>
                </w14:textFill>
              </w:rPr>
            </w:pPr>
          </w:p>
        </w:tc>
        <w:tc>
          <w:tcPr>
            <w:tcW w:w="1855" w:type="dxa"/>
            <w:vAlign w:val="center"/>
          </w:tcPr>
          <w:p>
            <w:pPr>
              <w:jc w:val="center"/>
              <w:rPr>
                <w:rFonts w:ascii="宋体" w:hAnsi="宋体"/>
                <w:color w:val="000000" w:themeColor="text1"/>
                <w:szCs w:val="21"/>
                <w14:textFill>
                  <w14:solidFill>
                    <w14:schemeClr w14:val="tx1"/>
                  </w14:solidFill>
                </w14:textFill>
              </w:rPr>
            </w:pPr>
          </w:p>
        </w:tc>
        <w:tc>
          <w:tcPr>
            <w:tcW w:w="951"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0" w:type="dxa"/>
            <w:vAlign w:val="center"/>
          </w:tcPr>
          <w:p>
            <w:pPr>
              <w:jc w:val="center"/>
              <w:rPr>
                <w:rFonts w:ascii="宋体" w:hAnsi="宋体"/>
                <w:color w:val="000000" w:themeColor="text1"/>
                <w:szCs w:val="21"/>
                <w14:textFill>
                  <w14:solidFill>
                    <w14:schemeClr w14:val="tx1"/>
                  </w14:solidFill>
                </w14:textFill>
              </w:rPr>
            </w:pPr>
          </w:p>
        </w:tc>
        <w:tc>
          <w:tcPr>
            <w:tcW w:w="1190" w:type="dxa"/>
            <w:vAlign w:val="center"/>
          </w:tcPr>
          <w:p>
            <w:pPr>
              <w:jc w:val="center"/>
              <w:rPr>
                <w:rFonts w:ascii="宋体" w:hAnsi="宋体"/>
                <w:color w:val="000000" w:themeColor="text1"/>
                <w:szCs w:val="21"/>
                <w14:textFill>
                  <w14:solidFill>
                    <w14:schemeClr w14:val="tx1"/>
                  </w14:solidFill>
                </w14:textFill>
              </w:rPr>
            </w:pPr>
          </w:p>
        </w:tc>
        <w:tc>
          <w:tcPr>
            <w:tcW w:w="752" w:type="dxa"/>
            <w:vAlign w:val="center"/>
          </w:tcPr>
          <w:p>
            <w:pPr>
              <w:jc w:val="center"/>
              <w:rPr>
                <w:rFonts w:ascii="宋体" w:hAnsi="宋体"/>
                <w:color w:val="000000" w:themeColor="text1"/>
                <w:szCs w:val="21"/>
                <w14:textFill>
                  <w14:solidFill>
                    <w14:schemeClr w14:val="tx1"/>
                  </w14:solidFill>
                </w14:textFill>
              </w:rPr>
            </w:pPr>
          </w:p>
        </w:tc>
        <w:tc>
          <w:tcPr>
            <w:tcW w:w="114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1315" w:type="dxa"/>
            <w:vAlign w:val="center"/>
          </w:tcPr>
          <w:p>
            <w:pPr>
              <w:jc w:val="center"/>
              <w:rPr>
                <w:rFonts w:ascii="宋体" w:hAnsi="宋体"/>
                <w:color w:val="000000" w:themeColor="text1"/>
                <w:szCs w:val="21"/>
                <w14:textFill>
                  <w14:solidFill>
                    <w14:schemeClr w14:val="tx1"/>
                  </w14:solidFill>
                </w14:textFill>
              </w:rPr>
            </w:pPr>
          </w:p>
        </w:tc>
        <w:tc>
          <w:tcPr>
            <w:tcW w:w="1855" w:type="dxa"/>
            <w:vAlign w:val="center"/>
          </w:tcPr>
          <w:p>
            <w:pPr>
              <w:jc w:val="center"/>
              <w:rPr>
                <w:rFonts w:ascii="宋体" w:hAnsi="宋体"/>
                <w:color w:val="000000" w:themeColor="text1"/>
                <w:szCs w:val="21"/>
                <w14:textFill>
                  <w14:solidFill>
                    <w14:schemeClr w14:val="tx1"/>
                  </w14:solidFill>
                </w14:textFill>
              </w:rPr>
            </w:pPr>
          </w:p>
        </w:tc>
        <w:tc>
          <w:tcPr>
            <w:tcW w:w="951"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0" w:type="dxa"/>
            <w:vAlign w:val="center"/>
          </w:tcPr>
          <w:p>
            <w:pPr>
              <w:jc w:val="center"/>
              <w:rPr>
                <w:rFonts w:ascii="宋体" w:hAnsi="宋体"/>
                <w:color w:val="000000" w:themeColor="text1"/>
                <w:szCs w:val="21"/>
                <w14:textFill>
                  <w14:solidFill>
                    <w14:schemeClr w14:val="tx1"/>
                  </w14:solidFill>
                </w14:textFill>
              </w:rPr>
            </w:pPr>
          </w:p>
        </w:tc>
        <w:tc>
          <w:tcPr>
            <w:tcW w:w="1190" w:type="dxa"/>
            <w:vAlign w:val="center"/>
          </w:tcPr>
          <w:p>
            <w:pPr>
              <w:jc w:val="center"/>
              <w:rPr>
                <w:rFonts w:ascii="宋体" w:hAnsi="宋体"/>
                <w:color w:val="000000" w:themeColor="text1"/>
                <w:szCs w:val="21"/>
                <w14:textFill>
                  <w14:solidFill>
                    <w14:schemeClr w14:val="tx1"/>
                  </w14:solidFill>
                </w14:textFill>
              </w:rPr>
            </w:pPr>
          </w:p>
        </w:tc>
        <w:tc>
          <w:tcPr>
            <w:tcW w:w="752" w:type="dxa"/>
            <w:vAlign w:val="center"/>
          </w:tcPr>
          <w:p>
            <w:pPr>
              <w:jc w:val="center"/>
              <w:rPr>
                <w:rFonts w:ascii="宋体" w:hAnsi="宋体"/>
                <w:color w:val="000000" w:themeColor="text1"/>
                <w:szCs w:val="21"/>
                <w14:textFill>
                  <w14:solidFill>
                    <w14:schemeClr w14:val="tx1"/>
                  </w14:solidFill>
                </w14:textFill>
              </w:rPr>
            </w:pPr>
          </w:p>
        </w:tc>
        <w:tc>
          <w:tcPr>
            <w:tcW w:w="114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1315" w:type="dxa"/>
            <w:vAlign w:val="center"/>
          </w:tcPr>
          <w:p>
            <w:pPr>
              <w:jc w:val="center"/>
              <w:rPr>
                <w:rFonts w:ascii="宋体" w:hAnsi="宋体"/>
                <w:color w:val="000000" w:themeColor="text1"/>
                <w:szCs w:val="21"/>
                <w14:textFill>
                  <w14:solidFill>
                    <w14:schemeClr w14:val="tx1"/>
                  </w14:solidFill>
                </w14:textFill>
              </w:rPr>
            </w:pPr>
          </w:p>
        </w:tc>
        <w:tc>
          <w:tcPr>
            <w:tcW w:w="1855" w:type="dxa"/>
            <w:vAlign w:val="center"/>
          </w:tcPr>
          <w:p>
            <w:pPr>
              <w:jc w:val="center"/>
              <w:rPr>
                <w:rFonts w:ascii="宋体" w:hAnsi="宋体"/>
                <w:color w:val="000000" w:themeColor="text1"/>
                <w:szCs w:val="21"/>
                <w14:textFill>
                  <w14:solidFill>
                    <w14:schemeClr w14:val="tx1"/>
                  </w14:solidFill>
                </w14:textFill>
              </w:rPr>
            </w:pPr>
          </w:p>
        </w:tc>
        <w:tc>
          <w:tcPr>
            <w:tcW w:w="951"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0" w:type="dxa"/>
            <w:vAlign w:val="center"/>
          </w:tcPr>
          <w:p>
            <w:pPr>
              <w:jc w:val="center"/>
              <w:rPr>
                <w:rFonts w:ascii="宋体" w:hAnsi="宋体"/>
                <w:color w:val="000000" w:themeColor="text1"/>
                <w:szCs w:val="21"/>
                <w14:textFill>
                  <w14:solidFill>
                    <w14:schemeClr w14:val="tx1"/>
                  </w14:solidFill>
                </w14:textFill>
              </w:rPr>
            </w:pPr>
          </w:p>
        </w:tc>
        <w:tc>
          <w:tcPr>
            <w:tcW w:w="1190" w:type="dxa"/>
            <w:vAlign w:val="center"/>
          </w:tcPr>
          <w:p>
            <w:pPr>
              <w:jc w:val="center"/>
              <w:rPr>
                <w:rFonts w:ascii="宋体" w:hAnsi="宋体"/>
                <w:color w:val="000000" w:themeColor="text1"/>
                <w:szCs w:val="21"/>
                <w14:textFill>
                  <w14:solidFill>
                    <w14:schemeClr w14:val="tx1"/>
                  </w14:solidFill>
                </w14:textFill>
              </w:rPr>
            </w:pPr>
          </w:p>
        </w:tc>
        <w:tc>
          <w:tcPr>
            <w:tcW w:w="752" w:type="dxa"/>
            <w:vAlign w:val="center"/>
          </w:tcPr>
          <w:p>
            <w:pPr>
              <w:jc w:val="center"/>
              <w:rPr>
                <w:rFonts w:ascii="宋体" w:hAnsi="宋体"/>
                <w:color w:val="000000" w:themeColor="text1"/>
                <w:szCs w:val="21"/>
                <w14:textFill>
                  <w14:solidFill>
                    <w14:schemeClr w14:val="tx1"/>
                  </w14:solidFill>
                </w14:textFill>
              </w:rPr>
            </w:pPr>
          </w:p>
        </w:tc>
        <w:tc>
          <w:tcPr>
            <w:tcW w:w="114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793" w:type="dxa"/>
            <w:vAlign w:val="center"/>
          </w:tcPr>
          <w:p>
            <w:pPr>
              <w:jc w:val="center"/>
              <w:rPr>
                <w:rFonts w:ascii="宋体" w:hAnsi="宋体"/>
                <w:color w:val="000000" w:themeColor="text1"/>
                <w:szCs w:val="21"/>
                <w14:textFill>
                  <w14:solidFill>
                    <w14:schemeClr w14:val="tx1"/>
                  </w14:solidFill>
                </w14:textFill>
              </w:rPr>
            </w:pPr>
          </w:p>
        </w:tc>
        <w:tc>
          <w:tcPr>
            <w:tcW w:w="1315" w:type="dxa"/>
            <w:vAlign w:val="center"/>
          </w:tcPr>
          <w:p>
            <w:pPr>
              <w:jc w:val="center"/>
              <w:rPr>
                <w:rFonts w:ascii="宋体" w:hAnsi="宋体"/>
                <w:color w:val="000000" w:themeColor="text1"/>
                <w:szCs w:val="21"/>
                <w14:textFill>
                  <w14:solidFill>
                    <w14:schemeClr w14:val="tx1"/>
                  </w14:solidFill>
                </w14:textFill>
              </w:rPr>
            </w:pPr>
          </w:p>
        </w:tc>
        <w:tc>
          <w:tcPr>
            <w:tcW w:w="1855" w:type="dxa"/>
            <w:vAlign w:val="center"/>
          </w:tcPr>
          <w:p>
            <w:pPr>
              <w:jc w:val="center"/>
              <w:rPr>
                <w:rFonts w:ascii="宋体" w:hAnsi="宋体"/>
                <w:color w:val="000000" w:themeColor="text1"/>
                <w:szCs w:val="21"/>
                <w14:textFill>
                  <w14:solidFill>
                    <w14:schemeClr w14:val="tx1"/>
                  </w14:solidFill>
                </w14:textFill>
              </w:rPr>
            </w:pPr>
          </w:p>
        </w:tc>
        <w:tc>
          <w:tcPr>
            <w:tcW w:w="951" w:type="dxa"/>
            <w:vAlign w:val="center"/>
          </w:tcPr>
          <w:p>
            <w:pPr>
              <w:jc w:val="center"/>
              <w:rPr>
                <w:rFonts w:ascii="宋体" w:hAnsi="宋体"/>
                <w:color w:val="000000" w:themeColor="text1"/>
                <w:szCs w:val="21"/>
                <w14:textFill>
                  <w14:solidFill>
                    <w14:schemeClr w14:val="tx1"/>
                  </w14:solidFill>
                </w14:textFill>
              </w:rPr>
            </w:pPr>
          </w:p>
        </w:tc>
      </w:tr>
    </w:tbl>
    <w:p>
      <w:pPr>
        <w:spacing w:line="420" w:lineRule="exact"/>
        <w:rPr>
          <w:rFonts w:ascii="宋体" w:hAnsi="宋体"/>
          <w:b/>
          <w:color w:val="000000" w:themeColor="text1"/>
          <w:szCs w:val="21"/>
          <w14:textFill>
            <w14:solidFill>
              <w14:schemeClr w14:val="tx1"/>
            </w14:solidFill>
          </w14:textFill>
        </w:rPr>
      </w:pPr>
    </w:p>
    <w:p>
      <w:pPr>
        <w:spacing w:line="420" w:lineRule="exact"/>
        <w:rPr>
          <w:rFonts w:ascii="宋体" w:hAnsi="宋体"/>
          <w:b/>
          <w:color w:val="000000" w:themeColor="text1"/>
          <w:szCs w:val="21"/>
          <w14:textFill>
            <w14:solidFill>
              <w14:schemeClr w14:val="tx1"/>
            </w14:solidFill>
          </w14:textFill>
        </w:rPr>
      </w:pPr>
    </w:p>
    <w:p>
      <w:pPr>
        <w:spacing w:before="120" w:beforeLines="50" w:after="120" w:afterLines="50" w:line="420" w:lineRule="exact"/>
        <w:rPr>
          <w:rFonts w:ascii="宋体" w:hAnsi="宋体"/>
          <w:b/>
          <w:color w:val="000000" w:themeColor="text1"/>
          <w:sz w:val="24"/>
          <w14:textFill>
            <w14:solidFill>
              <w14:schemeClr w14:val="tx1"/>
            </w14:solidFill>
          </w14:textFill>
        </w:rPr>
      </w:pPr>
    </w:p>
    <w:p>
      <w:pPr>
        <w:spacing w:before="120" w:beforeLines="50" w:after="120" w:afterLines="50" w:line="420" w:lineRule="exact"/>
        <w:rPr>
          <w:rFonts w:ascii="宋体" w:hAnsi="宋体"/>
          <w:b/>
          <w:color w:val="000000" w:themeColor="text1"/>
          <w:sz w:val="24"/>
          <w14:textFill>
            <w14:solidFill>
              <w14:schemeClr w14:val="tx1"/>
            </w14:solidFill>
          </w14:textFill>
        </w:rPr>
      </w:pPr>
    </w:p>
    <w:p>
      <w:pPr>
        <w:spacing w:before="120" w:beforeLines="50" w:after="120" w:afterLines="50" w:line="420" w:lineRule="exac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附表三：劳动力计划表</w:t>
      </w:r>
    </w:p>
    <w:p>
      <w:pPr>
        <w:spacing w:line="420" w:lineRule="exact"/>
        <w:ind w:right="800"/>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                                                                       单位：人</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93"/>
        <w:gridCol w:w="1194"/>
        <w:gridCol w:w="1194"/>
        <w:gridCol w:w="1194"/>
        <w:gridCol w:w="1194"/>
        <w:gridCol w:w="119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97"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工种</w:t>
            </w:r>
          </w:p>
        </w:tc>
        <w:tc>
          <w:tcPr>
            <w:tcW w:w="8547" w:type="dxa"/>
            <w:gridSpan w:val="7"/>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7" w:type="dxa"/>
            <w:vAlign w:val="center"/>
          </w:tcPr>
          <w:p>
            <w:pPr>
              <w:jc w:val="center"/>
              <w:rPr>
                <w:rFonts w:ascii="宋体" w:hAnsi="宋体"/>
                <w:color w:val="000000" w:themeColor="text1"/>
                <w:szCs w:val="21"/>
                <w14:textFill>
                  <w14:solidFill>
                    <w14:schemeClr w14:val="tx1"/>
                  </w14:solidFill>
                </w14:textFill>
              </w:rPr>
            </w:pPr>
          </w:p>
        </w:tc>
        <w:tc>
          <w:tcPr>
            <w:tcW w:w="1593"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984"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7" w:type="dxa"/>
            <w:vAlign w:val="center"/>
          </w:tcPr>
          <w:p>
            <w:pPr>
              <w:jc w:val="center"/>
              <w:rPr>
                <w:rFonts w:ascii="宋体" w:hAnsi="宋体"/>
                <w:color w:val="000000" w:themeColor="text1"/>
                <w:szCs w:val="21"/>
                <w14:textFill>
                  <w14:solidFill>
                    <w14:schemeClr w14:val="tx1"/>
                  </w14:solidFill>
                </w14:textFill>
              </w:rPr>
            </w:pPr>
          </w:p>
        </w:tc>
        <w:tc>
          <w:tcPr>
            <w:tcW w:w="1593"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984"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7" w:type="dxa"/>
            <w:vAlign w:val="center"/>
          </w:tcPr>
          <w:p>
            <w:pPr>
              <w:jc w:val="center"/>
              <w:rPr>
                <w:rFonts w:ascii="宋体" w:hAnsi="宋体"/>
                <w:color w:val="000000" w:themeColor="text1"/>
                <w:szCs w:val="21"/>
                <w14:textFill>
                  <w14:solidFill>
                    <w14:schemeClr w14:val="tx1"/>
                  </w14:solidFill>
                </w14:textFill>
              </w:rPr>
            </w:pPr>
          </w:p>
        </w:tc>
        <w:tc>
          <w:tcPr>
            <w:tcW w:w="1593"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984"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7" w:type="dxa"/>
            <w:vAlign w:val="center"/>
          </w:tcPr>
          <w:p>
            <w:pPr>
              <w:jc w:val="center"/>
              <w:rPr>
                <w:rFonts w:ascii="宋体" w:hAnsi="宋体"/>
                <w:color w:val="000000" w:themeColor="text1"/>
                <w:szCs w:val="21"/>
                <w14:textFill>
                  <w14:solidFill>
                    <w14:schemeClr w14:val="tx1"/>
                  </w14:solidFill>
                </w14:textFill>
              </w:rPr>
            </w:pPr>
          </w:p>
        </w:tc>
        <w:tc>
          <w:tcPr>
            <w:tcW w:w="1593"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984"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7" w:type="dxa"/>
            <w:vAlign w:val="center"/>
          </w:tcPr>
          <w:p>
            <w:pPr>
              <w:jc w:val="center"/>
              <w:rPr>
                <w:rFonts w:ascii="宋体" w:hAnsi="宋体"/>
                <w:color w:val="000000" w:themeColor="text1"/>
                <w:szCs w:val="21"/>
                <w14:textFill>
                  <w14:solidFill>
                    <w14:schemeClr w14:val="tx1"/>
                  </w14:solidFill>
                </w14:textFill>
              </w:rPr>
            </w:pPr>
          </w:p>
        </w:tc>
        <w:tc>
          <w:tcPr>
            <w:tcW w:w="1593"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984"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7" w:type="dxa"/>
            <w:vAlign w:val="center"/>
          </w:tcPr>
          <w:p>
            <w:pPr>
              <w:jc w:val="center"/>
              <w:rPr>
                <w:rFonts w:ascii="宋体" w:hAnsi="宋体"/>
                <w:color w:val="000000" w:themeColor="text1"/>
                <w:szCs w:val="21"/>
                <w14:textFill>
                  <w14:solidFill>
                    <w14:schemeClr w14:val="tx1"/>
                  </w14:solidFill>
                </w14:textFill>
              </w:rPr>
            </w:pPr>
          </w:p>
        </w:tc>
        <w:tc>
          <w:tcPr>
            <w:tcW w:w="1593"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984"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7" w:type="dxa"/>
            <w:vAlign w:val="center"/>
          </w:tcPr>
          <w:p>
            <w:pPr>
              <w:jc w:val="center"/>
              <w:rPr>
                <w:rFonts w:ascii="宋体" w:hAnsi="宋体"/>
                <w:color w:val="000000" w:themeColor="text1"/>
                <w:szCs w:val="21"/>
                <w14:textFill>
                  <w14:solidFill>
                    <w14:schemeClr w14:val="tx1"/>
                  </w14:solidFill>
                </w14:textFill>
              </w:rPr>
            </w:pPr>
          </w:p>
        </w:tc>
        <w:tc>
          <w:tcPr>
            <w:tcW w:w="1593"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1194" w:type="dxa"/>
            <w:vAlign w:val="center"/>
          </w:tcPr>
          <w:p>
            <w:pPr>
              <w:jc w:val="center"/>
              <w:rPr>
                <w:rFonts w:ascii="宋体" w:hAnsi="宋体"/>
                <w:color w:val="000000" w:themeColor="text1"/>
                <w:szCs w:val="21"/>
                <w14:textFill>
                  <w14:solidFill>
                    <w14:schemeClr w14:val="tx1"/>
                  </w14:solidFill>
                </w14:textFill>
              </w:rPr>
            </w:pPr>
          </w:p>
        </w:tc>
        <w:tc>
          <w:tcPr>
            <w:tcW w:w="984" w:type="dxa"/>
            <w:vAlign w:val="center"/>
          </w:tcPr>
          <w:p>
            <w:pPr>
              <w:jc w:val="center"/>
              <w:rPr>
                <w:rFonts w:ascii="宋体" w:hAnsi="宋体"/>
                <w:color w:val="000000" w:themeColor="text1"/>
                <w:szCs w:val="21"/>
                <w14:textFill>
                  <w14:solidFill>
                    <w14:schemeClr w14:val="tx1"/>
                  </w14:solidFill>
                </w14:textFill>
              </w:rPr>
            </w:pPr>
          </w:p>
        </w:tc>
      </w:tr>
    </w:tbl>
    <w:p>
      <w:pPr>
        <w:spacing w:before="120" w:beforeLines="50" w:after="120" w:afterLines="50" w:line="420" w:lineRule="exact"/>
        <w:rPr>
          <w:rFonts w:ascii="宋体" w:hAnsi="宋体"/>
          <w:b/>
          <w:color w:val="000000" w:themeColor="text1"/>
          <w:sz w:val="24"/>
          <w14:textFill>
            <w14:solidFill>
              <w14:schemeClr w14:val="tx1"/>
            </w14:solidFill>
          </w14:textFill>
        </w:rPr>
      </w:pPr>
    </w:p>
    <w:p>
      <w:pPr>
        <w:spacing w:before="120" w:beforeLines="50" w:after="120" w:afterLines="50" w:line="420" w:lineRule="exac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附表</w:t>
      </w:r>
      <w:r>
        <w:rPr>
          <w:rFonts w:hint="eastAsia" w:ascii="宋体" w:hAnsi="宋体"/>
          <w:b/>
          <w:color w:val="000000" w:themeColor="text1"/>
          <w:sz w:val="24"/>
          <w14:textFill>
            <w14:solidFill>
              <w14:schemeClr w14:val="tx1"/>
            </w14:solidFill>
          </w14:textFill>
        </w:rPr>
        <w:t>四</w:t>
      </w:r>
      <w:r>
        <w:rPr>
          <w:rFonts w:ascii="宋体" w:hAnsi="宋体"/>
          <w:b/>
          <w:color w:val="000000" w:themeColor="text1"/>
          <w:sz w:val="24"/>
          <w14:textFill>
            <w14:solidFill>
              <w14:schemeClr w14:val="tx1"/>
            </w14:solidFill>
          </w14:textFill>
        </w:rPr>
        <w:t>：施工总平面图</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人应递交一份施工总平面图，绘出现场临时设施布置图表并附文字说明，说明临时设施、加工车间、现场办公、设备及仓储、供电、供水、卫生、道路、消防等设施的情况和布置。</w:t>
      </w:r>
    </w:p>
    <w:p>
      <w:pPr>
        <w:spacing w:before="120" w:beforeLines="50" w:after="120" w:afterLines="50" w:line="420" w:lineRule="exact"/>
        <w:rPr>
          <w:rFonts w:ascii="宋体" w:hAnsi="宋体"/>
          <w:b/>
          <w:color w:val="000000" w:themeColor="text1"/>
          <w:sz w:val="24"/>
          <w14:textFill>
            <w14:solidFill>
              <w14:schemeClr w14:val="tx1"/>
            </w14:solidFill>
          </w14:textFill>
        </w:rPr>
      </w:pPr>
    </w:p>
    <w:p>
      <w:pPr>
        <w:spacing w:before="120" w:beforeLines="50" w:after="120" w:afterLines="50" w:line="420" w:lineRule="exac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附表</w:t>
      </w:r>
      <w:r>
        <w:rPr>
          <w:rFonts w:hint="eastAsia" w:ascii="宋体" w:hAnsi="宋体"/>
          <w:b/>
          <w:color w:val="000000" w:themeColor="text1"/>
          <w:sz w:val="24"/>
          <w14:textFill>
            <w14:solidFill>
              <w14:schemeClr w14:val="tx1"/>
            </w14:solidFill>
          </w14:textFill>
        </w:rPr>
        <w:t>五</w:t>
      </w:r>
      <w:r>
        <w:rPr>
          <w:rFonts w:ascii="宋体" w:hAnsi="宋体"/>
          <w:b/>
          <w:color w:val="000000" w:themeColor="text1"/>
          <w:sz w:val="24"/>
          <w14:textFill>
            <w14:solidFill>
              <w14:schemeClr w14:val="tx1"/>
            </w14:solidFill>
          </w14:textFill>
        </w:rPr>
        <w:t>：临时用地表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2303"/>
        <w:gridCol w:w="2303"/>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12"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用  途</w:t>
            </w:r>
          </w:p>
        </w:tc>
        <w:tc>
          <w:tcPr>
            <w:tcW w:w="2303"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面 积（平方米）</w:t>
            </w:r>
          </w:p>
        </w:tc>
        <w:tc>
          <w:tcPr>
            <w:tcW w:w="2303"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位  置</w:t>
            </w:r>
          </w:p>
        </w:tc>
        <w:tc>
          <w:tcPr>
            <w:tcW w:w="2303"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12"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12"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12"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12"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12"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12"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12"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c>
          <w:tcPr>
            <w:tcW w:w="2303" w:type="dxa"/>
          </w:tcPr>
          <w:p>
            <w:pPr>
              <w:rPr>
                <w:rFonts w:ascii="宋体" w:hAnsi="宋体"/>
                <w:color w:val="000000" w:themeColor="text1"/>
                <w:szCs w:val="21"/>
                <w14:textFill>
                  <w14:solidFill>
                    <w14:schemeClr w14:val="tx1"/>
                  </w14:solidFill>
                </w14:textFill>
              </w:rPr>
            </w:pPr>
          </w:p>
        </w:tc>
      </w:tr>
    </w:tbl>
    <w:p>
      <w:pPr>
        <w:pStyle w:val="7"/>
        <w:jc w:val="center"/>
        <w:rPr>
          <w:rFonts w:ascii="宋体" w:hAnsi="宋体" w:cs="宋体"/>
          <w:bCs w:val="0"/>
          <w:color w:val="000000" w:themeColor="text1"/>
          <w:kern w:val="0"/>
          <w:sz w:val="25"/>
          <w:szCs w:val="25"/>
          <w14:textFill>
            <w14:solidFill>
              <w14:schemeClr w14:val="tx1"/>
            </w14:solidFill>
          </w14:textFill>
        </w:rPr>
      </w:pPr>
    </w:p>
    <w:p>
      <w:pPr>
        <w:pStyle w:val="7"/>
        <w:jc w:val="center"/>
        <w:rPr>
          <w:rFonts w:ascii="宋体" w:hAnsi="宋体"/>
          <w:bCs w:val="0"/>
          <w:color w:val="000000" w:themeColor="text1"/>
          <w:sz w:val="32"/>
          <w14:textFill>
            <w14:solidFill>
              <w14:schemeClr w14:val="tx1"/>
            </w14:solidFill>
          </w14:textFill>
        </w:rPr>
      </w:pPr>
      <w:r>
        <w:rPr>
          <w:rFonts w:ascii="宋体" w:hAnsi="宋体" w:cs="宋体"/>
          <w:bCs w:val="0"/>
          <w:color w:val="000000" w:themeColor="text1"/>
          <w:kern w:val="0"/>
          <w:sz w:val="25"/>
          <w:szCs w:val="25"/>
          <w14:textFill>
            <w14:solidFill>
              <w14:schemeClr w14:val="tx1"/>
            </w14:solidFill>
          </w14:textFill>
        </w:rPr>
        <w:br w:type="page"/>
      </w:r>
      <w:bookmarkEnd w:id="1194"/>
      <w:bookmarkEnd w:id="1195"/>
      <w:bookmarkStart w:id="1198" w:name="_Toc307177725"/>
      <w:bookmarkEnd w:id="1198"/>
      <w:bookmarkStart w:id="1199" w:name="_Toc99567503"/>
      <w:bookmarkStart w:id="1200" w:name="_Toc116261188"/>
      <w:bookmarkStart w:id="1201" w:name="_Toc99567034"/>
      <w:bookmarkStart w:id="1202" w:name="_Toc347307799"/>
      <w:bookmarkStart w:id="1203" w:name="_Toc275942826"/>
      <w:bookmarkStart w:id="1204" w:name="_Toc446510468"/>
      <w:bookmarkStart w:id="1205" w:name="_Toc229583237"/>
      <w:bookmarkStart w:id="1206" w:name="_Toc529798024"/>
      <w:bookmarkStart w:id="1207" w:name="_Toc224363920"/>
      <w:bookmarkStart w:id="1208" w:name="_Toc289247352"/>
      <w:r>
        <w:rPr>
          <w:rFonts w:hint="eastAsia" w:ascii="宋体" w:hAnsi="宋体"/>
          <w:bCs w:val="0"/>
          <w:color w:val="000000" w:themeColor="text1"/>
          <w:sz w:val="32"/>
          <w14:textFill>
            <w14:solidFill>
              <w14:schemeClr w14:val="tx1"/>
            </w14:solidFill>
          </w14:textFill>
        </w:rPr>
        <w:t>（二）项目管理机构</w:t>
      </w:r>
      <w:bookmarkEnd w:id="1199"/>
      <w:bookmarkEnd w:id="1200"/>
      <w:bookmarkEnd w:id="1201"/>
    </w:p>
    <w:p>
      <w:pPr>
        <w:spacing w:before="120" w:beforeLines="50" w:after="120" w:afterLines="50" w:line="420" w:lineRule="exac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1、拟派往本项目设计团队成员配备情况表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35"/>
        <w:gridCol w:w="1262"/>
        <w:gridCol w:w="871"/>
        <w:gridCol w:w="1074"/>
        <w:gridCol w:w="959"/>
        <w:gridCol w:w="117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0"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035"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262"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871"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年龄</w:t>
            </w:r>
          </w:p>
        </w:tc>
        <w:tc>
          <w:tcPr>
            <w:tcW w:w="1074"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w:t>
            </w:r>
          </w:p>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职称</w:t>
            </w:r>
          </w:p>
        </w:tc>
        <w:tc>
          <w:tcPr>
            <w:tcW w:w="95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执业</w:t>
            </w:r>
          </w:p>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w:t>
            </w:r>
          </w:p>
        </w:tc>
        <w:tc>
          <w:tcPr>
            <w:tcW w:w="1170"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拟任</w:t>
            </w:r>
          </w:p>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p>
        </w:tc>
        <w:tc>
          <w:tcPr>
            <w:tcW w:w="1134"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0" w:type="dxa"/>
            <w:vAlign w:val="center"/>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2035" w:type="dxa"/>
            <w:vAlign w:val="center"/>
          </w:tcPr>
          <w:p>
            <w:pPr>
              <w:spacing w:line="276" w:lineRule="auto"/>
              <w:jc w:val="center"/>
              <w:rPr>
                <w:rFonts w:ascii="宋体" w:hAnsi="宋体"/>
                <w:color w:val="000000" w:themeColor="text1"/>
                <w:szCs w:val="21"/>
                <w14:textFill>
                  <w14:solidFill>
                    <w14:schemeClr w14:val="tx1"/>
                  </w14:solidFill>
                </w14:textFill>
              </w:rPr>
            </w:pPr>
          </w:p>
        </w:tc>
        <w:tc>
          <w:tcPr>
            <w:tcW w:w="1262"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871"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074"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959"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170"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c>
          <w:tcPr>
            <w:tcW w:w="1134"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0" w:type="dxa"/>
            <w:vAlign w:val="center"/>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2035" w:type="dxa"/>
            <w:vAlign w:val="center"/>
          </w:tcPr>
          <w:p>
            <w:pPr>
              <w:spacing w:line="276" w:lineRule="auto"/>
              <w:jc w:val="center"/>
              <w:rPr>
                <w:rFonts w:ascii="宋体" w:hAnsi="宋体"/>
                <w:color w:val="000000" w:themeColor="text1"/>
                <w:szCs w:val="21"/>
                <w14:textFill>
                  <w14:solidFill>
                    <w14:schemeClr w14:val="tx1"/>
                  </w14:solidFill>
                </w14:textFill>
              </w:rPr>
            </w:pPr>
          </w:p>
        </w:tc>
        <w:tc>
          <w:tcPr>
            <w:tcW w:w="1262"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871"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074"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959"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170"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c>
          <w:tcPr>
            <w:tcW w:w="1134"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0" w:type="dxa"/>
            <w:vAlign w:val="center"/>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2035" w:type="dxa"/>
            <w:vAlign w:val="center"/>
          </w:tcPr>
          <w:p>
            <w:pPr>
              <w:spacing w:line="276" w:lineRule="auto"/>
              <w:jc w:val="center"/>
              <w:rPr>
                <w:rFonts w:ascii="宋体" w:hAnsi="宋体"/>
                <w:color w:val="000000" w:themeColor="text1"/>
                <w:szCs w:val="21"/>
                <w14:textFill>
                  <w14:solidFill>
                    <w14:schemeClr w14:val="tx1"/>
                  </w14:solidFill>
                </w14:textFill>
              </w:rPr>
            </w:pPr>
          </w:p>
        </w:tc>
        <w:tc>
          <w:tcPr>
            <w:tcW w:w="1262"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871"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074"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959"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170"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c>
          <w:tcPr>
            <w:tcW w:w="1134"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0" w:type="dxa"/>
            <w:vAlign w:val="center"/>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2035" w:type="dxa"/>
            <w:vAlign w:val="center"/>
          </w:tcPr>
          <w:p>
            <w:pPr>
              <w:spacing w:line="276" w:lineRule="auto"/>
              <w:jc w:val="center"/>
              <w:rPr>
                <w:rFonts w:ascii="宋体" w:hAnsi="宋体"/>
                <w:color w:val="000000" w:themeColor="text1"/>
                <w:szCs w:val="21"/>
                <w14:textFill>
                  <w14:solidFill>
                    <w14:schemeClr w14:val="tx1"/>
                  </w14:solidFill>
                </w14:textFill>
              </w:rPr>
            </w:pPr>
          </w:p>
        </w:tc>
        <w:tc>
          <w:tcPr>
            <w:tcW w:w="1262"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871"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074"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959"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170"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c>
          <w:tcPr>
            <w:tcW w:w="1134"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0" w:type="dxa"/>
            <w:vAlign w:val="center"/>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2035" w:type="dxa"/>
            <w:vAlign w:val="center"/>
          </w:tcPr>
          <w:p>
            <w:pPr>
              <w:spacing w:line="276" w:lineRule="auto"/>
              <w:jc w:val="center"/>
              <w:rPr>
                <w:rFonts w:ascii="宋体" w:hAnsi="宋体"/>
                <w:color w:val="000000" w:themeColor="text1"/>
                <w:szCs w:val="21"/>
                <w14:textFill>
                  <w14:solidFill>
                    <w14:schemeClr w14:val="tx1"/>
                  </w14:solidFill>
                </w14:textFill>
              </w:rPr>
            </w:pPr>
          </w:p>
        </w:tc>
        <w:tc>
          <w:tcPr>
            <w:tcW w:w="1262"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871"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074"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959"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170"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c>
          <w:tcPr>
            <w:tcW w:w="1134"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0" w:type="dxa"/>
            <w:vAlign w:val="center"/>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2035" w:type="dxa"/>
            <w:vAlign w:val="center"/>
          </w:tcPr>
          <w:p>
            <w:pPr>
              <w:spacing w:line="276" w:lineRule="auto"/>
              <w:jc w:val="center"/>
              <w:rPr>
                <w:rFonts w:ascii="宋体" w:hAnsi="宋体"/>
                <w:color w:val="000000" w:themeColor="text1"/>
                <w:szCs w:val="21"/>
                <w14:textFill>
                  <w14:solidFill>
                    <w14:schemeClr w14:val="tx1"/>
                  </w14:solidFill>
                </w14:textFill>
              </w:rPr>
            </w:pPr>
          </w:p>
        </w:tc>
        <w:tc>
          <w:tcPr>
            <w:tcW w:w="1262"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871"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074"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959"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170"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c>
          <w:tcPr>
            <w:tcW w:w="1134"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0" w:type="dxa"/>
            <w:vAlign w:val="center"/>
          </w:tcPr>
          <w:p>
            <w:pPr>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2035" w:type="dxa"/>
            <w:vAlign w:val="center"/>
          </w:tcPr>
          <w:p>
            <w:pPr>
              <w:spacing w:line="276" w:lineRule="auto"/>
              <w:jc w:val="center"/>
              <w:rPr>
                <w:rFonts w:ascii="宋体" w:hAnsi="宋体"/>
                <w:color w:val="000000" w:themeColor="text1"/>
                <w:szCs w:val="21"/>
                <w14:textFill>
                  <w14:solidFill>
                    <w14:schemeClr w14:val="tx1"/>
                  </w14:solidFill>
                </w14:textFill>
              </w:rPr>
            </w:pPr>
          </w:p>
        </w:tc>
        <w:tc>
          <w:tcPr>
            <w:tcW w:w="1262"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871"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074"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959" w:type="dxa"/>
            <w:vAlign w:val="center"/>
          </w:tcPr>
          <w:p>
            <w:pPr>
              <w:spacing w:line="276" w:lineRule="auto"/>
              <w:ind w:firstLine="472" w:firstLineChars="225"/>
              <w:jc w:val="center"/>
              <w:rPr>
                <w:rFonts w:ascii="宋体" w:hAnsi="宋体"/>
                <w:color w:val="000000" w:themeColor="text1"/>
                <w:szCs w:val="21"/>
                <w14:textFill>
                  <w14:solidFill>
                    <w14:schemeClr w14:val="tx1"/>
                  </w14:solidFill>
                </w14:textFill>
              </w:rPr>
            </w:pPr>
          </w:p>
        </w:tc>
        <w:tc>
          <w:tcPr>
            <w:tcW w:w="1170"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c>
          <w:tcPr>
            <w:tcW w:w="1134" w:type="dxa"/>
            <w:vAlign w:val="center"/>
          </w:tcPr>
          <w:p>
            <w:pPr>
              <w:spacing w:line="276" w:lineRule="auto"/>
              <w:ind w:firstLine="723" w:firstLineChars="225"/>
              <w:jc w:val="center"/>
              <w:rPr>
                <w:rFonts w:ascii="宋体" w:hAnsi="宋体"/>
                <w:b/>
                <w:bCs/>
                <w:color w:val="000000" w:themeColor="text1"/>
                <w:sz w:val="32"/>
                <w:szCs w:val="21"/>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注：本表可扩展；本表后附项目管理人员的身份证、职称证（若有）、执业（职业）资格证（若有）、注册证（若有）及其相关证件的</w:t>
      </w:r>
      <w:r>
        <w:rPr>
          <w:rFonts w:hint="eastAsia" w:ascii="宋体" w:hAnsi="宋体" w:cs="宋体"/>
          <w:b/>
          <w:color w:val="000000" w:themeColor="text1"/>
          <w:szCs w:val="21"/>
          <w14:textFill>
            <w14:solidFill>
              <w14:schemeClr w14:val="tx1"/>
            </w14:solidFill>
          </w14:textFill>
        </w:rPr>
        <w:t>原件扫描件</w:t>
      </w:r>
      <w:r>
        <w:rPr>
          <w:rFonts w:hint="eastAsia" w:ascii="宋体" w:hAnsi="宋体"/>
          <w:b/>
          <w:color w:val="000000" w:themeColor="text1"/>
          <w:szCs w:val="21"/>
          <w14:textFill>
            <w14:solidFill>
              <w14:schemeClr w14:val="tx1"/>
            </w14:solidFill>
          </w14:textFill>
        </w:rPr>
        <w:t>。</w:t>
      </w:r>
    </w:p>
    <w:p>
      <w:pPr>
        <w:spacing w:before="120" w:beforeLines="50" w:after="120" w:afterLines="50" w:line="420" w:lineRule="exact"/>
        <w:rPr>
          <w:rFonts w:ascii="宋体" w:hAnsi="宋体"/>
          <w:b/>
          <w:color w:val="000000" w:themeColor="text1"/>
          <w:sz w:val="24"/>
          <w14:textFill>
            <w14:solidFill>
              <w14:schemeClr w14:val="tx1"/>
            </w14:solidFill>
          </w14:textFill>
        </w:rPr>
      </w:pPr>
      <w:bookmarkStart w:id="1209" w:name="_Toc510337941"/>
      <w:bookmarkStart w:id="1210" w:name="_Toc440812290"/>
      <w:bookmarkStart w:id="1211" w:name="_Toc521754969"/>
      <w:bookmarkStart w:id="1212" w:name="_Toc536630738"/>
      <w:bookmarkStart w:id="1213" w:name="_Toc9768433"/>
      <w:r>
        <w:rPr>
          <w:rFonts w:hint="eastAsia" w:ascii="宋体" w:hAnsi="宋体"/>
          <w:b/>
          <w:color w:val="000000" w:themeColor="text1"/>
          <w:sz w:val="24"/>
          <w14:textFill>
            <w14:solidFill>
              <w14:schemeClr w14:val="tx1"/>
            </w14:solidFill>
          </w14:textFill>
        </w:rPr>
        <w:t>2、拟派往本项目施工</w:t>
      </w:r>
      <w:r>
        <w:rPr>
          <w:rFonts w:ascii="宋体" w:hAnsi="宋体"/>
          <w:b/>
          <w:color w:val="000000" w:themeColor="text1"/>
          <w:sz w:val="24"/>
          <w14:textFill>
            <w14:solidFill>
              <w14:schemeClr w14:val="tx1"/>
            </w14:solidFill>
          </w14:textFill>
        </w:rPr>
        <w:t>项目管理机构</w:t>
      </w:r>
      <w:bookmarkEnd w:id="1209"/>
      <w:bookmarkEnd w:id="1210"/>
      <w:r>
        <w:rPr>
          <w:rFonts w:hint="eastAsia" w:ascii="宋体" w:hAnsi="宋体"/>
          <w:b/>
          <w:color w:val="000000" w:themeColor="text1"/>
          <w:sz w:val="24"/>
          <w14:textFill>
            <w14:solidFill>
              <w14:schemeClr w14:val="tx1"/>
            </w14:solidFill>
          </w14:textFill>
        </w:rPr>
        <w:t>配备情况表</w:t>
      </w:r>
      <w:bookmarkEnd w:id="1211"/>
      <w:bookmarkEnd w:id="1212"/>
      <w:bookmarkEnd w:id="1213"/>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861"/>
        <w:gridCol w:w="1610"/>
        <w:gridCol w:w="1053"/>
        <w:gridCol w:w="1298"/>
        <w:gridCol w:w="1453"/>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4" w:type="dxa"/>
            <w:vAlign w:val="center"/>
          </w:tcPr>
          <w:p>
            <w:pPr>
              <w:spacing w:line="36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序号</w:t>
            </w:r>
          </w:p>
        </w:tc>
        <w:tc>
          <w:tcPr>
            <w:tcW w:w="1861" w:type="dxa"/>
            <w:vAlign w:val="center"/>
          </w:tcPr>
          <w:p>
            <w:pPr>
              <w:spacing w:line="36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姓名</w:t>
            </w:r>
          </w:p>
        </w:tc>
        <w:tc>
          <w:tcPr>
            <w:tcW w:w="1610" w:type="dxa"/>
            <w:vAlign w:val="center"/>
          </w:tcPr>
          <w:p>
            <w:pPr>
              <w:spacing w:line="36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性别</w:t>
            </w:r>
          </w:p>
        </w:tc>
        <w:tc>
          <w:tcPr>
            <w:tcW w:w="1053" w:type="dxa"/>
            <w:vAlign w:val="center"/>
          </w:tcPr>
          <w:p>
            <w:pPr>
              <w:spacing w:line="36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年龄</w:t>
            </w:r>
          </w:p>
        </w:tc>
        <w:tc>
          <w:tcPr>
            <w:tcW w:w="1298" w:type="dxa"/>
            <w:vAlign w:val="center"/>
          </w:tcPr>
          <w:p>
            <w:pPr>
              <w:spacing w:line="36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技术</w:t>
            </w:r>
          </w:p>
          <w:p>
            <w:pPr>
              <w:spacing w:line="36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职称</w:t>
            </w:r>
          </w:p>
        </w:tc>
        <w:tc>
          <w:tcPr>
            <w:tcW w:w="1453" w:type="dxa"/>
            <w:vAlign w:val="center"/>
          </w:tcPr>
          <w:p>
            <w:pPr>
              <w:spacing w:line="36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拟任</w:t>
            </w:r>
          </w:p>
          <w:p>
            <w:pPr>
              <w:spacing w:line="36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职务</w:t>
            </w:r>
          </w:p>
        </w:tc>
        <w:tc>
          <w:tcPr>
            <w:tcW w:w="1126" w:type="dxa"/>
            <w:vAlign w:val="center"/>
          </w:tcPr>
          <w:p>
            <w:pPr>
              <w:spacing w:line="36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04"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86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610"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053"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298"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453"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126"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04"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186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610"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053"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298"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453"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126"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04"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86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610"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053"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298"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453"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126" w:type="dxa"/>
            <w:vAlign w:val="center"/>
          </w:tcPr>
          <w:p>
            <w:pPr>
              <w:spacing w:line="360" w:lineRule="auto"/>
              <w:ind w:firstLine="723" w:firstLineChars="225"/>
              <w:jc w:val="center"/>
              <w:rPr>
                <w:rFonts w:ascii="宋体" w:hAnsi="宋体"/>
                <w:b/>
                <w:bCs/>
                <w:color w:val="000000" w:themeColor="text1"/>
                <w:sz w:val="3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04"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186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610"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053"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298"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453"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126" w:type="dxa"/>
            <w:vAlign w:val="center"/>
          </w:tcPr>
          <w:p>
            <w:pPr>
              <w:spacing w:line="360" w:lineRule="auto"/>
              <w:ind w:firstLine="723" w:firstLineChars="225"/>
              <w:jc w:val="center"/>
              <w:rPr>
                <w:rFonts w:ascii="宋体" w:hAnsi="宋体"/>
                <w:b/>
                <w:bCs/>
                <w:color w:val="000000" w:themeColor="text1"/>
                <w:sz w:val="3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04"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86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1610"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053"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298"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453" w:type="dxa"/>
            <w:vAlign w:val="center"/>
          </w:tcPr>
          <w:p>
            <w:pPr>
              <w:spacing w:line="360" w:lineRule="auto"/>
              <w:ind w:firstLine="472" w:firstLineChars="225"/>
              <w:jc w:val="center"/>
              <w:rPr>
                <w:rFonts w:ascii="宋体" w:hAnsi="宋体"/>
                <w:color w:val="000000" w:themeColor="text1"/>
                <w:szCs w:val="21"/>
                <w14:textFill>
                  <w14:solidFill>
                    <w14:schemeClr w14:val="tx1"/>
                  </w14:solidFill>
                </w14:textFill>
              </w:rPr>
            </w:pPr>
          </w:p>
        </w:tc>
        <w:tc>
          <w:tcPr>
            <w:tcW w:w="1126" w:type="dxa"/>
            <w:vAlign w:val="center"/>
          </w:tcPr>
          <w:p>
            <w:pPr>
              <w:spacing w:line="360" w:lineRule="auto"/>
              <w:ind w:firstLine="723" w:firstLineChars="225"/>
              <w:jc w:val="center"/>
              <w:rPr>
                <w:rFonts w:ascii="宋体" w:hAnsi="宋体"/>
                <w:b/>
                <w:bCs/>
                <w:color w:val="000000" w:themeColor="text1"/>
                <w:sz w:val="3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04"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861"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61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053"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29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53"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126"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注：本表可扩展；本表后附项目管理人员的身份证、职称证（若有）、执业（职业）资格证（若有）、注册证（若有）及其相关证件的</w:t>
      </w:r>
      <w:r>
        <w:rPr>
          <w:rFonts w:hint="eastAsia" w:ascii="宋体" w:hAnsi="宋体" w:cs="宋体"/>
          <w:b/>
          <w:color w:val="000000" w:themeColor="text1"/>
          <w:szCs w:val="21"/>
          <w14:textFill>
            <w14:solidFill>
              <w14:schemeClr w14:val="tx1"/>
            </w14:solidFill>
          </w14:textFill>
        </w:rPr>
        <w:t>原件扫描件</w:t>
      </w:r>
      <w:r>
        <w:rPr>
          <w:rFonts w:hint="eastAsia" w:ascii="宋体" w:hAnsi="宋体"/>
          <w:b/>
          <w:color w:val="000000" w:themeColor="text1"/>
          <w:szCs w:val="21"/>
          <w14:textFill>
            <w14:solidFill>
              <w14:schemeClr w14:val="tx1"/>
            </w14:solidFill>
          </w14:textFill>
        </w:rPr>
        <w:t>。</w:t>
      </w:r>
    </w:p>
    <w:p>
      <w:pPr>
        <w:spacing w:line="360" w:lineRule="auto"/>
        <w:ind w:firstLine="422" w:firstLineChars="200"/>
        <w:rPr>
          <w:rFonts w:ascii="宋体" w:hAnsi="宋体"/>
          <w:b/>
          <w:color w:val="000000" w:themeColor="text1"/>
          <w:szCs w:val="21"/>
          <w14:textFill>
            <w14:solidFill>
              <w14:schemeClr w14:val="tx1"/>
            </w14:solidFill>
          </w14:textFill>
        </w:rPr>
      </w:pPr>
    </w:p>
    <w:p>
      <w:pPr>
        <w:pStyle w:val="6"/>
        <w:widowControl/>
        <w:spacing w:before="360" w:after="360" w:line="440" w:lineRule="exact"/>
        <w:rPr>
          <w:rFonts w:ascii="宋体" w:hAnsi="宋体"/>
          <w:bCs w:val="0"/>
          <w:color w:val="000000" w:themeColor="text1"/>
          <w:kern w:val="0"/>
          <w:sz w:val="36"/>
          <w:szCs w:val="36"/>
          <w14:textFill>
            <w14:solidFill>
              <w14:schemeClr w14:val="tx1"/>
            </w14:solidFill>
          </w14:textFill>
        </w:rPr>
      </w:pPr>
      <w:r>
        <w:rPr>
          <w:rFonts w:hint="eastAsia" w:ascii="宋体" w:hAnsi="宋体"/>
          <w:bCs w:val="0"/>
          <w:color w:val="000000" w:themeColor="text1"/>
          <w14:textFill>
            <w14:solidFill>
              <w14:schemeClr w14:val="tx1"/>
            </w14:solidFill>
          </w14:textFill>
        </w:rPr>
        <w:t xml:space="preserve">                 </w:t>
      </w:r>
      <w:bookmarkStart w:id="1214" w:name="_Toc136956394"/>
      <w:r>
        <w:rPr>
          <w:rFonts w:hint="eastAsia" w:ascii="宋体" w:hAnsi="宋体"/>
          <w:bCs w:val="0"/>
          <w:color w:val="000000" w:themeColor="text1"/>
          <w:kern w:val="0"/>
          <w:sz w:val="36"/>
          <w:szCs w:val="36"/>
          <w14:textFill>
            <w14:solidFill>
              <w14:schemeClr w14:val="tx1"/>
            </w14:solidFill>
          </w14:textFill>
        </w:rPr>
        <w:t>三、投标文件商务部分格式</w:t>
      </w:r>
      <w:bookmarkEnd w:id="1202"/>
      <w:bookmarkEnd w:id="1203"/>
      <w:bookmarkEnd w:id="1204"/>
      <w:bookmarkEnd w:id="1205"/>
      <w:bookmarkEnd w:id="1206"/>
      <w:bookmarkEnd w:id="1207"/>
      <w:bookmarkEnd w:id="1208"/>
      <w:bookmarkEnd w:id="1214"/>
      <w:bookmarkStart w:id="1215" w:name="_Toc384905264"/>
      <w:bookmarkStart w:id="1216" w:name="_Toc446510469"/>
      <w:bookmarkStart w:id="1217" w:name="_Toc386016305"/>
      <w:bookmarkStart w:id="1218" w:name="_Toc529798025"/>
      <w:bookmarkStart w:id="1219" w:name="_Toc418151928"/>
    </w:p>
    <w:p>
      <w:pPr>
        <w:pStyle w:val="7"/>
        <w:jc w:val="center"/>
        <w:rPr>
          <w:rFonts w:ascii="宋体" w:hAnsi="宋体"/>
          <w:bCs w:val="0"/>
          <w:color w:val="000000" w:themeColor="text1"/>
          <w:sz w:val="32"/>
          <w14:textFill>
            <w14:solidFill>
              <w14:schemeClr w14:val="tx1"/>
            </w14:solidFill>
          </w14:textFill>
        </w:rPr>
      </w:pPr>
      <w:bookmarkStart w:id="1220" w:name="_Toc99567505"/>
      <w:bookmarkStart w:id="1221" w:name="_Toc136956395"/>
      <w:bookmarkStart w:id="1222" w:name="_Toc116261190"/>
      <w:bookmarkStart w:id="1223" w:name="_Toc99567036"/>
      <w:r>
        <w:rPr>
          <w:rFonts w:hint="eastAsia" w:ascii="宋体" w:hAnsi="宋体"/>
          <w:bCs w:val="0"/>
          <w:color w:val="000000" w:themeColor="text1"/>
          <w:sz w:val="32"/>
          <w14:textFill>
            <w14:solidFill>
              <w14:schemeClr w14:val="tx1"/>
            </w14:solidFill>
          </w14:textFill>
        </w:rPr>
        <w:t>（一）投标函</w:t>
      </w:r>
      <w:bookmarkEnd w:id="1215"/>
      <w:bookmarkEnd w:id="1216"/>
      <w:bookmarkEnd w:id="1217"/>
      <w:bookmarkEnd w:id="1218"/>
      <w:bookmarkEnd w:id="1219"/>
      <w:bookmarkEnd w:id="1220"/>
      <w:bookmarkEnd w:id="1221"/>
      <w:bookmarkEnd w:id="1222"/>
      <w:bookmarkEnd w:id="1223"/>
    </w:p>
    <w:p>
      <w:pPr>
        <w:pStyle w:val="645"/>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_________________</w:t>
      </w:r>
      <w:r>
        <w:rPr>
          <w:rFonts w:hint="eastAsia"/>
          <w:color w:val="000000" w:themeColor="text1"/>
          <w:sz w:val="24"/>
          <w:szCs w:val="24"/>
          <w14:textFill>
            <w14:solidFill>
              <w14:schemeClr w14:val="tx1"/>
            </w14:solidFill>
          </w14:textFill>
        </w:rPr>
        <w:t>（招标人名称）：</w:t>
      </w:r>
    </w:p>
    <w:p>
      <w:pPr>
        <w:pStyle w:val="999"/>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．我方已仔细研究了</w:t>
      </w:r>
      <w:r>
        <w:rPr>
          <w:color w:val="000000" w:themeColor="text1"/>
          <w:sz w:val="24"/>
          <w:szCs w:val="24"/>
          <w14:textFill>
            <w14:solidFill>
              <w14:schemeClr w14:val="tx1"/>
            </w14:solidFill>
          </w14:textFill>
        </w:rPr>
        <w:t>___________________________</w:t>
      </w:r>
      <w:r>
        <w:rPr>
          <w:rFonts w:hint="eastAsia"/>
          <w:color w:val="000000" w:themeColor="text1"/>
          <w:sz w:val="24"/>
          <w:szCs w:val="24"/>
          <w14:textFill>
            <w14:solidFill>
              <w14:schemeClr w14:val="tx1"/>
            </w14:solidFill>
          </w14:textFill>
        </w:rPr>
        <w:t>（项目名称）招标文件的全部内容，愿意以“投标报价一览表”的投标报价</w:t>
      </w:r>
      <w:r>
        <w:rPr>
          <w:rFonts w:hint="eastAsia"/>
          <w:color w:val="000000" w:themeColor="text1"/>
          <w:sz w:val="24"/>
          <w14:textFill>
            <w14:solidFill>
              <w14:schemeClr w14:val="tx1"/>
            </w14:solidFill>
          </w14:textFill>
        </w:rPr>
        <w:t>，</w:t>
      </w:r>
      <w:r>
        <w:rPr>
          <w:rFonts w:hint="eastAsia"/>
          <w:color w:val="000000" w:themeColor="text1"/>
          <w:sz w:val="24"/>
          <w:szCs w:val="24"/>
          <w14:textFill>
            <w14:solidFill>
              <w14:schemeClr w14:val="tx1"/>
            </w14:solidFill>
          </w14:textFill>
        </w:rPr>
        <w:t>工期承诺，按合同约定实施和完成承包工程，修补工程中的任何缺陷，工程质量达到</w:t>
      </w:r>
      <w:r>
        <w:rPr>
          <w:color w:val="000000" w:themeColor="text1"/>
          <w:sz w:val="24"/>
          <w:szCs w:val="24"/>
          <w14:textFill>
            <w14:solidFill>
              <w14:schemeClr w14:val="tx1"/>
            </w14:solidFill>
          </w14:textFill>
        </w:rPr>
        <w:t>___________</w:t>
      </w:r>
      <w:r>
        <w:rPr>
          <w:rFonts w:hint="eastAsia"/>
          <w:color w:val="000000" w:themeColor="text1"/>
          <w:sz w:val="24"/>
          <w:szCs w:val="24"/>
          <w14:textFill>
            <w14:solidFill>
              <w14:schemeClr w14:val="tx1"/>
            </w14:solidFill>
          </w14:textFill>
        </w:rPr>
        <w:t>。</w:t>
      </w:r>
    </w:p>
    <w:p>
      <w:pPr>
        <w:pStyle w:val="999"/>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．我方承诺在投标有效期内不修改、撤销投标文件。</w:t>
      </w:r>
    </w:p>
    <w:p>
      <w:pPr>
        <w:pStyle w:val="999"/>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．如我方中标：</w:t>
      </w:r>
    </w:p>
    <w:p>
      <w:pPr>
        <w:pStyle w:val="999"/>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）我方同意招标人的招标文件为合同组成部分，我方承诺在收到中标通知书后，在中标通知书规定的期限内，与你方按照招标文件和我方的投标文件签订合同。</w:t>
      </w:r>
    </w:p>
    <w:p>
      <w:pPr>
        <w:pStyle w:val="999"/>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）随同本投标函递交的投标函附录属于合同文件的组成部分。</w:t>
      </w:r>
    </w:p>
    <w:p>
      <w:pPr>
        <w:pStyle w:val="999"/>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）我方承诺按照招标文件规定在合同签订前向你方递交履约担保，</w:t>
      </w:r>
      <w:r>
        <w:rPr>
          <w:rFonts w:hint="eastAsia"/>
          <w:color w:val="000000" w:themeColor="text1"/>
          <w:sz w:val="24"/>
          <w14:textFill>
            <w14:solidFill>
              <w14:schemeClr w14:val="tx1"/>
            </w14:solidFill>
          </w14:textFill>
        </w:rPr>
        <w:t>未按要求提交的，招标人可视为我方自动放弃本项目的中标资格，由我方承担所造成的责任及损失。</w:t>
      </w:r>
    </w:p>
    <w:p>
      <w:pPr>
        <w:pStyle w:val="999"/>
        <w:spacing w:line="360" w:lineRule="auto"/>
        <w:ind w:firstLine="496" w:firstLineChars="200"/>
        <w:jc w:val="both"/>
        <w:rPr>
          <w:color w:val="000000" w:themeColor="text1"/>
          <w:spacing w:val="4"/>
          <w:sz w:val="24"/>
          <w14:textFill>
            <w14:solidFill>
              <w14:schemeClr w14:val="tx1"/>
            </w14:solidFill>
          </w14:textFill>
        </w:rPr>
      </w:pPr>
      <w:r>
        <w:rPr>
          <w:rFonts w:hint="eastAsia"/>
          <w:color w:val="000000" w:themeColor="text1"/>
          <w:spacing w:val="4"/>
          <w:sz w:val="24"/>
          <w:szCs w:val="24"/>
          <w14:textFill>
            <w14:solidFill>
              <w14:schemeClr w14:val="tx1"/>
            </w14:solidFill>
          </w14:textFill>
        </w:rPr>
        <w:t>（</w:t>
      </w:r>
      <w:r>
        <w:rPr>
          <w:color w:val="000000" w:themeColor="text1"/>
          <w:spacing w:val="4"/>
          <w:sz w:val="24"/>
          <w:szCs w:val="24"/>
          <w14:textFill>
            <w14:solidFill>
              <w14:schemeClr w14:val="tx1"/>
            </w14:solidFill>
          </w14:textFill>
        </w:rPr>
        <w:t>4</w:t>
      </w:r>
      <w:r>
        <w:rPr>
          <w:rFonts w:hint="eastAsia"/>
          <w:color w:val="000000" w:themeColor="text1"/>
          <w:spacing w:val="4"/>
          <w:sz w:val="24"/>
          <w:szCs w:val="24"/>
          <w14:textFill>
            <w14:solidFill>
              <w14:schemeClr w14:val="tx1"/>
            </w14:solidFill>
          </w14:textFill>
        </w:rPr>
        <w:t>）</w:t>
      </w:r>
      <w:r>
        <w:rPr>
          <w:rFonts w:hint="eastAsia"/>
          <w:color w:val="000000" w:themeColor="text1"/>
          <w:spacing w:val="4"/>
          <w:sz w:val="24"/>
          <w14:textFill>
            <w14:solidFill>
              <w14:schemeClr w14:val="tx1"/>
            </w14:solidFill>
          </w14:textFill>
        </w:rPr>
        <w:t>我方承诺所拟派的项目负责人（包括设计负责人、施工负责人（项目经理）、施工技术负责人）及其他投标时所列人员不得更换，</w:t>
      </w:r>
      <w:r>
        <w:rPr>
          <w:rFonts w:hint="eastAsia"/>
          <w:b/>
          <w:color w:val="000000" w:themeColor="text1"/>
          <w:sz w:val="24"/>
          <w14:textFill>
            <w14:solidFill>
              <w14:schemeClr w14:val="tx1"/>
            </w14:solidFill>
          </w14:textFill>
        </w:rPr>
        <w:t>如果确因特殊原因需要更换，则须报经招标人同意后方可更换且更换人员须与原人员具备相同资质。</w:t>
      </w:r>
      <w:r>
        <w:rPr>
          <w:rFonts w:hint="eastAsia"/>
          <w:color w:val="000000" w:themeColor="text1"/>
          <w:spacing w:val="4"/>
          <w:sz w:val="24"/>
          <w14:textFill>
            <w14:solidFill>
              <w14:schemeClr w14:val="tx1"/>
            </w14:solidFill>
          </w14:textFill>
        </w:rPr>
        <w:t>。</w:t>
      </w:r>
    </w:p>
    <w:p>
      <w:pPr>
        <w:pStyle w:val="999"/>
        <w:spacing w:line="360" w:lineRule="auto"/>
        <w:ind w:firstLineChars="17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）我方承诺在合同约定的期限内完成并移交全部合同工程。</w:t>
      </w:r>
    </w:p>
    <w:p>
      <w:pPr>
        <w:pStyle w:val="999"/>
        <w:spacing w:line="360" w:lineRule="auto"/>
        <w:ind w:firstLineChars="17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）我方承诺不因施工组织设计方案发生变更而增加工程造价。</w:t>
      </w:r>
    </w:p>
    <w:p>
      <w:pPr>
        <w:pStyle w:val="999"/>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_________________</w:t>
      </w:r>
      <w:r>
        <w:rPr>
          <w:rFonts w:hint="eastAsia"/>
          <w:color w:val="000000" w:themeColor="text1"/>
          <w:sz w:val="24"/>
          <w:szCs w:val="24"/>
          <w14:textFill>
            <w14:solidFill>
              <w14:schemeClr w14:val="tx1"/>
            </w14:solidFill>
          </w14:textFill>
        </w:rPr>
        <w:t>（其他补充说明）。</w:t>
      </w:r>
    </w:p>
    <w:p>
      <w:pPr>
        <w:pStyle w:val="783"/>
        <w:spacing w:line="360" w:lineRule="auto"/>
        <w:ind w:firstLine="1576"/>
        <w:rPr>
          <w:color w:val="000000" w:themeColor="text1"/>
          <w:sz w:val="24"/>
          <w:szCs w:val="24"/>
          <w14:textFill>
            <w14:solidFill>
              <w14:schemeClr w14:val="tx1"/>
            </w14:solidFill>
          </w14:textFill>
        </w:rPr>
      </w:pPr>
    </w:p>
    <w:p>
      <w:pPr>
        <w:pStyle w:val="783"/>
        <w:spacing w:line="360" w:lineRule="auto"/>
        <w:ind w:firstLine="15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 标 人（电子签章）：</w:t>
      </w:r>
      <w:r>
        <w:rPr>
          <w:color w:val="000000" w:themeColor="text1"/>
          <w:sz w:val="24"/>
          <w:szCs w:val="24"/>
          <w14:textFill>
            <w14:solidFill>
              <w14:schemeClr w14:val="tx1"/>
            </w14:solidFill>
          </w14:textFill>
        </w:rPr>
        <w:t xml:space="preserve">________________________  </w:t>
      </w:r>
    </w:p>
    <w:p>
      <w:pPr>
        <w:pStyle w:val="783"/>
        <w:spacing w:line="360" w:lineRule="auto"/>
        <w:ind w:firstLine="15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法定代表人（电子签章）：</w:t>
      </w:r>
      <w:r>
        <w:rPr>
          <w:color w:val="000000" w:themeColor="text1"/>
          <w:sz w:val="24"/>
          <w:szCs w:val="24"/>
          <w14:textFill>
            <w14:solidFill>
              <w14:schemeClr w14:val="tx1"/>
            </w14:solidFill>
          </w14:textFill>
        </w:rPr>
        <w:t xml:space="preserve">________________________  </w:t>
      </w:r>
    </w:p>
    <w:p>
      <w:pPr>
        <w:pStyle w:val="783"/>
        <w:spacing w:line="360" w:lineRule="auto"/>
        <w:ind w:firstLine="15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    址：</w:t>
      </w:r>
      <w:r>
        <w:rPr>
          <w:color w:val="000000" w:themeColor="text1"/>
          <w:sz w:val="24"/>
          <w:szCs w:val="24"/>
          <w14:textFill>
            <w14:solidFill>
              <w14:schemeClr w14:val="tx1"/>
            </w14:solidFill>
          </w14:textFill>
        </w:rPr>
        <w:t>____________________________________</w:t>
      </w:r>
    </w:p>
    <w:p>
      <w:pPr>
        <w:pStyle w:val="783"/>
        <w:spacing w:line="360" w:lineRule="auto"/>
        <w:ind w:firstLine="15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网    址：</w:t>
      </w:r>
      <w:r>
        <w:rPr>
          <w:color w:val="000000" w:themeColor="text1"/>
          <w:sz w:val="24"/>
          <w:szCs w:val="24"/>
          <w14:textFill>
            <w14:solidFill>
              <w14:schemeClr w14:val="tx1"/>
            </w14:solidFill>
          </w14:textFill>
        </w:rPr>
        <w:t>____________________________________</w:t>
      </w:r>
    </w:p>
    <w:p>
      <w:pPr>
        <w:pStyle w:val="783"/>
        <w:spacing w:line="360" w:lineRule="auto"/>
        <w:ind w:firstLine="15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    话：</w:t>
      </w:r>
      <w:r>
        <w:rPr>
          <w:color w:val="000000" w:themeColor="text1"/>
          <w:sz w:val="24"/>
          <w:szCs w:val="24"/>
          <w14:textFill>
            <w14:solidFill>
              <w14:schemeClr w14:val="tx1"/>
            </w14:solidFill>
          </w14:textFill>
        </w:rPr>
        <w:t>____________________________________</w:t>
      </w:r>
    </w:p>
    <w:p>
      <w:pPr>
        <w:pStyle w:val="783"/>
        <w:spacing w:line="360" w:lineRule="auto"/>
        <w:ind w:firstLine="15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传    真：</w:t>
      </w:r>
      <w:r>
        <w:rPr>
          <w:color w:val="000000" w:themeColor="text1"/>
          <w:sz w:val="24"/>
          <w:szCs w:val="24"/>
          <w14:textFill>
            <w14:solidFill>
              <w14:schemeClr w14:val="tx1"/>
            </w14:solidFill>
          </w14:textFill>
        </w:rPr>
        <w:t>____________________________________</w:t>
      </w:r>
    </w:p>
    <w:p>
      <w:pPr>
        <w:pStyle w:val="783"/>
        <w:spacing w:line="360" w:lineRule="auto"/>
        <w:ind w:firstLine="15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r>
        <w:rPr>
          <w:color w:val="000000" w:themeColor="text1"/>
          <w:sz w:val="24"/>
          <w:szCs w:val="24"/>
          <w14:textFill>
            <w14:solidFill>
              <w14:schemeClr w14:val="tx1"/>
            </w14:solidFill>
          </w14:textFill>
        </w:rPr>
        <w:t>________</w:t>
      </w:r>
      <w:r>
        <w:rPr>
          <w:rFonts w:hint="eastAsia"/>
          <w:color w:val="000000" w:themeColor="text1"/>
          <w:sz w:val="24"/>
          <w:szCs w:val="24"/>
          <w14:textFill>
            <w14:solidFill>
              <w14:schemeClr w14:val="tx1"/>
            </w14:solidFill>
          </w14:textFill>
        </w:rPr>
        <w:t>年</w:t>
      </w:r>
      <w:r>
        <w:rPr>
          <w:color w:val="000000" w:themeColor="text1"/>
          <w:sz w:val="24"/>
          <w:szCs w:val="24"/>
          <w14:textFill>
            <w14:solidFill>
              <w14:schemeClr w14:val="tx1"/>
            </w14:solidFill>
          </w14:textFill>
        </w:rPr>
        <w:t>_____</w:t>
      </w:r>
      <w:r>
        <w:rPr>
          <w:rFonts w:hint="eastAsia"/>
          <w:color w:val="000000" w:themeColor="text1"/>
          <w:sz w:val="24"/>
          <w:szCs w:val="24"/>
          <w14:textFill>
            <w14:solidFill>
              <w14:schemeClr w14:val="tx1"/>
            </w14:solidFill>
          </w14:textFill>
        </w:rPr>
        <w:t>月</w:t>
      </w:r>
      <w:r>
        <w:rPr>
          <w:color w:val="000000" w:themeColor="text1"/>
          <w:sz w:val="24"/>
          <w:szCs w:val="24"/>
          <w14:textFill>
            <w14:solidFill>
              <w14:schemeClr w14:val="tx1"/>
            </w14:solidFill>
          </w14:textFill>
        </w:rPr>
        <w:t>_____</w:t>
      </w:r>
      <w:r>
        <w:rPr>
          <w:rFonts w:hint="eastAsia"/>
          <w:color w:val="000000" w:themeColor="text1"/>
          <w:sz w:val="24"/>
          <w:szCs w:val="24"/>
          <w14:textFill>
            <w14:solidFill>
              <w14:schemeClr w14:val="tx1"/>
            </w14:solidFill>
          </w14:textFill>
        </w:rPr>
        <w:t>日</w:t>
      </w:r>
    </w:p>
    <w:p>
      <w:pPr>
        <w:pStyle w:val="7"/>
        <w:jc w:val="center"/>
        <w:rPr>
          <w:rFonts w:ascii="宋体" w:hAnsi="宋体"/>
          <w:bCs w:val="0"/>
          <w:color w:val="000000" w:themeColor="text1"/>
          <w:sz w:val="32"/>
          <w14:textFill>
            <w14:solidFill>
              <w14:schemeClr w14:val="tx1"/>
            </w14:solidFill>
          </w14:textFill>
        </w:rPr>
      </w:pPr>
      <w:bookmarkStart w:id="1224" w:name="_Toc384905265"/>
      <w:bookmarkStart w:id="1225" w:name="_Toc418151929"/>
      <w:bookmarkStart w:id="1226" w:name="_Toc386016306"/>
      <w:bookmarkStart w:id="1227" w:name="_Toc446510470"/>
      <w:bookmarkStart w:id="1228" w:name="_Toc136956396"/>
      <w:bookmarkStart w:id="1229" w:name="_Toc529798026"/>
      <w:bookmarkStart w:id="1230" w:name="_Toc99567037"/>
      <w:bookmarkStart w:id="1231" w:name="_Toc99567506"/>
      <w:bookmarkStart w:id="1232" w:name="_Toc116261191"/>
      <w:r>
        <w:rPr>
          <w:rFonts w:hint="eastAsia" w:ascii="宋体" w:hAnsi="宋体"/>
          <w:bCs w:val="0"/>
          <w:color w:val="000000" w:themeColor="text1"/>
          <w:sz w:val="32"/>
          <w14:textFill>
            <w14:solidFill>
              <w14:schemeClr w14:val="tx1"/>
            </w14:solidFill>
          </w14:textFill>
        </w:rPr>
        <w:t>（二）投标</w:t>
      </w:r>
      <w:bookmarkEnd w:id="1224"/>
      <w:bookmarkEnd w:id="1225"/>
      <w:bookmarkEnd w:id="1226"/>
      <w:r>
        <w:rPr>
          <w:rFonts w:hint="eastAsia" w:ascii="宋体" w:hAnsi="宋体"/>
          <w:bCs w:val="0"/>
          <w:color w:val="000000" w:themeColor="text1"/>
          <w:sz w:val="32"/>
          <w14:textFill>
            <w14:solidFill>
              <w14:schemeClr w14:val="tx1"/>
            </w14:solidFill>
          </w14:textFill>
        </w:rPr>
        <w:t>报价一览表</w:t>
      </w:r>
      <w:bookmarkEnd w:id="1227"/>
      <w:bookmarkEnd w:id="1228"/>
      <w:bookmarkEnd w:id="1229"/>
      <w:bookmarkEnd w:id="1230"/>
      <w:bookmarkEnd w:id="1231"/>
      <w:bookmarkEnd w:id="1232"/>
    </w:p>
    <w:tbl>
      <w:tblPr>
        <w:tblStyle w:val="62"/>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28"/>
        <w:gridCol w:w="5812"/>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77" w:type="dxa"/>
            <w:tcBorders>
              <w:top w:val="single" w:color="auto" w:sz="4" w:space="0"/>
              <w:left w:val="single" w:color="auto" w:sz="4" w:space="0"/>
              <w:right w:val="single" w:color="auto" w:sz="4" w:space="0"/>
            </w:tcBorders>
            <w:vAlign w:val="center"/>
          </w:tcPr>
          <w:p>
            <w:pPr>
              <w:spacing w:line="400" w:lineRule="atLeast"/>
              <w:ind w:left="422" w:hanging="422" w:hangingChars="20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628" w:type="dxa"/>
            <w:tcBorders>
              <w:top w:val="single" w:color="auto" w:sz="4" w:space="0"/>
              <w:left w:val="single" w:color="auto" w:sz="4" w:space="0"/>
              <w:right w:val="single" w:color="auto" w:sz="4" w:space="0"/>
            </w:tcBorders>
            <w:vAlign w:val="center"/>
          </w:tcPr>
          <w:p>
            <w:pPr>
              <w:spacing w:line="400" w:lineRule="atLeast"/>
              <w:ind w:firstLine="632" w:firstLineChars="3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5812" w:type="dxa"/>
            <w:tcBorders>
              <w:top w:val="single" w:color="auto" w:sz="4" w:space="0"/>
              <w:left w:val="single" w:color="auto" w:sz="4" w:space="0"/>
              <w:right w:val="single" w:color="auto" w:sz="4" w:space="0"/>
            </w:tcBorders>
            <w:vAlign w:val="center"/>
          </w:tcPr>
          <w:p>
            <w:pPr>
              <w:spacing w:line="400" w:lineRule="atLeast"/>
              <w:ind w:right="-286" w:rightChars="-136" w:firstLine="2108" w:firstLineChars="10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报价内容</w:t>
            </w:r>
          </w:p>
        </w:tc>
        <w:tc>
          <w:tcPr>
            <w:tcW w:w="1065" w:type="dxa"/>
            <w:tcBorders>
              <w:top w:val="single" w:color="auto" w:sz="4" w:space="0"/>
              <w:left w:val="single" w:color="auto" w:sz="4" w:space="0"/>
              <w:right w:val="single" w:color="auto" w:sz="4" w:space="0"/>
            </w:tcBorders>
            <w:vAlign w:val="center"/>
          </w:tcPr>
          <w:p>
            <w:pPr>
              <w:spacing w:line="400" w:lineRule="atLeast"/>
              <w:ind w:right="-286" w:rightChars="-136"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工程设计部分报价</w:t>
            </w:r>
          </w:p>
        </w:tc>
        <w:tc>
          <w:tcPr>
            <w:tcW w:w="5812"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下浮</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atLeast"/>
              <w:ind w:left="420" w:hanging="420" w:hanging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工程施工部分报价</w:t>
            </w:r>
          </w:p>
        </w:tc>
        <w:tc>
          <w:tcPr>
            <w:tcW w:w="5812"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宋体" w:hAnsi="宋体"/>
                <w:color w:val="000000" w:themeColor="text1"/>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下浮</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atLeast"/>
              <w:ind w:left="420" w:hanging="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质量要求</w:t>
            </w:r>
          </w:p>
        </w:tc>
        <w:tc>
          <w:tcPr>
            <w:tcW w:w="581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atLeast"/>
              <w:ind w:left="420" w:hanging="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计划工期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atLeast"/>
              <w:ind w:left="420" w:hanging="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主要管理人员</w:t>
            </w:r>
          </w:p>
        </w:tc>
        <w:tc>
          <w:tcPr>
            <w:tcW w:w="5812"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项目负责人（兼任设计负责人）：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（姓名）；</w:t>
            </w:r>
          </w:p>
          <w:p>
            <w:pPr>
              <w:spacing w:line="400" w:lineRule="atLeast"/>
              <w:rPr>
                <w:rFonts w:ascii="宋体" w:hAnsi="宋体"/>
                <w:color w:val="000000" w:themeColor="text1"/>
                <w:szCs w:val="21"/>
                <w:u w:val="single"/>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施工负责人（项目经理）（市政公用工程）</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（姓名）；</w:t>
            </w:r>
          </w:p>
          <w:p>
            <w:pPr>
              <w:spacing w:line="400" w:lineRule="atLeast"/>
              <w:rPr>
                <w:rFonts w:ascii="宋体" w:hAnsi="宋体"/>
                <w:color w:val="000000" w:themeColor="text1"/>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施工技术负责人</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（姓名）。</w:t>
            </w:r>
          </w:p>
        </w:tc>
        <w:tc>
          <w:tcPr>
            <w:tcW w:w="1065"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atLeast"/>
              <w:ind w:left="420" w:hanging="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c>
          <w:tcPr>
            <w:tcW w:w="581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pPr>
              <w:spacing w:line="400" w:lineRule="atLeast"/>
              <w:jc w:val="center"/>
              <w:rPr>
                <w:rFonts w:ascii="宋体" w:hAnsi="宋体"/>
                <w:color w:val="000000" w:themeColor="text1"/>
                <w:szCs w:val="21"/>
                <w14:textFill>
                  <w14:solidFill>
                    <w14:schemeClr w14:val="tx1"/>
                  </w14:solidFill>
                </w14:textFill>
              </w:rPr>
            </w:pPr>
          </w:p>
        </w:tc>
      </w:tr>
    </w:tbl>
    <w:p>
      <w:pPr>
        <w:pStyle w:val="651"/>
        <w:rPr>
          <w:rStyle w:val="66"/>
          <w:bCs w:val="0"/>
          <w:color w:val="000000" w:themeColor="text1"/>
          <w14:textFill>
            <w14:solidFill>
              <w14:schemeClr w14:val="tx1"/>
            </w14:solidFill>
          </w14:textFill>
        </w:rPr>
      </w:pPr>
    </w:p>
    <w:p>
      <w:pPr>
        <w:pStyle w:val="651"/>
        <w:rPr>
          <w:rStyle w:val="66"/>
          <w:bCs w:val="0"/>
          <w:color w:val="000000" w:themeColor="text1"/>
          <w14:textFill>
            <w14:solidFill>
              <w14:schemeClr w14:val="tx1"/>
            </w14:solidFill>
          </w14:textFill>
        </w:rPr>
      </w:pPr>
    </w:p>
    <w:p>
      <w:pPr>
        <w:pStyle w:val="651"/>
        <w:rPr>
          <w:rStyle w:val="66"/>
          <w:bCs w:val="0"/>
          <w:color w:val="000000" w:themeColor="text1"/>
          <w14:textFill>
            <w14:solidFill>
              <w14:schemeClr w14:val="tx1"/>
            </w14:solidFill>
          </w14:textFill>
        </w:rPr>
      </w:pPr>
    </w:p>
    <w:p>
      <w:pPr>
        <w:pStyle w:val="651"/>
        <w:rPr>
          <w:rStyle w:val="66"/>
          <w:bCs w:val="0"/>
          <w:color w:val="000000" w:themeColor="text1"/>
          <w14:textFill>
            <w14:solidFill>
              <w14:schemeClr w14:val="tx1"/>
            </w14:solidFill>
          </w14:textFill>
        </w:rPr>
      </w:pPr>
    </w:p>
    <w:p>
      <w:pPr>
        <w:tabs>
          <w:tab w:val="left" w:pos="0"/>
        </w:tabs>
        <w:spacing w:line="500" w:lineRule="exact"/>
        <w:ind w:right="-212" w:firstLine="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ascii="宋体" w:hAnsi="宋体"/>
          <w:color w:val="000000" w:themeColor="text1"/>
          <w:sz w:val="24"/>
          <w:u w:val="single"/>
          <w14:textFill>
            <w14:solidFill>
              <w14:schemeClr w14:val="tx1"/>
            </w14:solidFill>
          </w14:textFill>
        </w:rPr>
        <w:t xml:space="preserve">                           （电子签章）</w:t>
      </w:r>
    </w:p>
    <w:p>
      <w:pPr>
        <w:tabs>
          <w:tab w:val="left" w:pos="0"/>
        </w:tabs>
        <w:spacing w:line="500" w:lineRule="exact"/>
        <w:ind w:right="-212" w:firstLine="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ascii="宋体" w:hAnsi="宋体"/>
          <w:color w:val="000000" w:themeColor="text1"/>
          <w:sz w:val="24"/>
          <w:u w:val="single"/>
          <w14:textFill>
            <w14:solidFill>
              <w14:schemeClr w14:val="tx1"/>
            </w14:solidFill>
          </w14:textFill>
        </w:rPr>
        <w:t xml:space="preserve">                       （电子签章）</w:t>
      </w:r>
    </w:p>
    <w:p>
      <w:pPr>
        <w:tabs>
          <w:tab w:val="left" w:pos="0"/>
        </w:tabs>
        <w:spacing w:line="500" w:lineRule="exact"/>
        <w:ind w:right="-212" w:firstLine="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pStyle w:val="969"/>
        <w:spacing w:line="360" w:lineRule="auto"/>
        <w:jc w:val="left"/>
        <w:rPr>
          <w:rFonts w:ascii="宋体" w:hAnsi="宋体"/>
          <w:b/>
          <w:color w:val="000000" w:themeColor="text1"/>
          <w:szCs w:val="22"/>
          <w14:textFill>
            <w14:solidFill>
              <w14:schemeClr w14:val="tx1"/>
            </w14:solidFill>
          </w14:textFill>
        </w:rPr>
      </w:pPr>
    </w:p>
    <w:p>
      <w:pPr>
        <w:jc w:val="left"/>
        <w:rPr>
          <w:b/>
          <w:color w:val="000000" w:themeColor="text1"/>
          <w:szCs w:val="22"/>
          <w14:textFill>
            <w14:solidFill>
              <w14:schemeClr w14:val="tx1"/>
            </w14:solidFill>
          </w14:textFill>
        </w:rPr>
      </w:pPr>
    </w:p>
    <w:p>
      <w:pPr>
        <w:ind w:right="420"/>
        <w:rPr>
          <w:rFonts w:ascii="宋体" w:hAnsi="宋体"/>
          <w:b/>
          <w:color w:val="000000" w:themeColor="text1"/>
          <w14:textFill>
            <w14:solidFill>
              <w14:schemeClr w14:val="tx1"/>
            </w14:solidFill>
          </w14:textFill>
        </w:rPr>
      </w:pPr>
    </w:p>
    <w:sectPr>
      <w:footerReference r:id="rId12" w:type="default"/>
      <w:type w:val="nextColumn"/>
      <w:pgSz w:w="11906" w:h="16838"/>
      <w:pgMar w:top="1304" w:right="1304" w:bottom="1304" w:left="130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YPE">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全真中明體">
    <w:altName w:val="MingLiU-ExtB"/>
    <w:panose1 w:val="00000000000000000000"/>
    <w:charset w:val="88"/>
    <w:family w:val="modern"/>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B Frutiger Bold">
    <w:altName w:val="Impac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9" w:usb3="00000000" w:csb0="000001FF"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宋一简体">
    <w:altName w:val="宋体"/>
    <w:panose1 w:val="00000000000000000000"/>
    <w:charset w:val="86"/>
    <w:family w:val="script"/>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100" w:firstLineChars="50"/>
    </w:pPr>
    <w:r>
      <w:rPr>
        <w:rFonts w:ascii="华文仿宋" w:hAnsi="华文仿宋" w:eastAsia="华文仿宋"/>
        <w:b/>
        <w:bCs/>
        <w:color w:val="000000"/>
        <w:sz w:val="20"/>
      </w:rPr>
      <w:t xml:space="preserve">                                              </w:t>
    </w:r>
    <w:r>
      <w:rPr>
        <w:rFonts w:ascii="华文仿宋" w:hAnsi="华文仿宋" w:eastAsia="华文仿宋"/>
        <w:bCs/>
        <w:sz w:val="20"/>
      </w:rPr>
      <w:fldChar w:fldCharType="begin"/>
    </w:r>
    <w:r>
      <w:rPr>
        <w:rFonts w:ascii="华文仿宋" w:hAnsi="华文仿宋" w:eastAsia="华文仿宋"/>
        <w:bCs/>
        <w:sz w:val="20"/>
      </w:rPr>
      <w:instrText xml:space="preserve">PAGE   \* MERGEFORMAT</w:instrText>
    </w:r>
    <w:r>
      <w:rPr>
        <w:rFonts w:ascii="华文仿宋" w:hAnsi="华文仿宋" w:eastAsia="华文仿宋"/>
        <w:bCs/>
        <w:sz w:val="20"/>
      </w:rPr>
      <w:fldChar w:fldCharType="separate"/>
    </w:r>
    <w:r>
      <w:rPr>
        <w:rFonts w:ascii="华文仿宋" w:hAnsi="华文仿宋" w:eastAsia="华文仿宋"/>
        <w:bCs/>
        <w:sz w:val="20"/>
        <w:lang w:val="zh-CN"/>
      </w:rPr>
      <w:t>-</w:t>
    </w:r>
    <w:r>
      <w:rPr>
        <w:rFonts w:ascii="华文仿宋" w:hAnsi="华文仿宋" w:eastAsia="华文仿宋"/>
        <w:bCs/>
        <w:sz w:val="20"/>
      </w:rPr>
      <w:t xml:space="preserve"> 6 -</w:t>
    </w:r>
    <w:r>
      <w:rPr>
        <w:rFonts w:ascii="华文仿宋" w:hAnsi="华文仿宋" w:eastAsia="华文仿宋"/>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Fonts w:ascii="华文仿宋" w:hAnsi="华文仿宋" w:eastAsia="华文仿宋"/>
        <w:b/>
        <w:bCs/>
        <w:color w:val="000000"/>
        <w:sz w:val="20"/>
      </w:rPr>
      <w:t xml:space="preserve">                                             </w:t>
    </w:r>
    <w:r>
      <w:rPr>
        <w:rFonts w:hint="eastAsia" w:ascii="华文仿宋" w:hAnsi="华文仿宋" w:eastAsia="华文仿宋"/>
        <w:b/>
        <w:bCs/>
        <w:color w:val="000000"/>
        <w:sz w:val="20"/>
      </w:rPr>
      <w:t xml:space="preserve"> </w:t>
    </w:r>
    <w:r>
      <w:rPr>
        <w:rFonts w:ascii="华文仿宋" w:hAnsi="华文仿宋" w:eastAsia="华文仿宋"/>
        <w:bCs/>
        <w:sz w:val="20"/>
      </w:rPr>
      <w:fldChar w:fldCharType="begin"/>
    </w:r>
    <w:r>
      <w:rPr>
        <w:rFonts w:ascii="华文仿宋" w:hAnsi="华文仿宋" w:eastAsia="华文仿宋"/>
        <w:bCs/>
        <w:sz w:val="20"/>
      </w:rPr>
      <w:instrText xml:space="preserve">PAGE   \* MERGEFORMAT</w:instrText>
    </w:r>
    <w:r>
      <w:rPr>
        <w:rFonts w:ascii="华文仿宋" w:hAnsi="华文仿宋" w:eastAsia="华文仿宋"/>
        <w:bCs/>
        <w:sz w:val="20"/>
      </w:rPr>
      <w:fldChar w:fldCharType="separate"/>
    </w:r>
    <w:r>
      <w:rPr>
        <w:rFonts w:ascii="华文仿宋" w:hAnsi="华文仿宋" w:eastAsia="华文仿宋"/>
        <w:bCs/>
        <w:sz w:val="20"/>
        <w:lang w:val="zh-CN"/>
      </w:rPr>
      <w:t>-</w:t>
    </w:r>
    <w:r>
      <w:rPr>
        <w:rFonts w:ascii="华文仿宋" w:hAnsi="华文仿宋" w:eastAsia="华文仿宋"/>
        <w:bCs/>
        <w:sz w:val="20"/>
      </w:rPr>
      <w:t xml:space="preserve"> 5 -</w:t>
    </w:r>
    <w:r>
      <w:rPr>
        <w:rFonts w:ascii="华文仿宋" w:hAnsi="华文仿宋" w:eastAsia="华文仿宋"/>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Fonts w:ascii="华文仿宋" w:hAnsi="华文仿宋" w:eastAsia="华文仿宋"/>
        <w:b/>
        <w:bCs/>
        <w:color w:val="000000"/>
        <w:sz w:val="20"/>
      </w:rPr>
      <w:t xml:space="preserve">                                       </w:t>
    </w:r>
    <w:r>
      <w:rPr>
        <w:rFonts w:ascii="华文仿宋" w:hAnsi="华文仿宋" w:eastAsia="华文仿宋"/>
        <w:bCs/>
        <w:sz w:val="20"/>
      </w:rPr>
      <w:fldChar w:fldCharType="begin"/>
    </w:r>
    <w:r>
      <w:rPr>
        <w:rFonts w:ascii="华文仿宋" w:hAnsi="华文仿宋" w:eastAsia="华文仿宋"/>
        <w:bCs/>
        <w:sz w:val="20"/>
      </w:rPr>
      <w:instrText xml:space="preserve">PAGE   \* MERGEFORMAT</w:instrText>
    </w:r>
    <w:r>
      <w:rPr>
        <w:rFonts w:ascii="华文仿宋" w:hAnsi="华文仿宋" w:eastAsia="华文仿宋"/>
        <w:bCs/>
        <w:sz w:val="20"/>
      </w:rPr>
      <w:fldChar w:fldCharType="separate"/>
    </w:r>
    <w:r>
      <w:rPr>
        <w:rFonts w:ascii="华文仿宋" w:hAnsi="华文仿宋" w:eastAsia="华文仿宋"/>
        <w:bCs/>
        <w:sz w:val="20"/>
        <w:lang w:val="zh-CN"/>
      </w:rPr>
      <w:t>-</w:t>
    </w:r>
    <w:r>
      <w:rPr>
        <w:rFonts w:ascii="华文仿宋" w:hAnsi="华文仿宋" w:eastAsia="华文仿宋"/>
        <w:bCs/>
        <w:sz w:val="20"/>
      </w:rPr>
      <w:t xml:space="preserve"> 7 -</w:t>
    </w:r>
    <w:r>
      <w:rPr>
        <w:rFonts w:ascii="华文仿宋" w:hAnsi="华文仿宋" w:eastAsia="华文仿宋"/>
        <w:bCs/>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Fonts w:ascii="华文仿宋" w:hAnsi="华文仿宋" w:eastAsia="华文仿宋"/>
        <w:b/>
        <w:bCs/>
        <w:color w:val="000000"/>
        <w:sz w:val="20"/>
      </w:rPr>
      <w:t xml:space="preserve">                                          </w:t>
    </w:r>
    <w:r>
      <w:rPr>
        <w:rFonts w:ascii="华文仿宋" w:hAnsi="华文仿宋" w:eastAsia="华文仿宋"/>
        <w:bCs/>
        <w:sz w:val="20"/>
      </w:rPr>
      <w:fldChar w:fldCharType="begin"/>
    </w:r>
    <w:r>
      <w:rPr>
        <w:rFonts w:ascii="华文仿宋" w:hAnsi="华文仿宋" w:eastAsia="华文仿宋"/>
        <w:bCs/>
        <w:sz w:val="20"/>
      </w:rPr>
      <w:instrText xml:space="preserve">PAGE   \* MERGEFORMAT</w:instrText>
    </w:r>
    <w:r>
      <w:rPr>
        <w:rFonts w:ascii="华文仿宋" w:hAnsi="华文仿宋" w:eastAsia="华文仿宋"/>
        <w:bCs/>
        <w:sz w:val="20"/>
      </w:rPr>
      <w:fldChar w:fldCharType="separate"/>
    </w:r>
    <w:r>
      <w:rPr>
        <w:rFonts w:ascii="华文仿宋" w:hAnsi="华文仿宋" w:eastAsia="华文仿宋"/>
        <w:bCs/>
        <w:sz w:val="20"/>
        <w:lang w:val="zh-CN"/>
      </w:rPr>
      <w:t>-</w:t>
    </w:r>
    <w:r>
      <w:rPr>
        <w:rFonts w:ascii="华文仿宋" w:hAnsi="华文仿宋" w:eastAsia="华文仿宋"/>
        <w:bCs/>
        <w:sz w:val="20"/>
      </w:rPr>
      <w:t xml:space="preserve"> 31 -</w:t>
    </w:r>
    <w:r>
      <w:rPr>
        <w:rFonts w:ascii="华文仿宋" w:hAnsi="华文仿宋" w:eastAsia="华文仿宋"/>
        <w:bCs/>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100" w:firstLineChars="50"/>
    </w:pPr>
    <w:r>
      <w:rPr>
        <w:rFonts w:ascii="华文仿宋" w:hAnsi="华文仿宋" w:eastAsia="华文仿宋"/>
        <w:b/>
        <w:bCs/>
        <w:color w:val="000000"/>
        <w:sz w:val="20"/>
      </w:rPr>
      <w:t xml:space="preserve">                                               </w:t>
    </w:r>
    <w:r>
      <w:rPr>
        <w:rFonts w:ascii="华文仿宋" w:hAnsi="华文仿宋" w:eastAsia="华文仿宋"/>
        <w:bCs/>
        <w:sz w:val="20"/>
      </w:rPr>
      <w:fldChar w:fldCharType="begin"/>
    </w:r>
    <w:r>
      <w:rPr>
        <w:rFonts w:ascii="华文仿宋" w:hAnsi="华文仿宋" w:eastAsia="华文仿宋"/>
        <w:bCs/>
        <w:sz w:val="20"/>
      </w:rPr>
      <w:instrText xml:space="preserve">PAGE   \* MERGEFORMAT</w:instrText>
    </w:r>
    <w:r>
      <w:rPr>
        <w:rFonts w:ascii="华文仿宋" w:hAnsi="华文仿宋" w:eastAsia="华文仿宋"/>
        <w:bCs/>
        <w:sz w:val="20"/>
      </w:rPr>
      <w:fldChar w:fldCharType="separate"/>
    </w:r>
    <w:r>
      <w:rPr>
        <w:rFonts w:ascii="华文仿宋" w:hAnsi="华文仿宋" w:eastAsia="华文仿宋"/>
        <w:bCs/>
        <w:sz w:val="20"/>
        <w:lang w:val="zh-CN"/>
      </w:rPr>
      <w:t>-</w:t>
    </w:r>
    <w:r>
      <w:rPr>
        <w:rFonts w:ascii="华文仿宋" w:hAnsi="华文仿宋" w:eastAsia="华文仿宋"/>
        <w:bCs/>
        <w:sz w:val="20"/>
      </w:rPr>
      <w:t xml:space="preserve"> 73 -</w:t>
    </w:r>
    <w:r>
      <w:rPr>
        <w:rFonts w:ascii="华文仿宋" w:hAnsi="华文仿宋" w:eastAsia="华文仿宋"/>
        <w:bCs/>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8"/>
      </w:rPr>
    </w:pPr>
    <w:r>
      <w:fldChar w:fldCharType="begin"/>
    </w:r>
    <w:r>
      <w:rPr>
        <w:rStyle w:val="68"/>
      </w:rPr>
      <w:instrText xml:space="preserve">PAGE  </w:instrText>
    </w:r>
    <w:r>
      <w:fldChar w:fldCharType="end"/>
    </w:r>
  </w:p>
  <w:p>
    <w:pPr>
      <w:pStyle w:val="37"/>
      <w:ind w:firstLine="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Fonts w:hint="eastAsia" w:ascii="华文仿宋" w:hAnsi="华文仿宋" w:eastAsia="华文仿宋"/>
        <w:b/>
        <w:bCs/>
        <w:color w:val="000000"/>
        <w:sz w:val="20"/>
      </w:rPr>
      <w:t xml:space="preserve"> </w:t>
    </w:r>
    <w:r>
      <w:rPr>
        <w:rFonts w:ascii="华文仿宋" w:hAnsi="华文仿宋" w:eastAsia="华文仿宋"/>
        <w:b/>
        <w:bCs/>
        <w:color w:val="000000"/>
        <w:sz w:val="20"/>
      </w:rPr>
      <w:t xml:space="preserve">                                                </w:t>
    </w:r>
    <w:r>
      <w:rPr>
        <w:rFonts w:ascii="华文仿宋" w:hAnsi="华文仿宋" w:eastAsia="华文仿宋"/>
        <w:bCs/>
        <w:sz w:val="20"/>
      </w:rPr>
      <w:fldChar w:fldCharType="begin"/>
    </w:r>
    <w:r>
      <w:rPr>
        <w:rFonts w:ascii="华文仿宋" w:hAnsi="华文仿宋" w:eastAsia="华文仿宋"/>
        <w:bCs/>
        <w:sz w:val="20"/>
      </w:rPr>
      <w:instrText xml:space="preserve">PAGE   \* MERGEFORMAT</w:instrText>
    </w:r>
    <w:r>
      <w:rPr>
        <w:rFonts w:ascii="华文仿宋" w:hAnsi="华文仿宋" w:eastAsia="华文仿宋"/>
        <w:bCs/>
        <w:sz w:val="20"/>
      </w:rPr>
      <w:fldChar w:fldCharType="separate"/>
    </w:r>
    <w:r>
      <w:rPr>
        <w:rFonts w:ascii="华文仿宋" w:hAnsi="华文仿宋" w:eastAsia="华文仿宋"/>
        <w:bCs/>
        <w:sz w:val="20"/>
        <w:lang w:val="zh-CN"/>
      </w:rPr>
      <w:t>-</w:t>
    </w:r>
    <w:r>
      <w:rPr>
        <w:rFonts w:ascii="华文仿宋" w:hAnsi="华文仿宋" w:eastAsia="华文仿宋"/>
        <w:bCs/>
        <w:sz w:val="20"/>
      </w:rPr>
      <w:t xml:space="preserve"> 145 -</w:t>
    </w:r>
    <w:r>
      <w:rPr>
        <w:rFonts w:ascii="华文仿宋" w:hAnsi="华文仿宋" w:eastAsia="华文仿宋"/>
        <w:bCs/>
        <w:sz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thinThickSmallGap" w:color="auto" w:sz="18" w:space="2"/>
      </w:pBdr>
      <w:jc w:val="left"/>
      <w:rPr>
        <w:rFonts w:ascii="仿宋" w:hAnsi="仿宋" w:eastAsia="仿宋"/>
        <w:b/>
        <w:bCs/>
        <w:sz w:val="20"/>
      </w:rPr>
    </w:pPr>
    <w:r>
      <w:rPr>
        <w:rFonts w:hint="eastAsia" w:ascii="仿宋" w:hAnsi="仿宋" w:eastAsia="仿宋"/>
        <w:b/>
        <w:bCs/>
        <w:szCs w:val="16"/>
      </w:rPr>
      <w:t>经开区143号路设计施工总承包</w:t>
    </w:r>
    <w:r>
      <w:rPr>
        <w:rFonts w:ascii="仿宋" w:hAnsi="仿宋" w:eastAsia="仿宋"/>
        <w:b/>
        <w:bCs/>
        <w:szCs w:val="16"/>
      </w:rPr>
      <w:t xml:space="preserve">    </w:t>
    </w:r>
    <w:r>
      <w:rPr>
        <w:rFonts w:hint="eastAsia" w:ascii="仿宋" w:hAnsi="仿宋" w:eastAsia="仿宋"/>
        <w:b/>
        <w:bCs/>
        <w:szCs w:val="16"/>
      </w:rPr>
      <w:t xml:space="preserve">                                                        招标文件</w:t>
    </w:r>
    <w:r>
      <w:rPr>
        <w:rFonts w:ascii="仿宋" w:hAnsi="仿宋" w:eastAsia="仿宋"/>
        <w:b/>
        <w:bCs/>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thinThickSmallGap" w:color="auto" w:sz="18" w:space="2"/>
      </w:pBdr>
      <w:ind w:firstLine="180" w:firstLineChars="100"/>
      <w:jc w:val="left"/>
      <w:rPr>
        <w:rFonts w:ascii="华文仿宋" w:hAnsi="华文仿宋" w:eastAsia="华文仿宋"/>
        <w:b/>
        <w:bCs/>
        <w:sz w:val="20"/>
      </w:rPr>
    </w:pPr>
    <w:r>
      <w:rPr>
        <w:rFonts w:hint="eastAsia" w:ascii="华文仿宋" w:hAnsi="华文仿宋" w:eastAsia="华文仿宋"/>
        <w:b/>
        <w:bCs/>
        <w:szCs w:val="16"/>
      </w:rPr>
      <w:t xml:space="preserve">经开区143号路设计施工总承包 </w:t>
    </w:r>
    <w:r>
      <w:rPr>
        <w:rFonts w:ascii="华文仿宋" w:hAnsi="华文仿宋" w:eastAsia="华文仿宋"/>
        <w:b/>
        <w:bCs/>
        <w:szCs w:val="16"/>
      </w:rPr>
      <w:t xml:space="preserve"> </w:t>
    </w:r>
    <w:r>
      <w:rPr>
        <w:rFonts w:hint="eastAsia" w:ascii="华文仿宋" w:hAnsi="华文仿宋" w:eastAsia="华文仿宋"/>
        <w:b/>
        <w:bCs/>
        <w:szCs w:val="16"/>
      </w:rPr>
      <w:t xml:space="preserve">                </w:t>
    </w:r>
    <w:r>
      <w:rPr>
        <w:rFonts w:ascii="华文仿宋" w:hAnsi="华文仿宋" w:eastAsia="华文仿宋"/>
        <w:b/>
        <w:bCs/>
        <w:szCs w:val="16"/>
      </w:rPr>
      <w:t xml:space="preserve">    </w:t>
    </w:r>
    <w:r>
      <w:rPr>
        <w:rFonts w:hint="eastAsia" w:ascii="华文仿宋" w:hAnsi="华文仿宋" w:eastAsia="华文仿宋"/>
        <w:b/>
        <w:bCs/>
        <w:szCs w:val="16"/>
      </w:rPr>
      <w:t xml:space="preserve">                                       招标文件</w:t>
    </w:r>
    <w:r>
      <w:rPr>
        <w:rFonts w:ascii="华文仿宋" w:hAnsi="华文仿宋" w:eastAsia="华文仿宋"/>
        <w:b/>
        <w:bCs/>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thinThickSmallGap" w:color="auto" w:sz="18" w:space="2"/>
      </w:pBdr>
      <w:jc w:val="left"/>
      <w:rPr>
        <w:rFonts w:ascii="华文仿宋" w:hAnsi="华文仿宋" w:eastAsia="华文仿宋"/>
        <w:b/>
        <w:bCs/>
        <w:sz w:val="20"/>
      </w:rPr>
    </w:pPr>
    <w:r>
      <w:rPr>
        <w:rFonts w:hint="eastAsia" w:ascii="仿宋" w:hAnsi="仿宋" w:eastAsia="仿宋"/>
        <w:b/>
        <w:bCs/>
        <w:szCs w:val="16"/>
      </w:rPr>
      <w:t>经开区143号路设计施工总承包</w:t>
    </w:r>
    <w:r>
      <w:rPr>
        <w:rFonts w:ascii="华文仿宋" w:hAnsi="华文仿宋" w:eastAsia="华文仿宋"/>
        <w:b/>
        <w:bCs/>
        <w:szCs w:val="16"/>
      </w:rPr>
      <w:t xml:space="preserve">      </w:t>
    </w:r>
    <w:r>
      <w:rPr>
        <w:rFonts w:hint="eastAsia" w:ascii="华文仿宋" w:hAnsi="华文仿宋" w:eastAsia="华文仿宋"/>
        <w:b/>
        <w:bCs/>
        <w:szCs w:val="16"/>
      </w:rPr>
      <w:t xml:space="preserve">  </w:t>
    </w:r>
    <w:r>
      <w:rPr>
        <w:rFonts w:ascii="华文仿宋" w:hAnsi="华文仿宋" w:eastAsia="华文仿宋"/>
        <w:b/>
        <w:bCs/>
        <w:szCs w:val="16"/>
      </w:rPr>
      <w:t xml:space="preserve">    </w:t>
    </w:r>
    <w:r>
      <w:rPr>
        <w:rFonts w:hint="eastAsia" w:ascii="华文仿宋" w:hAnsi="华文仿宋" w:eastAsia="华文仿宋"/>
        <w:b/>
        <w:bCs/>
        <w:szCs w:val="16"/>
      </w:rPr>
      <w:t xml:space="preserve">  </w:t>
    </w:r>
    <w:r>
      <w:rPr>
        <w:rFonts w:ascii="华文仿宋" w:hAnsi="华文仿宋" w:eastAsia="华文仿宋"/>
        <w:b/>
        <w:bCs/>
        <w:szCs w:val="16"/>
      </w:rPr>
      <w:t xml:space="preserve">                          </w:t>
    </w:r>
    <w:r>
      <w:rPr>
        <w:rFonts w:hint="eastAsia" w:ascii="华文仿宋" w:hAnsi="华文仿宋" w:eastAsia="华文仿宋"/>
        <w:b/>
        <w:bCs/>
        <w:szCs w:val="16"/>
      </w:rPr>
      <w:t xml:space="preserve">    </w:t>
    </w:r>
    <w:r>
      <w:rPr>
        <w:rFonts w:ascii="华文仿宋" w:hAnsi="华文仿宋" w:eastAsia="华文仿宋"/>
        <w:b/>
        <w:bCs/>
        <w:szCs w:val="16"/>
      </w:rPr>
      <w:t xml:space="preserve">        </w:t>
    </w:r>
    <w:r>
      <w:rPr>
        <w:rFonts w:hint="eastAsia" w:ascii="华文仿宋" w:hAnsi="华文仿宋" w:eastAsia="华文仿宋"/>
        <w:b/>
        <w:bCs/>
        <w:szCs w:val="16"/>
      </w:rPr>
      <w:t xml:space="preserve">      </w:t>
    </w:r>
    <w:r>
      <w:rPr>
        <w:rFonts w:ascii="华文仿宋" w:hAnsi="华文仿宋" w:eastAsia="华文仿宋"/>
        <w:b/>
        <w:bCs/>
        <w:szCs w:val="16"/>
      </w:rPr>
      <w:t xml:space="preserve">        </w:t>
    </w:r>
    <w:r>
      <w:rPr>
        <w:rFonts w:hint="eastAsia" w:ascii="华文仿宋" w:hAnsi="华文仿宋" w:eastAsia="华文仿宋"/>
        <w:b/>
        <w:bCs/>
        <w:szCs w:val="16"/>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D70B4"/>
    <w:multiLevelType w:val="multilevel"/>
    <w:tmpl w:val="226D70B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3532DE"/>
    <w:multiLevelType w:val="multilevel"/>
    <w:tmpl w:val="373532DE"/>
    <w:lvl w:ilvl="0" w:tentative="0">
      <w:start w:val="1"/>
      <w:numFmt w:val="decimalEnclosedCircle"/>
      <w:lvlText w:val="%1"/>
      <w:lvlJc w:val="left"/>
      <w:pPr>
        <w:ind w:left="840" w:hanging="36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EB74205"/>
    <w:multiLevelType w:val="multilevel"/>
    <w:tmpl w:val="3EB7420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186D8B"/>
    <w:multiLevelType w:val="multilevel"/>
    <w:tmpl w:val="45186D8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F570BB"/>
    <w:multiLevelType w:val="multilevel"/>
    <w:tmpl w:val="46F570B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E876F1"/>
    <w:multiLevelType w:val="multilevel"/>
    <w:tmpl w:val="55E876F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997CF6"/>
    <w:multiLevelType w:val="multilevel"/>
    <w:tmpl w:val="59997CF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C85F77"/>
    <w:multiLevelType w:val="multilevel"/>
    <w:tmpl w:val="5EC85F7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FB343D"/>
    <w:multiLevelType w:val="multilevel"/>
    <w:tmpl w:val="6FFB343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1411E43"/>
    <w:multiLevelType w:val="multilevel"/>
    <w:tmpl w:val="71411E4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914218"/>
    <w:multiLevelType w:val="multilevel"/>
    <w:tmpl w:val="7B91421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9"/>
  </w:num>
  <w:num w:numId="3">
    <w:abstractNumId w:val="5"/>
  </w:num>
  <w:num w:numId="4">
    <w:abstractNumId w:val="8"/>
  </w:num>
  <w:num w:numId="5">
    <w:abstractNumId w:val="3"/>
  </w:num>
  <w:num w:numId="6">
    <w:abstractNumId w:val="6"/>
  </w:num>
  <w:num w:numId="7">
    <w:abstractNumId w:val="2"/>
  </w:num>
  <w:num w:numId="8">
    <w:abstractNumId w:val="7"/>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jEyZTdiMTk1ZDQwMjZjNDRmMDczMDgwMWUwYzkifQ=="/>
  </w:docVars>
  <w:rsids>
    <w:rsidRoot w:val="00172A27"/>
    <w:rsid w:val="00000026"/>
    <w:rsid w:val="0000066E"/>
    <w:rsid w:val="000006D9"/>
    <w:rsid w:val="00001B09"/>
    <w:rsid w:val="00003402"/>
    <w:rsid w:val="0000352C"/>
    <w:rsid w:val="00003B7A"/>
    <w:rsid w:val="00003ECB"/>
    <w:rsid w:val="000044F6"/>
    <w:rsid w:val="00004DE9"/>
    <w:rsid w:val="00004F4C"/>
    <w:rsid w:val="0000557E"/>
    <w:rsid w:val="00005717"/>
    <w:rsid w:val="00005B2C"/>
    <w:rsid w:val="000065CD"/>
    <w:rsid w:val="00007225"/>
    <w:rsid w:val="000101AA"/>
    <w:rsid w:val="000107C0"/>
    <w:rsid w:val="0001096B"/>
    <w:rsid w:val="00010BEA"/>
    <w:rsid w:val="00011696"/>
    <w:rsid w:val="00011CE7"/>
    <w:rsid w:val="00012373"/>
    <w:rsid w:val="000145E4"/>
    <w:rsid w:val="00014D08"/>
    <w:rsid w:val="00014DDE"/>
    <w:rsid w:val="00014E43"/>
    <w:rsid w:val="000159B4"/>
    <w:rsid w:val="00016039"/>
    <w:rsid w:val="000162A6"/>
    <w:rsid w:val="000172D7"/>
    <w:rsid w:val="000174EC"/>
    <w:rsid w:val="000176D8"/>
    <w:rsid w:val="00017B8A"/>
    <w:rsid w:val="00020E2B"/>
    <w:rsid w:val="0002211B"/>
    <w:rsid w:val="00022410"/>
    <w:rsid w:val="000239C7"/>
    <w:rsid w:val="00023BDF"/>
    <w:rsid w:val="00024E5D"/>
    <w:rsid w:val="000259C0"/>
    <w:rsid w:val="0002663B"/>
    <w:rsid w:val="00026ED6"/>
    <w:rsid w:val="00026F22"/>
    <w:rsid w:val="00027F1B"/>
    <w:rsid w:val="000300D7"/>
    <w:rsid w:val="00031732"/>
    <w:rsid w:val="00032537"/>
    <w:rsid w:val="000331B5"/>
    <w:rsid w:val="00033D60"/>
    <w:rsid w:val="0003460A"/>
    <w:rsid w:val="00034DF1"/>
    <w:rsid w:val="00035056"/>
    <w:rsid w:val="0003549C"/>
    <w:rsid w:val="000369CB"/>
    <w:rsid w:val="000370AB"/>
    <w:rsid w:val="00037D04"/>
    <w:rsid w:val="00037E0C"/>
    <w:rsid w:val="000411C9"/>
    <w:rsid w:val="0004205D"/>
    <w:rsid w:val="00042671"/>
    <w:rsid w:val="00042855"/>
    <w:rsid w:val="00042D33"/>
    <w:rsid w:val="00043010"/>
    <w:rsid w:val="0004312F"/>
    <w:rsid w:val="00044188"/>
    <w:rsid w:val="000444E1"/>
    <w:rsid w:val="000445FB"/>
    <w:rsid w:val="000446A6"/>
    <w:rsid w:val="0004473F"/>
    <w:rsid w:val="0004507A"/>
    <w:rsid w:val="000456C6"/>
    <w:rsid w:val="000465C9"/>
    <w:rsid w:val="00046AC2"/>
    <w:rsid w:val="00046AF2"/>
    <w:rsid w:val="0004730B"/>
    <w:rsid w:val="00047311"/>
    <w:rsid w:val="000477E6"/>
    <w:rsid w:val="00051141"/>
    <w:rsid w:val="000517AB"/>
    <w:rsid w:val="00052189"/>
    <w:rsid w:val="00053096"/>
    <w:rsid w:val="0005318B"/>
    <w:rsid w:val="0005381E"/>
    <w:rsid w:val="00056840"/>
    <w:rsid w:val="00056B1B"/>
    <w:rsid w:val="0005719D"/>
    <w:rsid w:val="000573D3"/>
    <w:rsid w:val="0005775D"/>
    <w:rsid w:val="0006060B"/>
    <w:rsid w:val="000607F4"/>
    <w:rsid w:val="000613A4"/>
    <w:rsid w:val="000619C0"/>
    <w:rsid w:val="000620EA"/>
    <w:rsid w:val="000632A2"/>
    <w:rsid w:val="000634A6"/>
    <w:rsid w:val="00063E0A"/>
    <w:rsid w:val="00063FA2"/>
    <w:rsid w:val="00064661"/>
    <w:rsid w:val="00065249"/>
    <w:rsid w:val="0006585E"/>
    <w:rsid w:val="00065F62"/>
    <w:rsid w:val="000664EF"/>
    <w:rsid w:val="00066C7E"/>
    <w:rsid w:val="00066C98"/>
    <w:rsid w:val="000670DB"/>
    <w:rsid w:val="0006753C"/>
    <w:rsid w:val="00067637"/>
    <w:rsid w:val="0006797C"/>
    <w:rsid w:val="00070003"/>
    <w:rsid w:val="0007022C"/>
    <w:rsid w:val="00070D8B"/>
    <w:rsid w:val="00072C61"/>
    <w:rsid w:val="00072D07"/>
    <w:rsid w:val="00072F9D"/>
    <w:rsid w:val="00073DBF"/>
    <w:rsid w:val="00074332"/>
    <w:rsid w:val="00074751"/>
    <w:rsid w:val="000747AE"/>
    <w:rsid w:val="00074F88"/>
    <w:rsid w:val="00075178"/>
    <w:rsid w:val="000763C6"/>
    <w:rsid w:val="00076688"/>
    <w:rsid w:val="000769B7"/>
    <w:rsid w:val="00076C40"/>
    <w:rsid w:val="00076C6E"/>
    <w:rsid w:val="00077CB3"/>
    <w:rsid w:val="00077CC5"/>
    <w:rsid w:val="00077E10"/>
    <w:rsid w:val="00080291"/>
    <w:rsid w:val="0008061E"/>
    <w:rsid w:val="00080BCA"/>
    <w:rsid w:val="00081DFA"/>
    <w:rsid w:val="00082970"/>
    <w:rsid w:val="00082F28"/>
    <w:rsid w:val="00084322"/>
    <w:rsid w:val="00084F6D"/>
    <w:rsid w:val="00085366"/>
    <w:rsid w:val="0008670A"/>
    <w:rsid w:val="0008671F"/>
    <w:rsid w:val="0008675D"/>
    <w:rsid w:val="00086F4D"/>
    <w:rsid w:val="0008748F"/>
    <w:rsid w:val="000875A7"/>
    <w:rsid w:val="000900F7"/>
    <w:rsid w:val="00090BBB"/>
    <w:rsid w:val="000915A7"/>
    <w:rsid w:val="00091624"/>
    <w:rsid w:val="00091C35"/>
    <w:rsid w:val="00091C74"/>
    <w:rsid w:val="000932F1"/>
    <w:rsid w:val="000934D8"/>
    <w:rsid w:val="00093A8A"/>
    <w:rsid w:val="00094032"/>
    <w:rsid w:val="00095959"/>
    <w:rsid w:val="00095E26"/>
    <w:rsid w:val="00095F4D"/>
    <w:rsid w:val="00097EAF"/>
    <w:rsid w:val="000A0E15"/>
    <w:rsid w:val="000A115B"/>
    <w:rsid w:val="000A1AF9"/>
    <w:rsid w:val="000A1B84"/>
    <w:rsid w:val="000A1DB5"/>
    <w:rsid w:val="000A23D4"/>
    <w:rsid w:val="000A2AA7"/>
    <w:rsid w:val="000A36E2"/>
    <w:rsid w:val="000A3FEC"/>
    <w:rsid w:val="000A4090"/>
    <w:rsid w:val="000A4A0B"/>
    <w:rsid w:val="000A4DA2"/>
    <w:rsid w:val="000A4EA2"/>
    <w:rsid w:val="000A5297"/>
    <w:rsid w:val="000A55E1"/>
    <w:rsid w:val="000A5A6C"/>
    <w:rsid w:val="000A60C5"/>
    <w:rsid w:val="000A6318"/>
    <w:rsid w:val="000A65DF"/>
    <w:rsid w:val="000A6DF3"/>
    <w:rsid w:val="000A7BDC"/>
    <w:rsid w:val="000A7C70"/>
    <w:rsid w:val="000B0722"/>
    <w:rsid w:val="000B34D6"/>
    <w:rsid w:val="000B361B"/>
    <w:rsid w:val="000B412A"/>
    <w:rsid w:val="000B42D6"/>
    <w:rsid w:val="000B4597"/>
    <w:rsid w:val="000B4D8A"/>
    <w:rsid w:val="000B6FAD"/>
    <w:rsid w:val="000B7F69"/>
    <w:rsid w:val="000C0732"/>
    <w:rsid w:val="000C0DF8"/>
    <w:rsid w:val="000C0F6E"/>
    <w:rsid w:val="000C1B1E"/>
    <w:rsid w:val="000C1E5C"/>
    <w:rsid w:val="000C2514"/>
    <w:rsid w:val="000C2621"/>
    <w:rsid w:val="000C269C"/>
    <w:rsid w:val="000C282C"/>
    <w:rsid w:val="000C29AA"/>
    <w:rsid w:val="000C2E9B"/>
    <w:rsid w:val="000C3BCB"/>
    <w:rsid w:val="000C40ED"/>
    <w:rsid w:val="000C4A18"/>
    <w:rsid w:val="000C529F"/>
    <w:rsid w:val="000C5735"/>
    <w:rsid w:val="000C794F"/>
    <w:rsid w:val="000D1376"/>
    <w:rsid w:val="000D1AC9"/>
    <w:rsid w:val="000D1BF1"/>
    <w:rsid w:val="000D1C91"/>
    <w:rsid w:val="000D2339"/>
    <w:rsid w:val="000D24E0"/>
    <w:rsid w:val="000D2F51"/>
    <w:rsid w:val="000D2F5E"/>
    <w:rsid w:val="000D35C9"/>
    <w:rsid w:val="000D46FB"/>
    <w:rsid w:val="000D47BA"/>
    <w:rsid w:val="000D56B8"/>
    <w:rsid w:val="000D5E30"/>
    <w:rsid w:val="000D60DD"/>
    <w:rsid w:val="000D6EEA"/>
    <w:rsid w:val="000D7103"/>
    <w:rsid w:val="000D73CA"/>
    <w:rsid w:val="000D7564"/>
    <w:rsid w:val="000D79F7"/>
    <w:rsid w:val="000E09F8"/>
    <w:rsid w:val="000E0AC1"/>
    <w:rsid w:val="000E16D9"/>
    <w:rsid w:val="000E2220"/>
    <w:rsid w:val="000E286B"/>
    <w:rsid w:val="000E29BE"/>
    <w:rsid w:val="000E2FD6"/>
    <w:rsid w:val="000E57E8"/>
    <w:rsid w:val="000E636A"/>
    <w:rsid w:val="000E6493"/>
    <w:rsid w:val="000E6F53"/>
    <w:rsid w:val="000E7112"/>
    <w:rsid w:val="000E72F4"/>
    <w:rsid w:val="000E7AEB"/>
    <w:rsid w:val="000F038C"/>
    <w:rsid w:val="000F119F"/>
    <w:rsid w:val="000F21DE"/>
    <w:rsid w:val="000F2226"/>
    <w:rsid w:val="000F2D9B"/>
    <w:rsid w:val="000F2E8C"/>
    <w:rsid w:val="000F31ED"/>
    <w:rsid w:val="000F4499"/>
    <w:rsid w:val="000F4D7A"/>
    <w:rsid w:val="000F60BE"/>
    <w:rsid w:val="00100582"/>
    <w:rsid w:val="00100962"/>
    <w:rsid w:val="00100BA1"/>
    <w:rsid w:val="00100C21"/>
    <w:rsid w:val="00101B9E"/>
    <w:rsid w:val="00102235"/>
    <w:rsid w:val="00102C37"/>
    <w:rsid w:val="00103719"/>
    <w:rsid w:val="00103846"/>
    <w:rsid w:val="00105124"/>
    <w:rsid w:val="00105403"/>
    <w:rsid w:val="001055FD"/>
    <w:rsid w:val="00105AE4"/>
    <w:rsid w:val="00106DBC"/>
    <w:rsid w:val="00110538"/>
    <w:rsid w:val="00111729"/>
    <w:rsid w:val="00113257"/>
    <w:rsid w:val="0011414E"/>
    <w:rsid w:val="00114232"/>
    <w:rsid w:val="001142C6"/>
    <w:rsid w:val="001150DC"/>
    <w:rsid w:val="00115438"/>
    <w:rsid w:val="001169D4"/>
    <w:rsid w:val="001169FB"/>
    <w:rsid w:val="00116B80"/>
    <w:rsid w:val="001170BD"/>
    <w:rsid w:val="00117815"/>
    <w:rsid w:val="00117850"/>
    <w:rsid w:val="00117ED8"/>
    <w:rsid w:val="00120A84"/>
    <w:rsid w:val="00120D45"/>
    <w:rsid w:val="0012111F"/>
    <w:rsid w:val="00122BD7"/>
    <w:rsid w:val="001250CB"/>
    <w:rsid w:val="00125DA3"/>
    <w:rsid w:val="00125E81"/>
    <w:rsid w:val="0012619E"/>
    <w:rsid w:val="00126D7E"/>
    <w:rsid w:val="001275B3"/>
    <w:rsid w:val="0012764B"/>
    <w:rsid w:val="001303F7"/>
    <w:rsid w:val="00130A59"/>
    <w:rsid w:val="00133225"/>
    <w:rsid w:val="00133548"/>
    <w:rsid w:val="0013392F"/>
    <w:rsid w:val="00133BB9"/>
    <w:rsid w:val="00133C88"/>
    <w:rsid w:val="00133D23"/>
    <w:rsid w:val="00134DB7"/>
    <w:rsid w:val="00135FF0"/>
    <w:rsid w:val="0013636A"/>
    <w:rsid w:val="00136535"/>
    <w:rsid w:val="001367C4"/>
    <w:rsid w:val="00136D47"/>
    <w:rsid w:val="00136FC5"/>
    <w:rsid w:val="00137516"/>
    <w:rsid w:val="00140582"/>
    <w:rsid w:val="00141342"/>
    <w:rsid w:val="0014199F"/>
    <w:rsid w:val="00141FEF"/>
    <w:rsid w:val="001428A1"/>
    <w:rsid w:val="00142A72"/>
    <w:rsid w:val="00142D39"/>
    <w:rsid w:val="00142EEA"/>
    <w:rsid w:val="001447F3"/>
    <w:rsid w:val="00144B09"/>
    <w:rsid w:val="00145F28"/>
    <w:rsid w:val="00146CFF"/>
    <w:rsid w:val="00147006"/>
    <w:rsid w:val="001472BB"/>
    <w:rsid w:val="001479B3"/>
    <w:rsid w:val="00150999"/>
    <w:rsid w:val="00151291"/>
    <w:rsid w:val="00152795"/>
    <w:rsid w:val="00153B1F"/>
    <w:rsid w:val="001540AC"/>
    <w:rsid w:val="00154432"/>
    <w:rsid w:val="001544F0"/>
    <w:rsid w:val="00154FAD"/>
    <w:rsid w:val="00155DC6"/>
    <w:rsid w:val="00156058"/>
    <w:rsid w:val="00156C3A"/>
    <w:rsid w:val="00156F3E"/>
    <w:rsid w:val="001570BE"/>
    <w:rsid w:val="001570DE"/>
    <w:rsid w:val="00157169"/>
    <w:rsid w:val="00157404"/>
    <w:rsid w:val="0015757E"/>
    <w:rsid w:val="00157597"/>
    <w:rsid w:val="001575CF"/>
    <w:rsid w:val="0016020B"/>
    <w:rsid w:val="00161885"/>
    <w:rsid w:val="001621CD"/>
    <w:rsid w:val="00162C40"/>
    <w:rsid w:val="001632AA"/>
    <w:rsid w:val="001632F4"/>
    <w:rsid w:val="00163E47"/>
    <w:rsid w:val="001642AF"/>
    <w:rsid w:val="0016454A"/>
    <w:rsid w:val="00164A22"/>
    <w:rsid w:val="00164EF7"/>
    <w:rsid w:val="00166A6E"/>
    <w:rsid w:val="00166FC2"/>
    <w:rsid w:val="00167192"/>
    <w:rsid w:val="00170077"/>
    <w:rsid w:val="001708E8"/>
    <w:rsid w:val="00170C2D"/>
    <w:rsid w:val="0017176D"/>
    <w:rsid w:val="00171C5D"/>
    <w:rsid w:val="00172A27"/>
    <w:rsid w:val="00172C39"/>
    <w:rsid w:val="00173307"/>
    <w:rsid w:val="00174BED"/>
    <w:rsid w:val="00175A55"/>
    <w:rsid w:val="00175A61"/>
    <w:rsid w:val="00175EDE"/>
    <w:rsid w:val="001763A2"/>
    <w:rsid w:val="00177A78"/>
    <w:rsid w:val="00177DF9"/>
    <w:rsid w:val="00177EED"/>
    <w:rsid w:val="001805ED"/>
    <w:rsid w:val="00180EC5"/>
    <w:rsid w:val="001813E9"/>
    <w:rsid w:val="00181521"/>
    <w:rsid w:val="00182536"/>
    <w:rsid w:val="00182B76"/>
    <w:rsid w:val="00182EE9"/>
    <w:rsid w:val="00182FFE"/>
    <w:rsid w:val="001831B3"/>
    <w:rsid w:val="001832F7"/>
    <w:rsid w:val="00183401"/>
    <w:rsid w:val="00183679"/>
    <w:rsid w:val="001837FB"/>
    <w:rsid w:val="00183D2E"/>
    <w:rsid w:val="0018482D"/>
    <w:rsid w:val="00184E3B"/>
    <w:rsid w:val="00184F5F"/>
    <w:rsid w:val="001850E9"/>
    <w:rsid w:val="001852B4"/>
    <w:rsid w:val="0018557C"/>
    <w:rsid w:val="00185AE1"/>
    <w:rsid w:val="00185C11"/>
    <w:rsid w:val="0018616A"/>
    <w:rsid w:val="001865A0"/>
    <w:rsid w:val="00186886"/>
    <w:rsid w:val="0018692D"/>
    <w:rsid w:val="001872CA"/>
    <w:rsid w:val="00187356"/>
    <w:rsid w:val="001879FA"/>
    <w:rsid w:val="00187B9E"/>
    <w:rsid w:val="0019046E"/>
    <w:rsid w:val="00190715"/>
    <w:rsid w:val="0019095D"/>
    <w:rsid w:val="001909A3"/>
    <w:rsid w:val="00190F93"/>
    <w:rsid w:val="00192638"/>
    <w:rsid w:val="001940BE"/>
    <w:rsid w:val="00194E46"/>
    <w:rsid w:val="00195600"/>
    <w:rsid w:val="00195F00"/>
    <w:rsid w:val="00196855"/>
    <w:rsid w:val="001976F8"/>
    <w:rsid w:val="001A07FC"/>
    <w:rsid w:val="001A0B17"/>
    <w:rsid w:val="001A0C28"/>
    <w:rsid w:val="001A0D19"/>
    <w:rsid w:val="001A1394"/>
    <w:rsid w:val="001A1E82"/>
    <w:rsid w:val="001A1F0C"/>
    <w:rsid w:val="001A1F1F"/>
    <w:rsid w:val="001A247A"/>
    <w:rsid w:val="001A2619"/>
    <w:rsid w:val="001A2F2A"/>
    <w:rsid w:val="001A3760"/>
    <w:rsid w:val="001A485A"/>
    <w:rsid w:val="001A5110"/>
    <w:rsid w:val="001A526A"/>
    <w:rsid w:val="001A58D3"/>
    <w:rsid w:val="001A59CA"/>
    <w:rsid w:val="001A5B28"/>
    <w:rsid w:val="001A666E"/>
    <w:rsid w:val="001A6820"/>
    <w:rsid w:val="001A6917"/>
    <w:rsid w:val="001A6D8F"/>
    <w:rsid w:val="001A6F06"/>
    <w:rsid w:val="001A6F3A"/>
    <w:rsid w:val="001A71CF"/>
    <w:rsid w:val="001A7507"/>
    <w:rsid w:val="001A78D3"/>
    <w:rsid w:val="001A793D"/>
    <w:rsid w:val="001B06A8"/>
    <w:rsid w:val="001B0EEC"/>
    <w:rsid w:val="001B147B"/>
    <w:rsid w:val="001B1A6D"/>
    <w:rsid w:val="001B3804"/>
    <w:rsid w:val="001B3840"/>
    <w:rsid w:val="001B4375"/>
    <w:rsid w:val="001B63EB"/>
    <w:rsid w:val="001B6858"/>
    <w:rsid w:val="001B6FE2"/>
    <w:rsid w:val="001B782D"/>
    <w:rsid w:val="001C0AF8"/>
    <w:rsid w:val="001C0F16"/>
    <w:rsid w:val="001C1768"/>
    <w:rsid w:val="001C1C01"/>
    <w:rsid w:val="001C1CAB"/>
    <w:rsid w:val="001C2777"/>
    <w:rsid w:val="001C3E26"/>
    <w:rsid w:val="001C43E9"/>
    <w:rsid w:val="001C4694"/>
    <w:rsid w:val="001C564E"/>
    <w:rsid w:val="001C571E"/>
    <w:rsid w:val="001C5CFF"/>
    <w:rsid w:val="001C6678"/>
    <w:rsid w:val="001C67E5"/>
    <w:rsid w:val="001C68BF"/>
    <w:rsid w:val="001C6C04"/>
    <w:rsid w:val="001C720B"/>
    <w:rsid w:val="001D0191"/>
    <w:rsid w:val="001D0989"/>
    <w:rsid w:val="001D277E"/>
    <w:rsid w:val="001D3550"/>
    <w:rsid w:val="001D416A"/>
    <w:rsid w:val="001D5132"/>
    <w:rsid w:val="001D5971"/>
    <w:rsid w:val="001D5D2F"/>
    <w:rsid w:val="001D6029"/>
    <w:rsid w:val="001D60BD"/>
    <w:rsid w:val="001D62B8"/>
    <w:rsid w:val="001D797C"/>
    <w:rsid w:val="001E04A2"/>
    <w:rsid w:val="001E0BC4"/>
    <w:rsid w:val="001E0C11"/>
    <w:rsid w:val="001E0C31"/>
    <w:rsid w:val="001E18ED"/>
    <w:rsid w:val="001E1A1F"/>
    <w:rsid w:val="001E21CA"/>
    <w:rsid w:val="001E29C4"/>
    <w:rsid w:val="001E383B"/>
    <w:rsid w:val="001E4015"/>
    <w:rsid w:val="001E4281"/>
    <w:rsid w:val="001E43E7"/>
    <w:rsid w:val="001E529E"/>
    <w:rsid w:val="001E5566"/>
    <w:rsid w:val="001E5A49"/>
    <w:rsid w:val="001E6323"/>
    <w:rsid w:val="001E7663"/>
    <w:rsid w:val="001E7F3C"/>
    <w:rsid w:val="001F015C"/>
    <w:rsid w:val="001F054D"/>
    <w:rsid w:val="001F1967"/>
    <w:rsid w:val="001F368F"/>
    <w:rsid w:val="001F38BE"/>
    <w:rsid w:val="001F3AB7"/>
    <w:rsid w:val="001F540E"/>
    <w:rsid w:val="001F5759"/>
    <w:rsid w:val="001F66C4"/>
    <w:rsid w:val="001F6F9C"/>
    <w:rsid w:val="0020041F"/>
    <w:rsid w:val="00200594"/>
    <w:rsid w:val="002006A9"/>
    <w:rsid w:val="00200E62"/>
    <w:rsid w:val="00201202"/>
    <w:rsid w:val="002012D5"/>
    <w:rsid w:val="00201E95"/>
    <w:rsid w:val="00203AF3"/>
    <w:rsid w:val="00203D6C"/>
    <w:rsid w:val="00204A82"/>
    <w:rsid w:val="00204BCE"/>
    <w:rsid w:val="0020553E"/>
    <w:rsid w:val="002062CD"/>
    <w:rsid w:val="00206563"/>
    <w:rsid w:val="00206C3B"/>
    <w:rsid w:val="00207EFE"/>
    <w:rsid w:val="0021064A"/>
    <w:rsid w:val="0021073B"/>
    <w:rsid w:val="00210F59"/>
    <w:rsid w:val="00210FB0"/>
    <w:rsid w:val="002114A0"/>
    <w:rsid w:val="00212892"/>
    <w:rsid w:val="002130A6"/>
    <w:rsid w:val="002133F0"/>
    <w:rsid w:val="002135B2"/>
    <w:rsid w:val="002145FE"/>
    <w:rsid w:val="00214BAA"/>
    <w:rsid w:val="002152C9"/>
    <w:rsid w:val="002153AF"/>
    <w:rsid w:val="002159F6"/>
    <w:rsid w:val="002176D2"/>
    <w:rsid w:val="002179FE"/>
    <w:rsid w:val="00217A44"/>
    <w:rsid w:val="00220291"/>
    <w:rsid w:val="00220C39"/>
    <w:rsid w:val="00220C57"/>
    <w:rsid w:val="00220CB0"/>
    <w:rsid w:val="002216D2"/>
    <w:rsid w:val="0022262E"/>
    <w:rsid w:val="00223EF8"/>
    <w:rsid w:val="00224CD2"/>
    <w:rsid w:val="002251C5"/>
    <w:rsid w:val="00225AB5"/>
    <w:rsid w:val="002262F8"/>
    <w:rsid w:val="00227A0C"/>
    <w:rsid w:val="00227D97"/>
    <w:rsid w:val="0023042E"/>
    <w:rsid w:val="0023051A"/>
    <w:rsid w:val="002306BF"/>
    <w:rsid w:val="00230CC5"/>
    <w:rsid w:val="00230DB8"/>
    <w:rsid w:val="0023146D"/>
    <w:rsid w:val="00231642"/>
    <w:rsid w:val="002333E9"/>
    <w:rsid w:val="00233842"/>
    <w:rsid w:val="0023567C"/>
    <w:rsid w:val="00235EDA"/>
    <w:rsid w:val="0023606A"/>
    <w:rsid w:val="0023669E"/>
    <w:rsid w:val="00236794"/>
    <w:rsid w:val="002371BC"/>
    <w:rsid w:val="002372A2"/>
    <w:rsid w:val="00237AA2"/>
    <w:rsid w:val="00240517"/>
    <w:rsid w:val="00240AA0"/>
    <w:rsid w:val="00240BF9"/>
    <w:rsid w:val="00240DFC"/>
    <w:rsid w:val="002442D4"/>
    <w:rsid w:val="0024470D"/>
    <w:rsid w:val="0024565F"/>
    <w:rsid w:val="002463E1"/>
    <w:rsid w:val="00246A27"/>
    <w:rsid w:val="00247385"/>
    <w:rsid w:val="002473A5"/>
    <w:rsid w:val="00247BFB"/>
    <w:rsid w:val="0025010E"/>
    <w:rsid w:val="00250F14"/>
    <w:rsid w:val="00251215"/>
    <w:rsid w:val="00251385"/>
    <w:rsid w:val="00252134"/>
    <w:rsid w:val="00252B33"/>
    <w:rsid w:val="00253421"/>
    <w:rsid w:val="00254A1C"/>
    <w:rsid w:val="00254A3A"/>
    <w:rsid w:val="00254C27"/>
    <w:rsid w:val="002554DD"/>
    <w:rsid w:val="0025596F"/>
    <w:rsid w:val="00255DB1"/>
    <w:rsid w:val="00255EAC"/>
    <w:rsid w:val="00255FE2"/>
    <w:rsid w:val="00256176"/>
    <w:rsid w:val="00257135"/>
    <w:rsid w:val="00257F40"/>
    <w:rsid w:val="002603E5"/>
    <w:rsid w:val="00260B02"/>
    <w:rsid w:val="00261331"/>
    <w:rsid w:val="002626FE"/>
    <w:rsid w:val="00262AED"/>
    <w:rsid w:val="00263536"/>
    <w:rsid w:val="00263BC2"/>
    <w:rsid w:val="002640AF"/>
    <w:rsid w:val="00264D91"/>
    <w:rsid w:val="00265384"/>
    <w:rsid w:val="00265F31"/>
    <w:rsid w:val="00266636"/>
    <w:rsid w:val="002673CB"/>
    <w:rsid w:val="00267609"/>
    <w:rsid w:val="00267C50"/>
    <w:rsid w:val="00270794"/>
    <w:rsid w:val="00272B39"/>
    <w:rsid w:val="00272E20"/>
    <w:rsid w:val="00272FFB"/>
    <w:rsid w:val="00273257"/>
    <w:rsid w:val="0027459B"/>
    <w:rsid w:val="00275B74"/>
    <w:rsid w:val="0027653A"/>
    <w:rsid w:val="0027672C"/>
    <w:rsid w:val="00277F76"/>
    <w:rsid w:val="0028053D"/>
    <w:rsid w:val="002807B3"/>
    <w:rsid w:val="00280D16"/>
    <w:rsid w:val="00281242"/>
    <w:rsid w:val="002814DC"/>
    <w:rsid w:val="00282A94"/>
    <w:rsid w:val="00283B8F"/>
    <w:rsid w:val="00283FDA"/>
    <w:rsid w:val="002842DC"/>
    <w:rsid w:val="00284AE4"/>
    <w:rsid w:val="002857C0"/>
    <w:rsid w:val="0028593C"/>
    <w:rsid w:val="002863EB"/>
    <w:rsid w:val="002867A7"/>
    <w:rsid w:val="00290F36"/>
    <w:rsid w:val="002915C0"/>
    <w:rsid w:val="00291889"/>
    <w:rsid w:val="00292653"/>
    <w:rsid w:val="002929F3"/>
    <w:rsid w:val="00292A68"/>
    <w:rsid w:val="00292BE2"/>
    <w:rsid w:val="00293774"/>
    <w:rsid w:val="00293880"/>
    <w:rsid w:val="00293A84"/>
    <w:rsid w:val="00293D94"/>
    <w:rsid w:val="00293EAA"/>
    <w:rsid w:val="00294525"/>
    <w:rsid w:val="002948A5"/>
    <w:rsid w:val="00296B2C"/>
    <w:rsid w:val="002A0110"/>
    <w:rsid w:val="002A07E3"/>
    <w:rsid w:val="002A0A45"/>
    <w:rsid w:val="002A0FDA"/>
    <w:rsid w:val="002A1685"/>
    <w:rsid w:val="002A2D6B"/>
    <w:rsid w:val="002A43F2"/>
    <w:rsid w:val="002A4D5C"/>
    <w:rsid w:val="002A5615"/>
    <w:rsid w:val="002A73B2"/>
    <w:rsid w:val="002A786D"/>
    <w:rsid w:val="002B0735"/>
    <w:rsid w:val="002B1F78"/>
    <w:rsid w:val="002B2B4C"/>
    <w:rsid w:val="002B4095"/>
    <w:rsid w:val="002B4260"/>
    <w:rsid w:val="002B4975"/>
    <w:rsid w:val="002B49B8"/>
    <w:rsid w:val="002B50DB"/>
    <w:rsid w:val="002B5174"/>
    <w:rsid w:val="002B560E"/>
    <w:rsid w:val="002B6FBC"/>
    <w:rsid w:val="002B7BDA"/>
    <w:rsid w:val="002C0608"/>
    <w:rsid w:val="002C118F"/>
    <w:rsid w:val="002C179D"/>
    <w:rsid w:val="002C1C3A"/>
    <w:rsid w:val="002C1D76"/>
    <w:rsid w:val="002C22F1"/>
    <w:rsid w:val="002C24DE"/>
    <w:rsid w:val="002C277E"/>
    <w:rsid w:val="002C2B13"/>
    <w:rsid w:val="002C2DD2"/>
    <w:rsid w:val="002C3FFD"/>
    <w:rsid w:val="002C464A"/>
    <w:rsid w:val="002C4DED"/>
    <w:rsid w:val="002C5055"/>
    <w:rsid w:val="002C6FCA"/>
    <w:rsid w:val="002C71DF"/>
    <w:rsid w:val="002C7C96"/>
    <w:rsid w:val="002D1082"/>
    <w:rsid w:val="002D2001"/>
    <w:rsid w:val="002D281C"/>
    <w:rsid w:val="002D467C"/>
    <w:rsid w:val="002D47CF"/>
    <w:rsid w:val="002D4E9B"/>
    <w:rsid w:val="002D60F1"/>
    <w:rsid w:val="002D6751"/>
    <w:rsid w:val="002D6C26"/>
    <w:rsid w:val="002D6CDD"/>
    <w:rsid w:val="002D6DE1"/>
    <w:rsid w:val="002E09EC"/>
    <w:rsid w:val="002E2123"/>
    <w:rsid w:val="002E3B98"/>
    <w:rsid w:val="002E3F1A"/>
    <w:rsid w:val="002E3FE1"/>
    <w:rsid w:val="002E403A"/>
    <w:rsid w:val="002E4361"/>
    <w:rsid w:val="002E491A"/>
    <w:rsid w:val="002E5AEB"/>
    <w:rsid w:val="002E5C26"/>
    <w:rsid w:val="002E5EFA"/>
    <w:rsid w:val="002E60E5"/>
    <w:rsid w:val="002E6419"/>
    <w:rsid w:val="002E6F91"/>
    <w:rsid w:val="002E7141"/>
    <w:rsid w:val="002E7F3B"/>
    <w:rsid w:val="002F12A8"/>
    <w:rsid w:val="002F1363"/>
    <w:rsid w:val="002F1C19"/>
    <w:rsid w:val="002F2281"/>
    <w:rsid w:val="002F2A77"/>
    <w:rsid w:val="002F2F51"/>
    <w:rsid w:val="002F45FB"/>
    <w:rsid w:val="002F4B90"/>
    <w:rsid w:val="002F4CE8"/>
    <w:rsid w:val="002F5348"/>
    <w:rsid w:val="002F545C"/>
    <w:rsid w:val="002F5BA6"/>
    <w:rsid w:val="002F7F1C"/>
    <w:rsid w:val="003017EC"/>
    <w:rsid w:val="00301F9D"/>
    <w:rsid w:val="003021C7"/>
    <w:rsid w:val="00302291"/>
    <w:rsid w:val="00302B6A"/>
    <w:rsid w:val="00304426"/>
    <w:rsid w:val="00304723"/>
    <w:rsid w:val="0030480C"/>
    <w:rsid w:val="003049D7"/>
    <w:rsid w:val="00305246"/>
    <w:rsid w:val="00305285"/>
    <w:rsid w:val="00305382"/>
    <w:rsid w:val="00305EC9"/>
    <w:rsid w:val="00306CF0"/>
    <w:rsid w:val="00307455"/>
    <w:rsid w:val="00307911"/>
    <w:rsid w:val="00307BCE"/>
    <w:rsid w:val="003103CF"/>
    <w:rsid w:val="003108D2"/>
    <w:rsid w:val="00311796"/>
    <w:rsid w:val="0031185E"/>
    <w:rsid w:val="00311C6C"/>
    <w:rsid w:val="00311E39"/>
    <w:rsid w:val="00313580"/>
    <w:rsid w:val="00313EF5"/>
    <w:rsid w:val="00314002"/>
    <w:rsid w:val="003144F2"/>
    <w:rsid w:val="00315D10"/>
    <w:rsid w:val="00316E4C"/>
    <w:rsid w:val="00317805"/>
    <w:rsid w:val="00317D4F"/>
    <w:rsid w:val="00320064"/>
    <w:rsid w:val="00320249"/>
    <w:rsid w:val="0032073D"/>
    <w:rsid w:val="00321074"/>
    <w:rsid w:val="00321253"/>
    <w:rsid w:val="00321525"/>
    <w:rsid w:val="00321E3D"/>
    <w:rsid w:val="0032204D"/>
    <w:rsid w:val="0032230F"/>
    <w:rsid w:val="00322CFC"/>
    <w:rsid w:val="00322F42"/>
    <w:rsid w:val="003237E6"/>
    <w:rsid w:val="00323FE1"/>
    <w:rsid w:val="0032459F"/>
    <w:rsid w:val="00324681"/>
    <w:rsid w:val="00326647"/>
    <w:rsid w:val="00327A30"/>
    <w:rsid w:val="00327AED"/>
    <w:rsid w:val="003300FD"/>
    <w:rsid w:val="003301E7"/>
    <w:rsid w:val="003301EA"/>
    <w:rsid w:val="00330A8A"/>
    <w:rsid w:val="00332BD9"/>
    <w:rsid w:val="003332EE"/>
    <w:rsid w:val="00333767"/>
    <w:rsid w:val="00333A53"/>
    <w:rsid w:val="00333BA7"/>
    <w:rsid w:val="00334887"/>
    <w:rsid w:val="00335058"/>
    <w:rsid w:val="00335B14"/>
    <w:rsid w:val="0033620A"/>
    <w:rsid w:val="00337442"/>
    <w:rsid w:val="003379AB"/>
    <w:rsid w:val="003379AF"/>
    <w:rsid w:val="0034192F"/>
    <w:rsid w:val="003431A1"/>
    <w:rsid w:val="0034324A"/>
    <w:rsid w:val="003434F1"/>
    <w:rsid w:val="00343657"/>
    <w:rsid w:val="0034390A"/>
    <w:rsid w:val="00343F39"/>
    <w:rsid w:val="00343F42"/>
    <w:rsid w:val="00344094"/>
    <w:rsid w:val="00344AF8"/>
    <w:rsid w:val="00344D7D"/>
    <w:rsid w:val="00344F66"/>
    <w:rsid w:val="00344FCE"/>
    <w:rsid w:val="0034592B"/>
    <w:rsid w:val="00346330"/>
    <w:rsid w:val="00346F4D"/>
    <w:rsid w:val="00351167"/>
    <w:rsid w:val="00351489"/>
    <w:rsid w:val="00351F58"/>
    <w:rsid w:val="003527CA"/>
    <w:rsid w:val="00352CD3"/>
    <w:rsid w:val="00352E79"/>
    <w:rsid w:val="003532FA"/>
    <w:rsid w:val="00353EDE"/>
    <w:rsid w:val="003546EF"/>
    <w:rsid w:val="00354C9D"/>
    <w:rsid w:val="0035530E"/>
    <w:rsid w:val="0035557F"/>
    <w:rsid w:val="00355DAE"/>
    <w:rsid w:val="00356121"/>
    <w:rsid w:val="003561E2"/>
    <w:rsid w:val="00357C88"/>
    <w:rsid w:val="00360D85"/>
    <w:rsid w:val="00360E4D"/>
    <w:rsid w:val="00361A02"/>
    <w:rsid w:val="00362C0F"/>
    <w:rsid w:val="00362D91"/>
    <w:rsid w:val="00362EB4"/>
    <w:rsid w:val="0036343A"/>
    <w:rsid w:val="00363B2B"/>
    <w:rsid w:val="0036412E"/>
    <w:rsid w:val="00365C5D"/>
    <w:rsid w:val="0036694E"/>
    <w:rsid w:val="00366A08"/>
    <w:rsid w:val="003670A1"/>
    <w:rsid w:val="00370125"/>
    <w:rsid w:val="0037020A"/>
    <w:rsid w:val="0037060C"/>
    <w:rsid w:val="00370945"/>
    <w:rsid w:val="00370A2F"/>
    <w:rsid w:val="00370E6D"/>
    <w:rsid w:val="00370E75"/>
    <w:rsid w:val="00371BD3"/>
    <w:rsid w:val="0037229C"/>
    <w:rsid w:val="00372453"/>
    <w:rsid w:val="0037259A"/>
    <w:rsid w:val="003733F8"/>
    <w:rsid w:val="00373AD1"/>
    <w:rsid w:val="00373B66"/>
    <w:rsid w:val="003740C0"/>
    <w:rsid w:val="003746AB"/>
    <w:rsid w:val="00374932"/>
    <w:rsid w:val="00374A98"/>
    <w:rsid w:val="00374DF2"/>
    <w:rsid w:val="003758C9"/>
    <w:rsid w:val="00375CF2"/>
    <w:rsid w:val="00375E0B"/>
    <w:rsid w:val="00376048"/>
    <w:rsid w:val="00376723"/>
    <w:rsid w:val="0037681E"/>
    <w:rsid w:val="00376A58"/>
    <w:rsid w:val="00377030"/>
    <w:rsid w:val="003773BB"/>
    <w:rsid w:val="0037775B"/>
    <w:rsid w:val="00377924"/>
    <w:rsid w:val="003809F6"/>
    <w:rsid w:val="00381139"/>
    <w:rsid w:val="00381ABB"/>
    <w:rsid w:val="003823DD"/>
    <w:rsid w:val="003826FD"/>
    <w:rsid w:val="00383231"/>
    <w:rsid w:val="00384852"/>
    <w:rsid w:val="00384E45"/>
    <w:rsid w:val="00385759"/>
    <w:rsid w:val="00385B5A"/>
    <w:rsid w:val="00386610"/>
    <w:rsid w:val="0038761A"/>
    <w:rsid w:val="00387A17"/>
    <w:rsid w:val="003911CE"/>
    <w:rsid w:val="0039151E"/>
    <w:rsid w:val="00391636"/>
    <w:rsid w:val="00391E46"/>
    <w:rsid w:val="003921E2"/>
    <w:rsid w:val="003926B4"/>
    <w:rsid w:val="00393559"/>
    <w:rsid w:val="00393686"/>
    <w:rsid w:val="003938FE"/>
    <w:rsid w:val="00394F43"/>
    <w:rsid w:val="0039527C"/>
    <w:rsid w:val="00396145"/>
    <w:rsid w:val="00396968"/>
    <w:rsid w:val="00396CD7"/>
    <w:rsid w:val="00396E42"/>
    <w:rsid w:val="00397070"/>
    <w:rsid w:val="00397B69"/>
    <w:rsid w:val="003A098D"/>
    <w:rsid w:val="003A0D47"/>
    <w:rsid w:val="003A0E19"/>
    <w:rsid w:val="003A0FFD"/>
    <w:rsid w:val="003A1B0F"/>
    <w:rsid w:val="003A1CE2"/>
    <w:rsid w:val="003A2E1C"/>
    <w:rsid w:val="003A2F67"/>
    <w:rsid w:val="003A34C0"/>
    <w:rsid w:val="003A3C5B"/>
    <w:rsid w:val="003A58B4"/>
    <w:rsid w:val="003A638C"/>
    <w:rsid w:val="003A752A"/>
    <w:rsid w:val="003A7F42"/>
    <w:rsid w:val="003B126A"/>
    <w:rsid w:val="003B1F78"/>
    <w:rsid w:val="003B2B5D"/>
    <w:rsid w:val="003B49D4"/>
    <w:rsid w:val="003B4C40"/>
    <w:rsid w:val="003B53DA"/>
    <w:rsid w:val="003B59B6"/>
    <w:rsid w:val="003B676F"/>
    <w:rsid w:val="003B67FE"/>
    <w:rsid w:val="003B760B"/>
    <w:rsid w:val="003B7E5E"/>
    <w:rsid w:val="003B7FD0"/>
    <w:rsid w:val="003C04FE"/>
    <w:rsid w:val="003C205F"/>
    <w:rsid w:val="003C219C"/>
    <w:rsid w:val="003C2A79"/>
    <w:rsid w:val="003C4710"/>
    <w:rsid w:val="003C48E3"/>
    <w:rsid w:val="003C493C"/>
    <w:rsid w:val="003C4AA6"/>
    <w:rsid w:val="003C4C47"/>
    <w:rsid w:val="003C4EE0"/>
    <w:rsid w:val="003C551E"/>
    <w:rsid w:val="003C5D62"/>
    <w:rsid w:val="003C79D2"/>
    <w:rsid w:val="003D0037"/>
    <w:rsid w:val="003D0F73"/>
    <w:rsid w:val="003D1A78"/>
    <w:rsid w:val="003D1AED"/>
    <w:rsid w:val="003D3F24"/>
    <w:rsid w:val="003D448B"/>
    <w:rsid w:val="003D5189"/>
    <w:rsid w:val="003D5D42"/>
    <w:rsid w:val="003D6747"/>
    <w:rsid w:val="003D6E45"/>
    <w:rsid w:val="003D7434"/>
    <w:rsid w:val="003D798A"/>
    <w:rsid w:val="003E102B"/>
    <w:rsid w:val="003E10D0"/>
    <w:rsid w:val="003E16B3"/>
    <w:rsid w:val="003E1749"/>
    <w:rsid w:val="003E1A21"/>
    <w:rsid w:val="003E2020"/>
    <w:rsid w:val="003E221C"/>
    <w:rsid w:val="003E253B"/>
    <w:rsid w:val="003E2AB5"/>
    <w:rsid w:val="003E37FB"/>
    <w:rsid w:val="003E3A1E"/>
    <w:rsid w:val="003E431F"/>
    <w:rsid w:val="003E4BAB"/>
    <w:rsid w:val="003E5306"/>
    <w:rsid w:val="003E5B7B"/>
    <w:rsid w:val="003E60FF"/>
    <w:rsid w:val="003E675C"/>
    <w:rsid w:val="003E6A24"/>
    <w:rsid w:val="003E6E00"/>
    <w:rsid w:val="003E7DA9"/>
    <w:rsid w:val="003F0B2B"/>
    <w:rsid w:val="003F0C14"/>
    <w:rsid w:val="003F1A37"/>
    <w:rsid w:val="003F1B80"/>
    <w:rsid w:val="003F1DF0"/>
    <w:rsid w:val="003F4155"/>
    <w:rsid w:val="003F4911"/>
    <w:rsid w:val="003F547A"/>
    <w:rsid w:val="003F54BB"/>
    <w:rsid w:val="003F5736"/>
    <w:rsid w:val="003F5889"/>
    <w:rsid w:val="003F6673"/>
    <w:rsid w:val="003F67D5"/>
    <w:rsid w:val="003F6D91"/>
    <w:rsid w:val="003F797A"/>
    <w:rsid w:val="003F7AA3"/>
    <w:rsid w:val="00400A58"/>
    <w:rsid w:val="00400D8A"/>
    <w:rsid w:val="00404160"/>
    <w:rsid w:val="004046F1"/>
    <w:rsid w:val="004048AB"/>
    <w:rsid w:val="004050F6"/>
    <w:rsid w:val="00405470"/>
    <w:rsid w:val="00406068"/>
    <w:rsid w:val="0040719E"/>
    <w:rsid w:val="004076B5"/>
    <w:rsid w:val="00410132"/>
    <w:rsid w:val="00410793"/>
    <w:rsid w:val="00411415"/>
    <w:rsid w:val="00411483"/>
    <w:rsid w:val="00411A33"/>
    <w:rsid w:val="00411A3F"/>
    <w:rsid w:val="00415907"/>
    <w:rsid w:val="004165CA"/>
    <w:rsid w:val="00416632"/>
    <w:rsid w:val="00416999"/>
    <w:rsid w:val="00416DA1"/>
    <w:rsid w:val="00416E99"/>
    <w:rsid w:val="00417650"/>
    <w:rsid w:val="004179DC"/>
    <w:rsid w:val="00417A0A"/>
    <w:rsid w:val="00421CCB"/>
    <w:rsid w:val="004220FC"/>
    <w:rsid w:val="0042296F"/>
    <w:rsid w:val="00422F22"/>
    <w:rsid w:val="004232F8"/>
    <w:rsid w:val="00423502"/>
    <w:rsid w:val="004237D1"/>
    <w:rsid w:val="00423B75"/>
    <w:rsid w:val="004240CF"/>
    <w:rsid w:val="004259F2"/>
    <w:rsid w:val="00425C28"/>
    <w:rsid w:val="004261A6"/>
    <w:rsid w:val="00427133"/>
    <w:rsid w:val="0042748C"/>
    <w:rsid w:val="0043058B"/>
    <w:rsid w:val="0043093B"/>
    <w:rsid w:val="00430D25"/>
    <w:rsid w:val="00430EDE"/>
    <w:rsid w:val="00430F06"/>
    <w:rsid w:val="0043137D"/>
    <w:rsid w:val="0043175A"/>
    <w:rsid w:val="00431888"/>
    <w:rsid w:val="004318EB"/>
    <w:rsid w:val="00433C8E"/>
    <w:rsid w:val="00434A76"/>
    <w:rsid w:val="0043529F"/>
    <w:rsid w:val="004359ED"/>
    <w:rsid w:val="00436014"/>
    <w:rsid w:val="004360D1"/>
    <w:rsid w:val="004361CE"/>
    <w:rsid w:val="0043626C"/>
    <w:rsid w:val="00436375"/>
    <w:rsid w:val="00436D84"/>
    <w:rsid w:val="0043700C"/>
    <w:rsid w:val="00437B53"/>
    <w:rsid w:val="00440271"/>
    <w:rsid w:val="0044030C"/>
    <w:rsid w:val="00440380"/>
    <w:rsid w:val="00440E90"/>
    <w:rsid w:val="00441786"/>
    <w:rsid w:val="00441A09"/>
    <w:rsid w:val="004424FD"/>
    <w:rsid w:val="00442C42"/>
    <w:rsid w:val="00443C85"/>
    <w:rsid w:val="00443D60"/>
    <w:rsid w:val="00443FC8"/>
    <w:rsid w:val="00445875"/>
    <w:rsid w:val="0044590A"/>
    <w:rsid w:val="0044621D"/>
    <w:rsid w:val="00446731"/>
    <w:rsid w:val="0044691E"/>
    <w:rsid w:val="00446A4A"/>
    <w:rsid w:val="0044777F"/>
    <w:rsid w:val="00450D1A"/>
    <w:rsid w:val="00450F59"/>
    <w:rsid w:val="00450FAC"/>
    <w:rsid w:val="00451E40"/>
    <w:rsid w:val="00452929"/>
    <w:rsid w:val="00452B1B"/>
    <w:rsid w:val="00452C70"/>
    <w:rsid w:val="00452DBC"/>
    <w:rsid w:val="00452ED6"/>
    <w:rsid w:val="00453278"/>
    <w:rsid w:val="00453437"/>
    <w:rsid w:val="004545EE"/>
    <w:rsid w:val="00454679"/>
    <w:rsid w:val="0045508E"/>
    <w:rsid w:val="00455124"/>
    <w:rsid w:val="004566F9"/>
    <w:rsid w:val="0045739A"/>
    <w:rsid w:val="00460BD6"/>
    <w:rsid w:val="00461634"/>
    <w:rsid w:val="00461863"/>
    <w:rsid w:val="004619FC"/>
    <w:rsid w:val="00462EDA"/>
    <w:rsid w:val="00463895"/>
    <w:rsid w:val="00463DA7"/>
    <w:rsid w:val="004641DA"/>
    <w:rsid w:val="00464BA0"/>
    <w:rsid w:val="0046535F"/>
    <w:rsid w:val="004655CD"/>
    <w:rsid w:val="0046592B"/>
    <w:rsid w:val="00467FCB"/>
    <w:rsid w:val="00470BDB"/>
    <w:rsid w:val="00470C13"/>
    <w:rsid w:val="004715BD"/>
    <w:rsid w:val="00471CE4"/>
    <w:rsid w:val="00471DFC"/>
    <w:rsid w:val="0047287B"/>
    <w:rsid w:val="00472E6E"/>
    <w:rsid w:val="0047346A"/>
    <w:rsid w:val="0047355A"/>
    <w:rsid w:val="0047476D"/>
    <w:rsid w:val="00474FFF"/>
    <w:rsid w:val="0047528C"/>
    <w:rsid w:val="004752D5"/>
    <w:rsid w:val="00475474"/>
    <w:rsid w:val="00477F35"/>
    <w:rsid w:val="004800A1"/>
    <w:rsid w:val="004801D2"/>
    <w:rsid w:val="00481123"/>
    <w:rsid w:val="0048113F"/>
    <w:rsid w:val="004814EE"/>
    <w:rsid w:val="00481526"/>
    <w:rsid w:val="00481F60"/>
    <w:rsid w:val="00482996"/>
    <w:rsid w:val="00482CF0"/>
    <w:rsid w:val="004830CF"/>
    <w:rsid w:val="00483205"/>
    <w:rsid w:val="004835DF"/>
    <w:rsid w:val="0048444A"/>
    <w:rsid w:val="004848B5"/>
    <w:rsid w:val="004854D1"/>
    <w:rsid w:val="0048574A"/>
    <w:rsid w:val="004859CF"/>
    <w:rsid w:val="00485E23"/>
    <w:rsid w:val="00486201"/>
    <w:rsid w:val="00486CDC"/>
    <w:rsid w:val="0048768F"/>
    <w:rsid w:val="004902A2"/>
    <w:rsid w:val="004910E3"/>
    <w:rsid w:val="00491454"/>
    <w:rsid w:val="0049162F"/>
    <w:rsid w:val="004918BB"/>
    <w:rsid w:val="00491AEC"/>
    <w:rsid w:val="004925CA"/>
    <w:rsid w:val="004933B8"/>
    <w:rsid w:val="0049396F"/>
    <w:rsid w:val="00496153"/>
    <w:rsid w:val="004A0662"/>
    <w:rsid w:val="004A066C"/>
    <w:rsid w:val="004A0EFC"/>
    <w:rsid w:val="004A28F4"/>
    <w:rsid w:val="004A2C28"/>
    <w:rsid w:val="004A30E7"/>
    <w:rsid w:val="004A3194"/>
    <w:rsid w:val="004A43D2"/>
    <w:rsid w:val="004A4D03"/>
    <w:rsid w:val="004A5B8E"/>
    <w:rsid w:val="004A619B"/>
    <w:rsid w:val="004A6693"/>
    <w:rsid w:val="004A6A66"/>
    <w:rsid w:val="004A6F5C"/>
    <w:rsid w:val="004A7184"/>
    <w:rsid w:val="004A7248"/>
    <w:rsid w:val="004B0213"/>
    <w:rsid w:val="004B02DF"/>
    <w:rsid w:val="004B0EDA"/>
    <w:rsid w:val="004B1055"/>
    <w:rsid w:val="004B1A2A"/>
    <w:rsid w:val="004B22B9"/>
    <w:rsid w:val="004B2AD0"/>
    <w:rsid w:val="004B33B5"/>
    <w:rsid w:val="004B42F9"/>
    <w:rsid w:val="004B434A"/>
    <w:rsid w:val="004B4CA8"/>
    <w:rsid w:val="004B4FF6"/>
    <w:rsid w:val="004B5222"/>
    <w:rsid w:val="004B591A"/>
    <w:rsid w:val="004B7D1A"/>
    <w:rsid w:val="004C07BC"/>
    <w:rsid w:val="004C2144"/>
    <w:rsid w:val="004C2288"/>
    <w:rsid w:val="004C25B4"/>
    <w:rsid w:val="004C2794"/>
    <w:rsid w:val="004C2795"/>
    <w:rsid w:val="004C29FC"/>
    <w:rsid w:val="004C2AD6"/>
    <w:rsid w:val="004C31A4"/>
    <w:rsid w:val="004C31B6"/>
    <w:rsid w:val="004C31CF"/>
    <w:rsid w:val="004C3D34"/>
    <w:rsid w:val="004C429B"/>
    <w:rsid w:val="004C4A98"/>
    <w:rsid w:val="004C4F30"/>
    <w:rsid w:val="004C5A9D"/>
    <w:rsid w:val="004C7A87"/>
    <w:rsid w:val="004C7EBA"/>
    <w:rsid w:val="004D01CB"/>
    <w:rsid w:val="004D051D"/>
    <w:rsid w:val="004D0A89"/>
    <w:rsid w:val="004D0B27"/>
    <w:rsid w:val="004D0CBE"/>
    <w:rsid w:val="004D0CF1"/>
    <w:rsid w:val="004D0D60"/>
    <w:rsid w:val="004D2400"/>
    <w:rsid w:val="004D37A3"/>
    <w:rsid w:val="004D4A3A"/>
    <w:rsid w:val="004D4D0E"/>
    <w:rsid w:val="004D4FD7"/>
    <w:rsid w:val="004D653E"/>
    <w:rsid w:val="004D663F"/>
    <w:rsid w:val="004E11D4"/>
    <w:rsid w:val="004E34F4"/>
    <w:rsid w:val="004E3732"/>
    <w:rsid w:val="004E3F7E"/>
    <w:rsid w:val="004E4AD7"/>
    <w:rsid w:val="004E4D6F"/>
    <w:rsid w:val="004E4E6C"/>
    <w:rsid w:val="004E51D0"/>
    <w:rsid w:val="004E5DB1"/>
    <w:rsid w:val="004E5DF5"/>
    <w:rsid w:val="004F023E"/>
    <w:rsid w:val="004F0B9D"/>
    <w:rsid w:val="004F0F5C"/>
    <w:rsid w:val="004F0FDB"/>
    <w:rsid w:val="004F11CC"/>
    <w:rsid w:val="004F1EAE"/>
    <w:rsid w:val="004F27E7"/>
    <w:rsid w:val="004F289F"/>
    <w:rsid w:val="004F3412"/>
    <w:rsid w:val="004F380E"/>
    <w:rsid w:val="004F3D63"/>
    <w:rsid w:val="004F444B"/>
    <w:rsid w:val="004F5498"/>
    <w:rsid w:val="004F596E"/>
    <w:rsid w:val="004F5C60"/>
    <w:rsid w:val="004F6501"/>
    <w:rsid w:val="004F6C01"/>
    <w:rsid w:val="004F707D"/>
    <w:rsid w:val="004F74E9"/>
    <w:rsid w:val="004F7B3E"/>
    <w:rsid w:val="004F7ED8"/>
    <w:rsid w:val="0050021C"/>
    <w:rsid w:val="00500D9A"/>
    <w:rsid w:val="0050114C"/>
    <w:rsid w:val="0050197D"/>
    <w:rsid w:val="00501CD6"/>
    <w:rsid w:val="00502D02"/>
    <w:rsid w:val="00502FE2"/>
    <w:rsid w:val="00503038"/>
    <w:rsid w:val="005030B5"/>
    <w:rsid w:val="0050327E"/>
    <w:rsid w:val="00503AC3"/>
    <w:rsid w:val="00504D32"/>
    <w:rsid w:val="00506C16"/>
    <w:rsid w:val="00507264"/>
    <w:rsid w:val="00507467"/>
    <w:rsid w:val="00507570"/>
    <w:rsid w:val="00510CF6"/>
    <w:rsid w:val="00511E2B"/>
    <w:rsid w:val="00514F68"/>
    <w:rsid w:val="005152FF"/>
    <w:rsid w:val="005159B6"/>
    <w:rsid w:val="00515C67"/>
    <w:rsid w:val="00515ED2"/>
    <w:rsid w:val="005165A4"/>
    <w:rsid w:val="00517604"/>
    <w:rsid w:val="0052046C"/>
    <w:rsid w:val="0052061D"/>
    <w:rsid w:val="00520A33"/>
    <w:rsid w:val="00520AE7"/>
    <w:rsid w:val="00521063"/>
    <w:rsid w:val="0052145D"/>
    <w:rsid w:val="00521AD2"/>
    <w:rsid w:val="0052227B"/>
    <w:rsid w:val="005222D1"/>
    <w:rsid w:val="005229E6"/>
    <w:rsid w:val="00522DD6"/>
    <w:rsid w:val="00522FD5"/>
    <w:rsid w:val="0052301C"/>
    <w:rsid w:val="005232E6"/>
    <w:rsid w:val="00523399"/>
    <w:rsid w:val="00523CD8"/>
    <w:rsid w:val="00524010"/>
    <w:rsid w:val="00524639"/>
    <w:rsid w:val="005257E8"/>
    <w:rsid w:val="00525A15"/>
    <w:rsid w:val="00526A79"/>
    <w:rsid w:val="005274F0"/>
    <w:rsid w:val="0052771C"/>
    <w:rsid w:val="005279E0"/>
    <w:rsid w:val="00527F57"/>
    <w:rsid w:val="00527F7E"/>
    <w:rsid w:val="00530884"/>
    <w:rsid w:val="00530EAA"/>
    <w:rsid w:val="00531A96"/>
    <w:rsid w:val="00531C30"/>
    <w:rsid w:val="00532533"/>
    <w:rsid w:val="0053273F"/>
    <w:rsid w:val="0053274F"/>
    <w:rsid w:val="00532C2D"/>
    <w:rsid w:val="005330B2"/>
    <w:rsid w:val="00533905"/>
    <w:rsid w:val="00533BF7"/>
    <w:rsid w:val="00534BD7"/>
    <w:rsid w:val="00535932"/>
    <w:rsid w:val="00535AFD"/>
    <w:rsid w:val="00535C47"/>
    <w:rsid w:val="00537888"/>
    <w:rsid w:val="00537AE0"/>
    <w:rsid w:val="00537DAE"/>
    <w:rsid w:val="00537E43"/>
    <w:rsid w:val="00540214"/>
    <w:rsid w:val="00540E74"/>
    <w:rsid w:val="0054130B"/>
    <w:rsid w:val="005421E9"/>
    <w:rsid w:val="00543229"/>
    <w:rsid w:val="00543511"/>
    <w:rsid w:val="00543558"/>
    <w:rsid w:val="00544382"/>
    <w:rsid w:val="005447AD"/>
    <w:rsid w:val="00544B45"/>
    <w:rsid w:val="00544E1B"/>
    <w:rsid w:val="00546C6E"/>
    <w:rsid w:val="00546EC0"/>
    <w:rsid w:val="005501EB"/>
    <w:rsid w:val="005504B5"/>
    <w:rsid w:val="00551625"/>
    <w:rsid w:val="00551F8E"/>
    <w:rsid w:val="0055356B"/>
    <w:rsid w:val="00553756"/>
    <w:rsid w:val="00553A96"/>
    <w:rsid w:val="00553EBE"/>
    <w:rsid w:val="00553FB0"/>
    <w:rsid w:val="00554932"/>
    <w:rsid w:val="00555AC3"/>
    <w:rsid w:val="00556A8A"/>
    <w:rsid w:val="00557736"/>
    <w:rsid w:val="00560AC2"/>
    <w:rsid w:val="00560AE0"/>
    <w:rsid w:val="00561815"/>
    <w:rsid w:val="00562322"/>
    <w:rsid w:val="0056265A"/>
    <w:rsid w:val="005627DB"/>
    <w:rsid w:val="00562A04"/>
    <w:rsid w:val="00563059"/>
    <w:rsid w:val="005630AF"/>
    <w:rsid w:val="00563A8C"/>
    <w:rsid w:val="005640BB"/>
    <w:rsid w:val="005646A8"/>
    <w:rsid w:val="00564E16"/>
    <w:rsid w:val="005653AD"/>
    <w:rsid w:val="00565F0C"/>
    <w:rsid w:val="00566D5E"/>
    <w:rsid w:val="00566E48"/>
    <w:rsid w:val="00567A4D"/>
    <w:rsid w:val="00567CE1"/>
    <w:rsid w:val="00570464"/>
    <w:rsid w:val="00570C13"/>
    <w:rsid w:val="00570CCA"/>
    <w:rsid w:val="00571442"/>
    <w:rsid w:val="005716A3"/>
    <w:rsid w:val="005721C7"/>
    <w:rsid w:val="0057345A"/>
    <w:rsid w:val="00573D4E"/>
    <w:rsid w:val="005743C3"/>
    <w:rsid w:val="0057455C"/>
    <w:rsid w:val="00574FE0"/>
    <w:rsid w:val="005754E3"/>
    <w:rsid w:val="00575E66"/>
    <w:rsid w:val="00576C67"/>
    <w:rsid w:val="005772B3"/>
    <w:rsid w:val="00580440"/>
    <w:rsid w:val="00581EAC"/>
    <w:rsid w:val="005828C7"/>
    <w:rsid w:val="00582E48"/>
    <w:rsid w:val="0058301D"/>
    <w:rsid w:val="0058354F"/>
    <w:rsid w:val="00583C59"/>
    <w:rsid w:val="00583C71"/>
    <w:rsid w:val="00583E9A"/>
    <w:rsid w:val="00584109"/>
    <w:rsid w:val="00584136"/>
    <w:rsid w:val="005847FE"/>
    <w:rsid w:val="00584B57"/>
    <w:rsid w:val="00584BD9"/>
    <w:rsid w:val="00584DCA"/>
    <w:rsid w:val="00584DE0"/>
    <w:rsid w:val="00584EBA"/>
    <w:rsid w:val="00585B45"/>
    <w:rsid w:val="005862CA"/>
    <w:rsid w:val="005872C1"/>
    <w:rsid w:val="00587595"/>
    <w:rsid w:val="00587FEB"/>
    <w:rsid w:val="00590155"/>
    <w:rsid w:val="00590E6B"/>
    <w:rsid w:val="00591E10"/>
    <w:rsid w:val="005924A3"/>
    <w:rsid w:val="00593A6A"/>
    <w:rsid w:val="00593AE7"/>
    <w:rsid w:val="00594C52"/>
    <w:rsid w:val="00595E75"/>
    <w:rsid w:val="00597888"/>
    <w:rsid w:val="00597DB7"/>
    <w:rsid w:val="005A0463"/>
    <w:rsid w:val="005A1154"/>
    <w:rsid w:val="005A11FE"/>
    <w:rsid w:val="005A13DC"/>
    <w:rsid w:val="005A16B8"/>
    <w:rsid w:val="005A1791"/>
    <w:rsid w:val="005A1A45"/>
    <w:rsid w:val="005A265F"/>
    <w:rsid w:val="005A29B3"/>
    <w:rsid w:val="005A2A9C"/>
    <w:rsid w:val="005A2EED"/>
    <w:rsid w:val="005A428B"/>
    <w:rsid w:val="005A44FE"/>
    <w:rsid w:val="005A4B65"/>
    <w:rsid w:val="005A544B"/>
    <w:rsid w:val="005A58BB"/>
    <w:rsid w:val="005A5ACB"/>
    <w:rsid w:val="005A60D6"/>
    <w:rsid w:val="005A6924"/>
    <w:rsid w:val="005A6E28"/>
    <w:rsid w:val="005A7ADD"/>
    <w:rsid w:val="005B053E"/>
    <w:rsid w:val="005B2B59"/>
    <w:rsid w:val="005B3E84"/>
    <w:rsid w:val="005B4665"/>
    <w:rsid w:val="005B48A0"/>
    <w:rsid w:val="005B48E8"/>
    <w:rsid w:val="005B5055"/>
    <w:rsid w:val="005B799A"/>
    <w:rsid w:val="005C04F8"/>
    <w:rsid w:val="005C0C30"/>
    <w:rsid w:val="005C1812"/>
    <w:rsid w:val="005C4517"/>
    <w:rsid w:val="005C4685"/>
    <w:rsid w:val="005C57C6"/>
    <w:rsid w:val="005C6F0F"/>
    <w:rsid w:val="005D01BE"/>
    <w:rsid w:val="005D0334"/>
    <w:rsid w:val="005D083D"/>
    <w:rsid w:val="005D0FDA"/>
    <w:rsid w:val="005D11B6"/>
    <w:rsid w:val="005D13B9"/>
    <w:rsid w:val="005D1CD3"/>
    <w:rsid w:val="005D21BD"/>
    <w:rsid w:val="005D2393"/>
    <w:rsid w:val="005D2E31"/>
    <w:rsid w:val="005D376F"/>
    <w:rsid w:val="005D4B7F"/>
    <w:rsid w:val="005D5009"/>
    <w:rsid w:val="005D56AD"/>
    <w:rsid w:val="005D589E"/>
    <w:rsid w:val="005D64A2"/>
    <w:rsid w:val="005D65FB"/>
    <w:rsid w:val="005D6867"/>
    <w:rsid w:val="005D68C7"/>
    <w:rsid w:val="005D6F58"/>
    <w:rsid w:val="005D7C60"/>
    <w:rsid w:val="005E0B44"/>
    <w:rsid w:val="005E102B"/>
    <w:rsid w:val="005E119F"/>
    <w:rsid w:val="005E186D"/>
    <w:rsid w:val="005E1ED8"/>
    <w:rsid w:val="005E20E0"/>
    <w:rsid w:val="005E2C84"/>
    <w:rsid w:val="005E30FF"/>
    <w:rsid w:val="005E3398"/>
    <w:rsid w:val="005E39A2"/>
    <w:rsid w:val="005E3DA0"/>
    <w:rsid w:val="005E46D4"/>
    <w:rsid w:val="005E4705"/>
    <w:rsid w:val="005E4811"/>
    <w:rsid w:val="005E4FF9"/>
    <w:rsid w:val="005E5860"/>
    <w:rsid w:val="005E5A47"/>
    <w:rsid w:val="005E5C26"/>
    <w:rsid w:val="005E6910"/>
    <w:rsid w:val="005E6B54"/>
    <w:rsid w:val="005E71D2"/>
    <w:rsid w:val="005E7373"/>
    <w:rsid w:val="005F0284"/>
    <w:rsid w:val="005F07E5"/>
    <w:rsid w:val="005F19BB"/>
    <w:rsid w:val="005F1A42"/>
    <w:rsid w:val="005F1CD4"/>
    <w:rsid w:val="005F306C"/>
    <w:rsid w:val="005F34E2"/>
    <w:rsid w:val="005F38DB"/>
    <w:rsid w:val="005F43F8"/>
    <w:rsid w:val="005F4482"/>
    <w:rsid w:val="005F47D9"/>
    <w:rsid w:val="005F49B3"/>
    <w:rsid w:val="005F4B15"/>
    <w:rsid w:val="005F4C51"/>
    <w:rsid w:val="005F5649"/>
    <w:rsid w:val="005F58F0"/>
    <w:rsid w:val="005F5FF3"/>
    <w:rsid w:val="005F7678"/>
    <w:rsid w:val="005F7775"/>
    <w:rsid w:val="0060059F"/>
    <w:rsid w:val="006006CB"/>
    <w:rsid w:val="0060088F"/>
    <w:rsid w:val="00600C48"/>
    <w:rsid w:val="00601D06"/>
    <w:rsid w:val="00601E8D"/>
    <w:rsid w:val="0060258A"/>
    <w:rsid w:val="00602EFC"/>
    <w:rsid w:val="00602FDE"/>
    <w:rsid w:val="0060310B"/>
    <w:rsid w:val="00605F4C"/>
    <w:rsid w:val="0060679C"/>
    <w:rsid w:val="00607291"/>
    <w:rsid w:val="00607AB1"/>
    <w:rsid w:val="00607DA6"/>
    <w:rsid w:val="00607E47"/>
    <w:rsid w:val="006110BC"/>
    <w:rsid w:val="006110E3"/>
    <w:rsid w:val="00611C25"/>
    <w:rsid w:val="00611C9E"/>
    <w:rsid w:val="00611FA2"/>
    <w:rsid w:val="00614358"/>
    <w:rsid w:val="0061576B"/>
    <w:rsid w:val="00616025"/>
    <w:rsid w:val="006163C4"/>
    <w:rsid w:val="006167C8"/>
    <w:rsid w:val="006168D0"/>
    <w:rsid w:val="00617279"/>
    <w:rsid w:val="006172E1"/>
    <w:rsid w:val="0062090E"/>
    <w:rsid w:val="006218A4"/>
    <w:rsid w:val="00623965"/>
    <w:rsid w:val="006239FE"/>
    <w:rsid w:val="00623A7A"/>
    <w:rsid w:val="00624103"/>
    <w:rsid w:val="006260DE"/>
    <w:rsid w:val="0062663E"/>
    <w:rsid w:val="00626BBE"/>
    <w:rsid w:val="00626CE7"/>
    <w:rsid w:val="00626F29"/>
    <w:rsid w:val="00627FBB"/>
    <w:rsid w:val="006302D5"/>
    <w:rsid w:val="006307ED"/>
    <w:rsid w:val="00630ACC"/>
    <w:rsid w:val="00632AA7"/>
    <w:rsid w:val="00632B6F"/>
    <w:rsid w:val="00632C2D"/>
    <w:rsid w:val="00632C3E"/>
    <w:rsid w:val="00633C14"/>
    <w:rsid w:val="006348D3"/>
    <w:rsid w:val="00634C53"/>
    <w:rsid w:val="00635577"/>
    <w:rsid w:val="00636798"/>
    <w:rsid w:val="00636DEB"/>
    <w:rsid w:val="0063779B"/>
    <w:rsid w:val="006378CF"/>
    <w:rsid w:val="00641602"/>
    <w:rsid w:val="0064182B"/>
    <w:rsid w:val="00642348"/>
    <w:rsid w:val="00642D6B"/>
    <w:rsid w:val="00643048"/>
    <w:rsid w:val="0064306D"/>
    <w:rsid w:val="006432C7"/>
    <w:rsid w:val="00643D2F"/>
    <w:rsid w:val="00644485"/>
    <w:rsid w:val="006450ED"/>
    <w:rsid w:val="00645539"/>
    <w:rsid w:val="0064572D"/>
    <w:rsid w:val="00645FDF"/>
    <w:rsid w:val="0064612D"/>
    <w:rsid w:val="00646171"/>
    <w:rsid w:val="00646260"/>
    <w:rsid w:val="00646A9F"/>
    <w:rsid w:val="0064732B"/>
    <w:rsid w:val="006473E2"/>
    <w:rsid w:val="0065009E"/>
    <w:rsid w:val="00650E59"/>
    <w:rsid w:val="006511CF"/>
    <w:rsid w:val="00651532"/>
    <w:rsid w:val="0065163B"/>
    <w:rsid w:val="006523BF"/>
    <w:rsid w:val="00652918"/>
    <w:rsid w:val="006533A3"/>
    <w:rsid w:val="006546AD"/>
    <w:rsid w:val="00654CCD"/>
    <w:rsid w:val="0065528E"/>
    <w:rsid w:val="006553DA"/>
    <w:rsid w:val="006554CE"/>
    <w:rsid w:val="00655608"/>
    <w:rsid w:val="00655E6D"/>
    <w:rsid w:val="006567BE"/>
    <w:rsid w:val="00656826"/>
    <w:rsid w:val="006579D2"/>
    <w:rsid w:val="00657A61"/>
    <w:rsid w:val="0066099F"/>
    <w:rsid w:val="00660A91"/>
    <w:rsid w:val="00660E5F"/>
    <w:rsid w:val="00660F5E"/>
    <w:rsid w:val="006614E6"/>
    <w:rsid w:val="00663903"/>
    <w:rsid w:val="00663DE1"/>
    <w:rsid w:val="00664425"/>
    <w:rsid w:val="0066628B"/>
    <w:rsid w:val="006666F5"/>
    <w:rsid w:val="00666D78"/>
    <w:rsid w:val="00666DDB"/>
    <w:rsid w:val="00667B67"/>
    <w:rsid w:val="00667DCD"/>
    <w:rsid w:val="006701F4"/>
    <w:rsid w:val="00670BEE"/>
    <w:rsid w:val="0067125A"/>
    <w:rsid w:val="00671A3D"/>
    <w:rsid w:val="00672B05"/>
    <w:rsid w:val="00674788"/>
    <w:rsid w:val="0067478D"/>
    <w:rsid w:val="00674C74"/>
    <w:rsid w:val="00674FEA"/>
    <w:rsid w:val="00675232"/>
    <w:rsid w:val="006758C3"/>
    <w:rsid w:val="00676756"/>
    <w:rsid w:val="00676B34"/>
    <w:rsid w:val="00676F64"/>
    <w:rsid w:val="00676F6A"/>
    <w:rsid w:val="006775ED"/>
    <w:rsid w:val="00677C3C"/>
    <w:rsid w:val="00677EC3"/>
    <w:rsid w:val="00677F12"/>
    <w:rsid w:val="006807A0"/>
    <w:rsid w:val="00680B6C"/>
    <w:rsid w:val="00680ED0"/>
    <w:rsid w:val="0068187D"/>
    <w:rsid w:val="006819C0"/>
    <w:rsid w:val="00681FAC"/>
    <w:rsid w:val="00682129"/>
    <w:rsid w:val="006826BE"/>
    <w:rsid w:val="00682BFF"/>
    <w:rsid w:val="00682E9C"/>
    <w:rsid w:val="00683858"/>
    <w:rsid w:val="00683BA7"/>
    <w:rsid w:val="00684119"/>
    <w:rsid w:val="006844D8"/>
    <w:rsid w:val="00684C6D"/>
    <w:rsid w:val="006850C6"/>
    <w:rsid w:val="00685C2A"/>
    <w:rsid w:val="00685C7E"/>
    <w:rsid w:val="00685E70"/>
    <w:rsid w:val="00685F5D"/>
    <w:rsid w:val="0068682B"/>
    <w:rsid w:val="006870FE"/>
    <w:rsid w:val="00687636"/>
    <w:rsid w:val="0068797C"/>
    <w:rsid w:val="00690264"/>
    <w:rsid w:val="00690FF0"/>
    <w:rsid w:val="006911C7"/>
    <w:rsid w:val="0069183C"/>
    <w:rsid w:val="00691B84"/>
    <w:rsid w:val="00691C17"/>
    <w:rsid w:val="00691DB3"/>
    <w:rsid w:val="0069272A"/>
    <w:rsid w:val="00693AEF"/>
    <w:rsid w:val="00694304"/>
    <w:rsid w:val="00694739"/>
    <w:rsid w:val="00694788"/>
    <w:rsid w:val="00694AE8"/>
    <w:rsid w:val="00694BA6"/>
    <w:rsid w:val="00695761"/>
    <w:rsid w:val="006957CD"/>
    <w:rsid w:val="006957EA"/>
    <w:rsid w:val="00696351"/>
    <w:rsid w:val="006967DB"/>
    <w:rsid w:val="00696A48"/>
    <w:rsid w:val="006970B9"/>
    <w:rsid w:val="00697298"/>
    <w:rsid w:val="006A12DB"/>
    <w:rsid w:val="006A187B"/>
    <w:rsid w:val="006A22E5"/>
    <w:rsid w:val="006A2415"/>
    <w:rsid w:val="006A2BF5"/>
    <w:rsid w:val="006A302D"/>
    <w:rsid w:val="006A3BD7"/>
    <w:rsid w:val="006A3E59"/>
    <w:rsid w:val="006A54A2"/>
    <w:rsid w:val="006A5818"/>
    <w:rsid w:val="006A60F4"/>
    <w:rsid w:val="006A6597"/>
    <w:rsid w:val="006A66B1"/>
    <w:rsid w:val="006A6FEF"/>
    <w:rsid w:val="006A7CB7"/>
    <w:rsid w:val="006B178C"/>
    <w:rsid w:val="006B1BBA"/>
    <w:rsid w:val="006B1EFC"/>
    <w:rsid w:val="006B250C"/>
    <w:rsid w:val="006B308A"/>
    <w:rsid w:val="006B5E8A"/>
    <w:rsid w:val="006B6A02"/>
    <w:rsid w:val="006B6B66"/>
    <w:rsid w:val="006B7A77"/>
    <w:rsid w:val="006B7A85"/>
    <w:rsid w:val="006C1814"/>
    <w:rsid w:val="006C1A47"/>
    <w:rsid w:val="006C1ED5"/>
    <w:rsid w:val="006C27BA"/>
    <w:rsid w:val="006C2BD0"/>
    <w:rsid w:val="006C2BFF"/>
    <w:rsid w:val="006C2DAC"/>
    <w:rsid w:val="006C3110"/>
    <w:rsid w:val="006C32B5"/>
    <w:rsid w:val="006C41EC"/>
    <w:rsid w:val="006C49C0"/>
    <w:rsid w:val="006C54C6"/>
    <w:rsid w:val="006C5716"/>
    <w:rsid w:val="006C67B4"/>
    <w:rsid w:val="006C6B4D"/>
    <w:rsid w:val="006C7A15"/>
    <w:rsid w:val="006C7EDF"/>
    <w:rsid w:val="006D0342"/>
    <w:rsid w:val="006D0B3A"/>
    <w:rsid w:val="006D0C1D"/>
    <w:rsid w:val="006D0C6B"/>
    <w:rsid w:val="006D1F86"/>
    <w:rsid w:val="006D2B5C"/>
    <w:rsid w:val="006D3B27"/>
    <w:rsid w:val="006D44C3"/>
    <w:rsid w:val="006D45E8"/>
    <w:rsid w:val="006D4919"/>
    <w:rsid w:val="006D4FC0"/>
    <w:rsid w:val="006D698A"/>
    <w:rsid w:val="006D7D8C"/>
    <w:rsid w:val="006E0070"/>
    <w:rsid w:val="006E024E"/>
    <w:rsid w:val="006E0F0E"/>
    <w:rsid w:val="006E2476"/>
    <w:rsid w:val="006E27F8"/>
    <w:rsid w:val="006E2F94"/>
    <w:rsid w:val="006E34D2"/>
    <w:rsid w:val="006E4354"/>
    <w:rsid w:val="006E45B6"/>
    <w:rsid w:val="006E4D6E"/>
    <w:rsid w:val="006E6786"/>
    <w:rsid w:val="006E76A3"/>
    <w:rsid w:val="006E7AAD"/>
    <w:rsid w:val="006F037C"/>
    <w:rsid w:val="006F050E"/>
    <w:rsid w:val="006F0A8F"/>
    <w:rsid w:val="006F0D93"/>
    <w:rsid w:val="006F2CF5"/>
    <w:rsid w:val="006F2CF6"/>
    <w:rsid w:val="006F390D"/>
    <w:rsid w:val="006F423D"/>
    <w:rsid w:val="006F4983"/>
    <w:rsid w:val="006F4A4A"/>
    <w:rsid w:val="006F4C96"/>
    <w:rsid w:val="006F540A"/>
    <w:rsid w:val="006F55FE"/>
    <w:rsid w:val="006F621B"/>
    <w:rsid w:val="006F6826"/>
    <w:rsid w:val="006F6CC8"/>
    <w:rsid w:val="006F6D22"/>
    <w:rsid w:val="006F7426"/>
    <w:rsid w:val="006F7C18"/>
    <w:rsid w:val="006F7C23"/>
    <w:rsid w:val="006F7DBA"/>
    <w:rsid w:val="006F7DE8"/>
    <w:rsid w:val="006F7FCA"/>
    <w:rsid w:val="0070018B"/>
    <w:rsid w:val="0070025D"/>
    <w:rsid w:val="007009A0"/>
    <w:rsid w:val="00700F41"/>
    <w:rsid w:val="0070151A"/>
    <w:rsid w:val="00703975"/>
    <w:rsid w:val="007043B4"/>
    <w:rsid w:val="00705E53"/>
    <w:rsid w:val="00705F80"/>
    <w:rsid w:val="007061F8"/>
    <w:rsid w:val="007067BE"/>
    <w:rsid w:val="00706B20"/>
    <w:rsid w:val="007076E0"/>
    <w:rsid w:val="00707C1A"/>
    <w:rsid w:val="00710CAA"/>
    <w:rsid w:val="0071160D"/>
    <w:rsid w:val="0071163F"/>
    <w:rsid w:val="007119C5"/>
    <w:rsid w:val="007139B5"/>
    <w:rsid w:val="00713BDE"/>
    <w:rsid w:val="0071492E"/>
    <w:rsid w:val="00714D99"/>
    <w:rsid w:val="00715288"/>
    <w:rsid w:val="0071534B"/>
    <w:rsid w:val="007155B1"/>
    <w:rsid w:val="00715FA3"/>
    <w:rsid w:val="0071614B"/>
    <w:rsid w:val="00717551"/>
    <w:rsid w:val="007202B5"/>
    <w:rsid w:val="00720D2E"/>
    <w:rsid w:val="00721F1D"/>
    <w:rsid w:val="00723483"/>
    <w:rsid w:val="00723767"/>
    <w:rsid w:val="00723A08"/>
    <w:rsid w:val="00724BD2"/>
    <w:rsid w:val="00725671"/>
    <w:rsid w:val="00725D91"/>
    <w:rsid w:val="0072638A"/>
    <w:rsid w:val="007270CF"/>
    <w:rsid w:val="00727169"/>
    <w:rsid w:val="00727C83"/>
    <w:rsid w:val="007311F3"/>
    <w:rsid w:val="00731E86"/>
    <w:rsid w:val="0073227B"/>
    <w:rsid w:val="00733333"/>
    <w:rsid w:val="00734C63"/>
    <w:rsid w:val="00735081"/>
    <w:rsid w:val="007366D4"/>
    <w:rsid w:val="00737181"/>
    <w:rsid w:val="00737299"/>
    <w:rsid w:val="007373BF"/>
    <w:rsid w:val="007374CA"/>
    <w:rsid w:val="007417CB"/>
    <w:rsid w:val="0074259D"/>
    <w:rsid w:val="007443B6"/>
    <w:rsid w:val="00744793"/>
    <w:rsid w:val="00745038"/>
    <w:rsid w:val="00745202"/>
    <w:rsid w:val="00745881"/>
    <w:rsid w:val="00746148"/>
    <w:rsid w:val="00746D5C"/>
    <w:rsid w:val="00746F0F"/>
    <w:rsid w:val="00747688"/>
    <w:rsid w:val="0074771B"/>
    <w:rsid w:val="007478A5"/>
    <w:rsid w:val="0075014A"/>
    <w:rsid w:val="007501B1"/>
    <w:rsid w:val="00750632"/>
    <w:rsid w:val="00750BAA"/>
    <w:rsid w:val="00750E5A"/>
    <w:rsid w:val="00751824"/>
    <w:rsid w:val="007521AD"/>
    <w:rsid w:val="007528B8"/>
    <w:rsid w:val="007529CF"/>
    <w:rsid w:val="00752ECD"/>
    <w:rsid w:val="00753AAE"/>
    <w:rsid w:val="00753D38"/>
    <w:rsid w:val="0075428D"/>
    <w:rsid w:val="00754360"/>
    <w:rsid w:val="00755546"/>
    <w:rsid w:val="00755A70"/>
    <w:rsid w:val="00755AC2"/>
    <w:rsid w:val="007561CB"/>
    <w:rsid w:val="007564F9"/>
    <w:rsid w:val="007567F6"/>
    <w:rsid w:val="00757030"/>
    <w:rsid w:val="00760BC5"/>
    <w:rsid w:val="0076140F"/>
    <w:rsid w:val="00761BD2"/>
    <w:rsid w:val="00761D6F"/>
    <w:rsid w:val="00762AE9"/>
    <w:rsid w:val="00763760"/>
    <w:rsid w:val="00763968"/>
    <w:rsid w:val="00765F24"/>
    <w:rsid w:val="007665F8"/>
    <w:rsid w:val="00766A95"/>
    <w:rsid w:val="00766D2A"/>
    <w:rsid w:val="00767470"/>
    <w:rsid w:val="00767688"/>
    <w:rsid w:val="00767B7D"/>
    <w:rsid w:val="00770124"/>
    <w:rsid w:val="00771022"/>
    <w:rsid w:val="00771C49"/>
    <w:rsid w:val="007726A1"/>
    <w:rsid w:val="007736E8"/>
    <w:rsid w:val="00774EB1"/>
    <w:rsid w:val="007752B0"/>
    <w:rsid w:val="0077606F"/>
    <w:rsid w:val="00776360"/>
    <w:rsid w:val="00776C45"/>
    <w:rsid w:val="00777180"/>
    <w:rsid w:val="00780007"/>
    <w:rsid w:val="007802D6"/>
    <w:rsid w:val="00780702"/>
    <w:rsid w:val="007812EC"/>
    <w:rsid w:val="007819A9"/>
    <w:rsid w:val="007821D9"/>
    <w:rsid w:val="007826BF"/>
    <w:rsid w:val="0078276D"/>
    <w:rsid w:val="00782849"/>
    <w:rsid w:val="00782A3E"/>
    <w:rsid w:val="00782C1B"/>
    <w:rsid w:val="00782D99"/>
    <w:rsid w:val="00782F3F"/>
    <w:rsid w:val="00783037"/>
    <w:rsid w:val="00783202"/>
    <w:rsid w:val="0078353F"/>
    <w:rsid w:val="00783A49"/>
    <w:rsid w:val="00783FD5"/>
    <w:rsid w:val="0078433B"/>
    <w:rsid w:val="00784412"/>
    <w:rsid w:val="0078486E"/>
    <w:rsid w:val="00784A99"/>
    <w:rsid w:val="00785516"/>
    <w:rsid w:val="0078557E"/>
    <w:rsid w:val="00785C4D"/>
    <w:rsid w:val="00785C66"/>
    <w:rsid w:val="00785E66"/>
    <w:rsid w:val="00787681"/>
    <w:rsid w:val="007876CB"/>
    <w:rsid w:val="00787B63"/>
    <w:rsid w:val="00787C5A"/>
    <w:rsid w:val="007900B8"/>
    <w:rsid w:val="00791397"/>
    <w:rsid w:val="00791A74"/>
    <w:rsid w:val="00791F7E"/>
    <w:rsid w:val="00792282"/>
    <w:rsid w:val="00792EF7"/>
    <w:rsid w:val="00792FBA"/>
    <w:rsid w:val="007937C9"/>
    <w:rsid w:val="00793E16"/>
    <w:rsid w:val="00795002"/>
    <w:rsid w:val="0079625A"/>
    <w:rsid w:val="00796F24"/>
    <w:rsid w:val="00796F40"/>
    <w:rsid w:val="00797305"/>
    <w:rsid w:val="007973B0"/>
    <w:rsid w:val="007A1545"/>
    <w:rsid w:val="007A237D"/>
    <w:rsid w:val="007A2EB2"/>
    <w:rsid w:val="007A4911"/>
    <w:rsid w:val="007A566C"/>
    <w:rsid w:val="007A5C92"/>
    <w:rsid w:val="007A5E83"/>
    <w:rsid w:val="007A62C2"/>
    <w:rsid w:val="007A6719"/>
    <w:rsid w:val="007A6C1F"/>
    <w:rsid w:val="007A78CE"/>
    <w:rsid w:val="007A796E"/>
    <w:rsid w:val="007B2347"/>
    <w:rsid w:val="007B36A4"/>
    <w:rsid w:val="007B3D29"/>
    <w:rsid w:val="007B43D9"/>
    <w:rsid w:val="007B461E"/>
    <w:rsid w:val="007B56EA"/>
    <w:rsid w:val="007B5C6B"/>
    <w:rsid w:val="007B63D9"/>
    <w:rsid w:val="007B6730"/>
    <w:rsid w:val="007B7023"/>
    <w:rsid w:val="007B71EB"/>
    <w:rsid w:val="007C0FEF"/>
    <w:rsid w:val="007C100F"/>
    <w:rsid w:val="007C1466"/>
    <w:rsid w:val="007C2615"/>
    <w:rsid w:val="007C4671"/>
    <w:rsid w:val="007C6971"/>
    <w:rsid w:val="007C7158"/>
    <w:rsid w:val="007C73A2"/>
    <w:rsid w:val="007C75BE"/>
    <w:rsid w:val="007C7A48"/>
    <w:rsid w:val="007D003E"/>
    <w:rsid w:val="007D00DC"/>
    <w:rsid w:val="007D1822"/>
    <w:rsid w:val="007D219C"/>
    <w:rsid w:val="007D3BB9"/>
    <w:rsid w:val="007D4DE4"/>
    <w:rsid w:val="007D4F68"/>
    <w:rsid w:val="007D4F8B"/>
    <w:rsid w:val="007D657D"/>
    <w:rsid w:val="007D6A43"/>
    <w:rsid w:val="007D6E15"/>
    <w:rsid w:val="007D7E5F"/>
    <w:rsid w:val="007E0BA3"/>
    <w:rsid w:val="007E0FBF"/>
    <w:rsid w:val="007E1106"/>
    <w:rsid w:val="007E1506"/>
    <w:rsid w:val="007E2072"/>
    <w:rsid w:val="007E4026"/>
    <w:rsid w:val="007E4AE1"/>
    <w:rsid w:val="007E4EC5"/>
    <w:rsid w:val="007E57B5"/>
    <w:rsid w:val="007E5BEA"/>
    <w:rsid w:val="007E5E16"/>
    <w:rsid w:val="007E65B1"/>
    <w:rsid w:val="007E7099"/>
    <w:rsid w:val="007E7A3B"/>
    <w:rsid w:val="007F06F1"/>
    <w:rsid w:val="007F0C4A"/>
    <w:rsid w:val="007F1C22"/>
    <w:rsid w:val="007F1D53"/>
    <w:rsid w:val="007F2098"/>
    <w:rsid w:val="007F31E0"/>
    <w:rsid w:val="007F3277"/>
    <w:rsid w:val="007F366D"/>
    <w:rsid w:val="007F40ED"/>
    <w:rsid w:val="007F54B5"/>
    <w:rsid w:val="007F705D"/>
    <w:rsid w:val="007F73B0"/>
    <w:rsid w:val="007F772A"/>
    <w:rsid w:val="00800D85"/>
    <w:rsid w:val="008012FB"/>
    <w:rsid w:val="00801749"/>
    <w:rsid w:val="00801871"/>
    <w:rsid w:val="00802021"/>
    <w:rsid w:val="0080257F"/>
    <w:rsid w:val="00802B16"/>
    <w:rsid w:val="008036DA"/>
    <w:rsid w:val="008040AE"/>
    <w:rsid w:val="008051EF"/>
    <w:rsid w:val="00805533"/>
    <w:rsid w:val="00807565"/>
    <w:rsid w:val="00807937"/>
    <w:rsid w:val="00807F8E"/>
    <w:rsid w:val="008109B6"/>
    <w:rsid w:val="008111B5"/>
    <w:rsid w:val="008116B2"/>
    <w:rsid w:val="00811C65"/>
    <w:rsid w:val="008125A8"/>
    <w:rsid w:val="00812ACC"/>
    <w:rsid w:val="00812B06"/>
    <w:rsid w:val="00812DE7"/>
    <w:rsid w:val="00813B75"/>
    <w:rsid w:val="0081512C"/>
    <w:rsid w:val="0081514A"/>
    <w:rsid w:val="0081553F"/>
    <w:rsid w:val="008156C4"/>
    <w:rsid w:val="008156E1"/>
    <w:rsid w:val="00815EE4"/>
    <w:rsid w:val="0081648F"/>
    <w:rsid w:val="00816572"/>
    <w:rsid w:val="0081720E"/>
    <w:rsid w:val="00817641"/>
    <w:rsid w:val="00817F47"/>
    <w:rsid w:val="008208A1"/>
    <w:rsid w:val="00820944"/>
    <w:rsid w:val="00821031"/>
    <w:rsid w:val="0082144B"/>
    <w:rsid w:val="00821488"/>
    <w:rsid w:val="00822B50"/>
    <w:rsid w:val="00823199"/>
    <w:rsid w:val="00823278"/>
    <w:rsid w:val="00824861"/>
    <w:rsid w:val="008248DF"/>
    <w:rsid w:val="00824D32"/>
    <w:rsid w:val="0083040F"/>
    <w:rsid w:val="0083075C"/>
    <w:rsid w:val="00830EFB"/>
    <w:rsid w:val="00831445"/>
    <w:rsid w:val="00831E18"/>
    <w:rsid w:val="00831E26"/>
    <w:rsid w:val="00831E84"/>
    <w:rsid w:val="008327A3"/>
    <w:rsid w:val="00832872"/>
    <w:rsid w:val="00832EEE"/>
    <w:rsid w:val="008333FF"/>
    <w:rsid w:val="00834426"/>
    <w:rsid w:val="008344FE"/>
    <w:rsid w:val="008351CF"/>
    <w:rsid w:val="0083520F"/>
    <w:rsid w:val="008358B0"/>
    <w:rsid w:val="0083595B"/>
    <w:rsid w:val="008364AD"/>
    <w:rsid w:val="00836A27"/>
    <w:rsid w:val="00840244"/>
    <w:rsid w:val="00840B92"/>
    <w:rsid w:val="00840DDF"/>
    <w:rsid w:val="00841DE7"/>
    <w:rsid w:val="00841F69"/>
    <w:rsid w:val="008430B5"/>
    <w:rsid w:val="008451BD"/>
    <w:rsid w:val="00845978"/>
    <w:rsid w:val="00845A65"/>
    <w:rsid w:val="00845A7C"/>
    <w:rsid w:val="00845D3E"/>
    <w:rsid w:val="00845DB3"/>
    <w:rsid w:val="00846895"/>
    <w:rsid w:val="00846913"/>
    <w:rsid w:val="00846AE6"/>
    <w:rsid w:val="00846F1B"/>
    <w:rsid w:val="0084735E"/>
    <w:rsid w:val="008479FA"/>
    <w:rsid w:val="00847ADD"/>
    <w:rsid w:val="00850907"/>
    <w:rsid w:val="00851808"/>
    <w:rsid w:val="00851D0B"/>
    <w:rsid w:val="00852B98"/>
    <w:rsid w:val="00852D2C"/>
    <w:rsid w:val="00854BF5"/>
    <w:rsid w:val="00855200"/>
    <w:rsid w:val="00855CCD"/>
    <w:rsid w:val="00855D58"/>
    <w:rsid w:val="00856032"/>
    <w:rsid w:val="00856130"/>
    <w:rsid w:val="008563BB"/>
    <w:rsid w:val="00856640"/>
    <w:rsid w:val="008568EF"/>
    <w:rsid w:val="00857D2C"/>
    <w:rsid w:val="008608B6"/>
    <w:rsid w:val="0086164A"/>
    <w:rsid w:val="00861E46"/>
    <w:rsid w:val="008625DD"/>
    <w:rsid w:val="008627B6"/>
    <w:rsid w:val="0086354F"/>
    <w:rsid w:val="00863772"/>
    <w:rsid w:val="00863A6C"/>
    <w:rsid w:val="00863AE9"/>
    <w:rsid w:val="00863C93"/>
    <w:rsid w:val="00864310"/>
    <w:rsid w:val="008649BF"/>
    <w:rsid w:val="00864C96"/>
    <w:rsid w:val="00864DDA"/>
    <w:rsid w:val="00865691"/>
    <w:rsid w:val="00866052"/>
    <w:rsid w:val="00866294"/>
    <w:rsid w:val="00866866"/>
    <w:rsid w:val="0086737D"/>
    <w:rsid w:val="008679C8"/>
    <w:rsid w:val="00867EB7"/>
    <w:rsid w:val="00867FF1"/>
    <w:rsid w:val="008708DA"/>
    <w:rsid w:val="008713A6"/>
    <w:rsid w:val="008721F5"/>
    <w:rsid w:val="00872217"/>
    <w:rsid w:val="00872298"/>
    <w:rsid w:val="008724F5"/>
    <w:rsid w:val="00872752"/>
    <w:rsid w:val="008727DA"/>
    <w:rsid w:val="00872E57"/>
    <w:rsid w:val="00872FE7"/>
    <w:rsid w:val="0087305A"/>
    <w:rsid w:val="008733D2"/>
    <w:rsid w:val="008734BA"/>
    <w:rsid w:val="00873C2E"/>
    <w:rsid w:val="008749B2"/>
    <w:rsid w:val="00874BE9"/>
    <w:rsid w:val="00875134"/>
    <w:rsid w:val="00875C5E"/>
    <w:rsid w:val="0087685E"/>
    <w:rsid w:val="008769C6"/>
    <w:rsid w:val="00876B86"/>
    <w:rsid w:val="00876C47"/>
    <w:rsid w:val="008774F7"/>
    <w:rsid w:val="00877D4D"/>
    <w:rsid w:val="00880930"/>
    <w:rsid w:val="008809DA"/>
    <w:rsid w:val="00880A21"/>
    <w:rsid w:val="00880FB0"/>
    <w:rsid w:val="008826BD"/>
    <w:rsid w:val="00883B2F"/>
    <w:rsid w:val="00885098"/>
    <w:rsid w:val="008857E4"/>
    <w:rsid w:val="00885D07"/>
    <w:rsid w:val="00885DAB"/>
    <w:rsid w:val="008863C2"/>
    <w:rsid w:val="008868F5"/>
    <w:rsid w:val="00887175"/>
    <w:rsid w:val="0088740E"/>
    <w:rsid w:val="00887453"/>
    <w:rsid w:val="008878B4"/>
    <w:rsid w:val="008879C1"/>
    <w:rsid w:val="00887B42"/>
    <w:rsid w:val="0089112B"/>
    <w:rsid w:val="00892E1A"/>
    <w:rsid w:val="0089303A"/>
    <w:rsid w:val="0089400E"/>
    <w:rsid w:val="00894B72"/>
    <w:rsid w:val="008950A3"/>
    <w:rsid w:val="008953C0"/>
    <w:rsid w:val="0089590E"/>
    <w:rsid w:val="00895E7E"/>
    <w:rsid w:val="00896C36"/>
    <w:rsid w:val="00896DB4"/>
    <w:rsid w:val="00896FDE"/>
    <w:rsid w:val="008970D7"/>
    <w:rsid w:val="008978C5"/>
    <w:rsid w:val="0089794A"/>
    <w:rsid w:val="008A0237"/>
    <w:rsid w:val="008A14BC"/>
    <w:rsid w:val="008A2046"/>
    <w:rsid w:val="008A2736"/>
    <w:rsid w:val="008A278F"/>
    <w:rsid w:val="008A2AC9"/>
    <w:rsid w:val="008A3134"/>
    <w:rsid w:val="008A33C3"/>
    <w:rsid w:val="008A3DCB"/>
    <w:rsid w:val="008A4143"/>
    <w:rsid w:val="008A4BFD"/>
    <w:rsid w:val="008A593D"/>
    <w:rsid w:val="008A6F93"/>
    <w:rsid w:val="008A7188"/>
    <w:rsid w:val="008A72B0"/>
    <w:rsid w:val="008A7A8E"/>
    <w:rsid w:val="008A7AB7"/>
    <w:rsid w:val="008B02B9"/>
    <w:rsid w:val="008B0A41"/>
    <w:rsid w:val="008B0AB7"/>
    <w:rsid w:val="008B131B"/>
    <w:rsid w:val="008B1529"/>
    <w:rsid w:val="008B15B8"/>
    <w:rsid w:val="008B22FB"/>
    <w:rsid w:val="008B2A5A"/>
    <w:rsid w:val="008B2B0A"/>
    <w:rsid w:val="008B2FCC"/>
    <w:rsid w:val="008B3220"/>
    <w:rsid w:val="008B3277"/>
    <w:rsid w:val="008B3DFC"/>
    <w:rsid w:val="008B3F65"/>
    <w:rsid w:val="008B45E1"/>
    <w:rsid w:val="008B4BD3"/>
    <w:rsid w:val="008B4EB6"/>
    <w:rsid w:val="008B4FB8"/>
    <w:rsid w:val="008B5086"/>
    <w:rsid w:val="008B55A1"/>
    <w:rsid w:val="008B5776"/>
    <w:rsid w:val="008B5D8C"/>
    <w:rsid w:val="008B5E30"/>
    <w:rsid w:val="008B71D5"/>
    <w:rsid w:val="008B7753"/>
    <w:rsid w:val="008C0055"/>
    <w:rsid w:val="008C0B71"/>
    <w:rsid w:val="008C1271"/>
    <w:rsid w:val="008C145F"/>
    <w:rsid w:val="008C1FF7"/>
    <w:rsid w:val="008C2308"/>
    <w:rsid w:val="008C2678"/>
    <w:rsid w:val="008C32BF"/>
    <w:rsid w:val="008C3457"/>
    <w:rsid w:val="008C4D93"/>
    <w:rsid w:val="008C6738"/>
    <w:rsid w:val="008C6815"/>
    <w:rsid w:val="008C6FD6"/>
    <w:rsid w:val="008C7046"/>
    <w:rsid w:val="008C7377"/>
    <w:rsid w:val="008C7843"/>
    <w:rsid w:val="008C7A56"/>
    <w:rsid w:val="008C7ED6"/>
    <w:rsid w:val="008D122F"/>
    <w:rsid w:val="008D18AA"/>
    <w:rsid w:val="008D1A76"/>
    <w:rsid w:val="008D1C28"/>
    <w:rsid w:val="008D2845"/>
    <w:rsid w:val="008D34B4"/>
    <w:rsid w:val="008D4BB1"/>
    <w:rsid w:val="008D6D5F"/>
    <w:rsid w:val="008D7649"/>
    <w:rsid w:val="008D7814"/>
    <w:rsid w:val="008D7E12"/>
    <w:rsid w:val="008D7FFC"/>
    <w:rsid w:val="008E0249"/>
    <w:rsid w:val="008E1989"/>
    <w:rsid w:val="008E1BE4"/>
    <w:rsid w:val="008E1D74"/>
    <w:rsid w:val="008E1DD0"/>
    <w:rsid w:val="008E2EA0"/>
    <w:rsid w:val="008E342E"/>
    <w:rsid w:val="008E3455"/>
    <w:rsid w:val="008E3F66"/>
    <w:rsid w:val="008E41B9"/>
    <w:rsid w:val="008E4673"/>
    <w:rsid w:val="008E46B6"/>
    <w:rsid w:val="008E48D1"/>
    <w:rsid w:val="008E4D4E"/>
    <w:rsid w:val="008E5820"/>
    <w:rsid w:val="008E604E"/>
    <w:rsid w:val="008E60DF"/>
    <w:rsid w:val="008E66A9"/>
    <w:rsid w:val="008E69CE"/>
    <w:rsid w:val="008E6AC8"/>
    <w:rsid w:val="008E70E6"/>
    <w:rsid w:val="008E744E"/>
    <w:rsid w:val="008E74A0"/>
    <w:rsid w:val="008E7B9A"/>
    <w:rsid w:val="008F00AC"/>
    <w:rsid w:val="008F08A3"/>
    <w:rsid w:val="008F1750"/>
    <w:rsid w:val="008F1CB1"/>
    <w:rsid w:val="008F1DEF"/>
    <w:rsid w:val="008F2214"/>
    <w:rsid w:val="008F2C46"/>
    <w:rsid w:val="008F3117"/>
    <w:rsid w:val="008F3A2C"/>
    <w:rsid w:val="008F45B7"/>
    <w:rsid w:val="008F49A4"/>
    <w:rsid w:val="008F5B50"/>
    <w:rsid w:val="008F5E67"/>
    <w:rsid w:val="008F6021"/>
    <w:rsid w:val="008F66AF"/>
    <w:rsid w:val="008F680B"/>
    <w:rsid w:val="008F7544"/>
    <w:rsid w:val="008F7A7A"/>
    <w:rsid w:val="00901951"/>
    <w:rsid w:val="00901BBB"/>
    <w:rsid w:val="00902D70"/>
    <w:rsid w:val="0090341B"/>
    <w:rsid w:val="0090487B"/>
    <w:rsid w:val="009051F6"/>
    <w:rsid w:val="00905CE4"/>
    <w:rsid w:val="00906151"/>
    <w:rsid w:val="00906287"/>
    <w:rsid w:val="009063F6"/>
    <w:rsid w:val="009064CF"/>
    <w:rsid w:val="00906811"/>
    <w:rsid w:val="00906CB0"/>
    <w:rsid w:val="00907102"/>
    <w:rsid w:val="00907673"/>
    <w:rsid w:val="00910688"/>
    <w:rsid w:val="00910D68"/>
    <w:rsid w:val="00911736"/>
    <w:rsid w:val="0091210B"/>
    <w:rsid w:val="00912DE9"/>
    <w:rsid w:val="00915647"/>
    <w:rsid w:val="00915CA4"/>
    <w:rsid w:val="00915F46"/>
    <w:rsid w:val="0091641D"/>
    <w:rsid w:val="00916594"/>
    <w:rsid w:val="0091786F"/>
    <w:rsid w:val="00920710"/>
    <w:rsid w:val="009208F7"/>
    <w:rsid w:val="0092103A"/>
    <w:rsid w:val="00921CD3"/>
    <w:rsid w:val="009227EF"/>
    <w:rsid w:val="0092349D"/>
    <w:rsid w:val="009237A7"/>
    <w:rsid w:val="009239B5"/>
    <w:rsid w:val="0092460F"/>
    <w:rsid w:val="009247EF"/>
    <w:rsid w:val="00924888"/>
    <w:rsid w:val="00924FDD"/>
    <w:rsid w:val="00925A58"/>
    <w:rsid w:val="009260BE"/>
    <w:rsid w:val="00926634"/>
    <w:rsid w:val="0092699D"/>
    <w:rsid w:val="009270D7"/>
    <w:rsid w:val="0092720C"/>
    <w:rsid w:val="00927AC5"/>
    <w:rsid w:val="009304BA"/>
    <w:rsid w:val="00931AE1"/>
    <w:rsid w:val="0093204D"/>
    <w:rsid w:val="00933A8C"/>
    <w:rsid w:val="00934365"/>
    <w:rsid w:val="00934CBC"/>
    <w:rsid w:val="00934E9D"/>
    <w:rsid w:val="009366B5"/>
    <w:rsid w:val="009374AD"/>
    <w:rsid w:val="00937697"/>
    <w:rsid w:val="0094040A"/>
    <w:rsid w:val="0094096A"/>
    <w:rsid w:val="0094175E"/>
    <w:rsid w:val="00941A75"/>
    <w:rsid w:val="00941FAE"/>
    <w:rsid w:val="009422EB"/>
    <w:rsid w:val="009423A7"/>
    <w:rsid w:val="0094379A"/>
    <w:rsid w:val="009439BE"/>
    <w:rsid w:val="00944000"/>
    <w:rsid w:val="009445D2"/>
    <w:rsid w:val="00945493"/>
    <w:rsid w:val="00945806"/>
    <w:rsid w:val="00945BAD"/>
    <w:rsid w:val="00946325"/>
    <w:rsid w:val="00946584"/>
    <w:rsid w:val="00946BBF"/>
    <w:rsid w:val="009478FC"/>
    <w:rsid w:val="0095042E"/>
    <w:rsid w:val="00951893"/>
    <w:rsid w:val="00951E20"/>
    <w:rsid w:val="0095308E"/>
    <w:rsid w:val="0095337A"/>
    <w:rsid w:val="00953CC3"/>
    <w:rsid w:val="00953E73"/>
    <w:rsid w:val="009548EE"/>
    <w:rsid w:val="00954C89"/>
    <w:rsid w:val="00954ED4"/>
    <w:rsid w:val="009557E7"/>
    <w:rsid w:val="009561E3"/>
    <w:rsid w:val="0095641E"/>
    <w:rsid w:val="00960206"/>
    <w:rsid w:val="009613F2"/>
    <w:rsid w:val="0096145C"/>
    <w:rsid w:val="009614FB"/>
    <w:rsid w:val="00963077"/>
    <w:rsid w:val="0096369B"/>
    <w:rsid w:val="00963772"/>
    <w:rsid w:val="0096436A"/>
    <w:rsid w:val="00965C26"/>
    <w:rsid w:val="00965E41"/>
    <w:rsid w:val="009660EA"/>
    <w:rsid w:val="00966112"/>
    <w:rsid w:val="009665DF"/>
    <w:rsid w:val="0097010B"/>
    <w:rsid w:val="0097012E"/>
    <w:rsid w:val="00970D19"/>
    <w:rsid w:val="00971294"/>
    <w:rsid w:val="009720EB"/>
    <w:rsid w:val="00972902"/>
    <w:rsid w:val="00973566"/>
    <w:rsid w:val="009735D5"/>
    <w:rsid w:val="00973B73"/>
    <w:rsid w:val="009748BE"/>
    <w:rsid w:val="009748C0"/>
    <w:rsid w:val="00974C72"/>
    <w:rsid w:val="00974CC4"/>
    <w:rsid w:val="009751DF"/>
    <w:rsid w:val="009752AA"/>
    <w:rsid w:val="0097551B"/>
    <w:rsid w:val="009759D9"/>
    <w:rsid w:val="00980856"/>
    <w:rsid w:val="00980AE5"/>
    <w:rsid w:val="00980FEF"/>
    <w:rsid w:val="0098102D"/>
    <w:rsid w:val="0098224C"/>
    <w:rsid w:val="009829C0"/>
    <w:rsid w:val="00982FD5"/>
    <w:rsid w:val="009836F6"/>
    <w:rsid w:val="00984763"/>
    <w:rsid w:val="00984837"/>
    <w:rsid w:val="00984E7B"/>
    <w:rsid w:val="00985301"/>
    <w:rsid w:val="0098532E"/>
    <w:rsid w:val="0098593D"/>
    <w:rsid w:val="00987868"/>
    <w:rsid w:val="00987A2D"/>
    <w:rsid w:val="00990026"/>
    <w:rsid w:val="009904B7"/>
    <w:rsid w:val="00990BFD"/>
    <w:rsid w:val="00990CA4"/>
    <w:rsid w:val="00990D81"/>
    <w:rsid w:val="00990EC9"/>
    <w:rsid w:val="00991AD5"/>
    <w:rsid w:val="00992734"/>
    <w:rsid w:val="00992C1C"/>
    <w:rsid w:val="00992C4E"/>
    <w:rsid w:val="00992DED"/>
    <w:rsid w:val="00993986"/>
    <w:rsid w:val="00993FEE"/>
    <w:rsid w:val="0099542D"/>
    <w:rsid w:val="009958BD"/>
    <w:rsid w:val="0099596B"/>
    <w:rsid w:val="00996372"/>
    <w:rsid w:val="009968E9"/>
    <w:rsid w:val="00997DEC"/>
    <w:rsid w:val="00997EA7"/>
    <w:rsid w:val="009A06A7"/>
    <w:rsid w:val="009A0B94"/>
    <w:rsid w:val="009A0DF1"/>
    <w:rsid w:val="009A111C"/>
    <w:rsid w:val="009A1151"/>
    <w:rsid w:val="009A1230"/>
    <w:rsid w:val="009A1436"/>
    <w:rsid w:val="009A1999"/>
    <w:rsid w:val="009A1F3C"/>
    <w:rsid w:val="009A2609"/>
    <w:rsid w:val="009A26D7"/>
    <w:rsid w:val="009A29EE"/>
    <w:rsid w:val="009A2FC1"/>
    <w:rsid w:val="009A35C7"/>
    <w:rsid w:val="009A3641"/>
    <w:rsid w:val="009A3C37"/>
    <w:rsid w:val="009A4EA4"/>
    <w:rsid w:val="009A5C80"/>
    <w:rsid w:val="009A69AE"/>
    <w:rsid w:val="009A73DE"/>
    <w:rsid w:val="009A7479"/>
    <w:rsid w:val="009A7B0F"/>
    <w:rsid w:val="009A7C09"/>
    <w:rsid w:val="009A7E3B"/>
    <w:rsid w:val="009B021A"/>
    <w:rsid w:val="009B06DF"/>
    <w:rsid w:val="009B0B22"/>
    <w:rsid w:val="009B0E6B"/>
    <w:rsid w:val="009B16DD"/>
    <w:rsid w:val="009B1971"/>
    <w:rsid w:val="009B1CF4"/>
    <w:rsid w:val="009B37CB"/>
    <w:rsid w:val="009B46DC"/>
    <w:rsid w:val="009B4D12"/>
    <w:rsid w:val="009B5192"/>
    <w:rsid w:val="009B6110"/>
    <w:rsid w:val="009B66FF"/>
    <w:rsid w:val="009B6724"/>
    <w:rsid w:val="009B6D04"/>
    <w:rsid w:val="009B73B6"/>
    <w:rsid w:val="009C0836"/>
    <w:rsid w:val="009C0AB9"/>
    <w:rsid w:val="009C0B13"/>
    <w:rsid w:val="009C1310"/>
    <w:rsid w:val="009C1DFC"/>
    <w:rsid w:val="009C2EC4"/>
    <w:rsid w:val="009C3DFD"/>
    <w:rsid w:val="009C4634"/>
    <w:rsid w:val="009C4EA7"/>
    <w:rsid w:val="009C50A3"/>
    <w:rsid w:val="009C58F0"/>
    <w:rsid w:val="009C617B"/>
    <w:rsid w:val="009C632E"/>
    <w:rsid w:val="009C6E89"/>
    <w:rsid w:val="009C6F35"/>
    <w:rsid w:val="009C7FD8"/>
    <w:rsid w:val="009D2250"/>
    <w:rsid w:val="009D2614"/>
    <w:rsid w:val="009D2AFA"/>
    <w:rsid w:val="009D2B14"/>
    <w:rsid w:val="009D2DD0"/>
    <w:rsid w:val="009D3322"/>
    <w:rsid w:val="009D3713"/>
    <w:rsid w:val="009D4611"/>
    <w:rsid w:val="009D4701"/>
    <w:rsid w:val="009D4BA3"/>
    <w:rsid w:val="009D59B6"/>
    <w:rsid w:val="009D6235"/>
    <w:rsid w:val="009D68CB"/>
    <w:rsid w:val="009D72A3"/>
    <w:rsid w:val="009D7C56"/>
    <w:rsid w:val="009D7DE0"/>
    <w:rsid w:val="009E1CA1"/>
    <w:rsid w:val="009E292D"/>
    <w:rsid w:val="009E322A"/>
    <w:rsid w:val="009E3734"/>
    <w:rsid w:val="009E3868"/>
    <w:rsid w:val="009E4D6D"/>
    <w:rsid w:val="009E5243"/>
    <w:rsid w:val="009E76D6"/>
    <w:rsid w:val="009E79B2"/>
    <w:rsid w:val="009E7DEF"/>
    <w:rsid w:val="009F1535"/>
    <w:rsid w:val="009F2847"/>
    <w:rsid w:val="009F373D"/>
    <w:rsid w:val="009F3828"/>
    <w:rsid w:val="009F3AF6"/>
    <w:rsid w:val="009F4355"/>
    <w:rsid w:val="009F4919"/>
    <w:rsid w:val="009F4B73"/>
    <w:rsid w:val="009F4D74"/>
    <w:rsid w:val="009F4DC2"/>
    <w:rsid w:val="009F55F3"/>
    <w:rsid w:val="009F7540"/>
    <w:rsid w:val="009F7E58"/>
    <w:rsid w:val="00A00464"/>
    <w:rsid w:val="00A01CC7"/>
    <w:rsid w:val="00A01CE8"/>
    <w:rsid w:val="00A01D9F"/>
    <w:rsid w:val="00A0240E"/>
    <w:rsid w:val="00A0326C"/>
    <w:rsid w:val="00A03475"/>
    <w:rsid w:val="00A03E28"/>
    <w:rsid w:val="00A046DF"/>
    <w:rsid w:val="00A0483C"/>
    <w:rsid w:val="00A05646"/>
    <w:rsid w:val="00A05D36"/>
    <w:rsid w:val="00A06ACA"/>
    <w:rsid w:val="00A07741"/>
    <w:rsid w:val="00A07AA1"/>
    <w:rsid w:val="00A07D0B"/>
    <w:rsid w:val="00A10190"/>
    <w:rsid w:val="00A1106F"/>
    <w:rsid w:val="00A1188F"/>
    <w:rsid w:val="00A11960"/>
    <w:rsid w:val="00A12722"/>
    <w:rsid w:val="00A138E9"/>
    <w:rsid w:val="00A1394A"/>
    <w:rsid w:val="00A13E6B"/>
    <w:rsid w:val="00A141DC"/>
    <w:rsid w:val="00A1466B"/>
    <w:rsid w:val="00A147D5"/>
    <w:rsid w:val="00A149B4"/>
    <w:rsid w:val="00A14A58"/>
    <w:rsid w:val="00A14C13"/>
    <w:rsid w:val="00A14F6B"/>
    <w:rsid w:val="00A15ECA"/>
    <w:rsid w:val="00A15F7D"/>
    <w:rsid w:val="00A163AC"/>
    <w:rsid w:val="00A21872"/>
    <w:rsid w:val="00A21A21"/>
    <w:rsid w:val="00A22D59"/>
    <w:rsid w:val="00A23EA9"/>
    <w:rsid w:val="00A2464B"/>
    <w:rsid w:val="00A24DCC"/>
    <w:rsid w:val="00A258C0"/>
    <w:rsid w:val="00A2594F"/>
    <w:rsid w:val="00A264AF"/>
    <w:rsid w:val="00A26BA9"/>
    <w:rsid w:val="00A2714F"/>
    <w:rsid w:val="00A27265"/>
    <w:rsid w:val="00A27285"/>
    <w:rsid w:val="00A27305"/>
    <w:rsid w:val="00A27E16"/>
    <w:rsid w:val="00A27EBB"/>
    <w:rsid w:val="00A304DD"/>
    <w:rsid w:val="00A30510"/>
    <w:rsid w:val="00A3074E"/>
    <w:rsid w:val="00A307F6"/>
    <w:rsid w:val="00A30C5B"/>
    <w:rsid w:val="00A31423"/>
    <w:rsid w:val="00A3173F"/>
    <w:rsid w:val="00A319DF"/>
    <w:rsid w:val="00A31F83"/>
    <w:rsid w:val="00A3257C"/>
    <w:rsid w:val="00A3319B"/>
    <w:rsid w:val="00A33613"/>
    <w:rsid w:val="00A33DF3"/>
    <w:rsid w:val="00A34512"/>
    <w:rsid w:val="00A34B53"/>
    <w:rsid w:val="00A374A7"/>
    <w:rsid w:val="00A37D70"/>
    <w:rsid w:val="00A420BF"/>
    <w:rsid w:val="00A42D1A"/>
    <w:rsid w:val="00A42E62"/>
    <w:rsid w:val="00A43445"/>
    <w:rsid w:val="00A43D21"/>
    <w:rsid w:val="00A4460A"/>
    <w:rsid w:val="00A44D70"/>
    <w:rsid w:val="00A44D94"/>
    <w:rsid w:val="00A4676D"/>
    <w:rsid w:val="00A468AC"/>
    <w:rsid w:val="00A4698B"/>
    <w:rsid w:val="00A46C0A"/>
    <w:rsid w:val="00A46D1E"/>
    <w:rsid w:val="00A50D2C"/>
    <w:rsid w:val="00A5118E"/>
    <w:rsid w:val="00A5360A"/>
    <w:rsid w:val="00A53E64"/>
    <w:rsid w:val="00A54639"/>
    <w:rsid w:val="00A55B70"/>
    <w:rsid w:val="00A56AC3"/>
    <w:rsid w:val="00A56B63"/>
    <w:rsid w:val="00A56DDB"/>
    <w:rsid w:val="00A57904"/>
    <w:rsid w:val="00A57BC3"/>
    <w:rsid w:val="00A57C6F"/>
    <w:rsid w:val="00A57F5A"/>
    <w:rsid w:val="00A60374"/>
    <w:rsid w:val="00A6060B"/>
    <w:rsid w:val="00A61CFA"/>
    <w:rsid w:val="00A65AB7"/>
    <w:rsid w:val="00A65B4A"/>
    <w:rsid w:val="00A66099"/>
    <w:rsid w:val="00A6685C"/>
    <w:rsid w:val="00A67494"/>
    <w:rsid w:val="00A67C85"/>
    <w:rsid w:val="00A701BD"/>
    <w:rsid w:val="00A71225"/>
    <w:rsid w:val="00A7159D"/>
    <w:rsid w:val="00A723F1"/>
    <w:rsid w:val="00A7253B"/>
    <w:rsid w:val="00A7368A"/>
    <w:rsid w:val="00A73AE9"/>
    <w:rsid w:val="00A75296"/>
    <w:rsid w:val="00A7648B"/>
    <w:rsid w:val="00A76DAB"/>
    <w:rsid w:val="00A77544"/>
    <w:rsid w:val="00A803EA"/>
    <w:rsid w:val="00A806B8"/>
    <w:rsid w:val="00A81A60"/>
    <w:rsid w:val="00A820A6"/>
    <w:rsid w:val="00A824CD"/>
    <w:rsid w:val="00A827A6"/>
    <w:rsid w:val="00A82F21"/>
    <w:rsid w:val="00A8306C"/>
    <w:rsid w:val="00A83A0C"/>
    <w:rsid w:val="00A84397"/>
    <w:rsid w:val="00A845B9"/>
    <w:rsid w:val="00A84DCE"/>
    <w:rsid w:val="00A8507B"/>
    <w:rsid w:val="00A850CE"/>
    <w:rsid w:val="00A85708"/>
    <w:rsid w:val="00A859D8"/>
    <w:rsid w:val="00A85D3E"/>
    <w:rsid w:val="00A85DAC"/>
    <w:rsid w:val="00A862E4"/>
    <w:rsid w:val="00A87269"/>
    <w:rsid w:val="00A8742D"/>
    <w:rsid w:val="00A878AB"/>
    <w:rsid w:val="00A90262"/>
    <w:rsid w:val="00A91AA1"/>
    <w:rsid w:val="00A9222C"/>
    <w:rsid w:val="00A92DF0"/>
    <w:rsid w:val="00A9456D"/>
    <w:rsid w:val="00A94E03"/>
    <w:rsid w:val="00A95DEA"/>
    <w:rsid w:val="00A95F62"/>
    <w:rsid w:val="00A961DB"/>
    <w:rsid w:val="00A967E7"/>
    <w:rsid w:val="00A972E9"/>
    <w:rsid w:val="00AA014B"/>
    <w:rsid w:val="00AA0B34"/>
    <w:rsid w:val="00AA1F0D"/>
    <w:rsid w:val="00AA33AD"/>
    <w:rsid w:val="00AA3700"/>
    <w:rsid w:val="00AA397F"/>
    <w:rsid w:val="00AA3A8D"/>
    <w:rsid w:val="00AA3D9E"/>
    <w:rsid w:val="00AA3ED6"/>
    <w:rsid w:val="00AA54E3"/>
    <w:rsid w:val="00AA61DF"/>
    <w:rsid w:val="00AA6336"/>
    <w:rsid w:val="00AA6343"/>
    <w:rsid w:val="00AA69F3"/>
    <w:rsid w:val="00AA73B0"/>
    <w:rsid w:val="00AA7AC8"/>
    <w:rsid w:val="00AB0467"/>
    <w:rsid w:val="00AB143E"/>
    <w:rsid w:val="00AB19CD"/>
    <w:rsid w:val="00AB1EED"/>
    <w:rsid w:val="00AB36ED"/>
    <w:rsid w:val="00AB39E8"/>
    <w:rsid w:val="00AB3CAB"/>
    <w:rsid w:val="00AB3D53"/>
    <w:rsid w:val="00AB4D0B"/>
    <w:rsid w:val="00AB4D5B"/>
    <w:rsid w:val="00AB610E"/>
    <w:rsid w:val="00AB698F"/>
    <w:rsid w:val="00AB6E85"/>
    <w:rsid w:val="00AB7370"/>
    <w:rsid w:val="00AB73A1"/>
    <w:rsid w:val="00AB7440"/>
    <w:rsid w:val="00AB7EA2"/>
    <w:rsid w:val="00AC00E3"/>
    <w:rsid w:val="00AC0245"/>
    <w:rsid w:val="00AC08E5"/>
    <w:rsid w:val="00AC0C88"/>
    <w:rsid w:val="00AC0ECD"/>
    <w:rsid w:val="00AC17A9"/>
    <w:rsid w:val="00AC1FBF"/>
    <w:rsid w:val="00AC3EC5"/>
    <w:rsid w:val="00AC3ED2"/>
    <w:rsid w:val="00AC409A"/>
    <w:rsid w:val="00AC48E1"/>
    <w:rsid w:val="00AC4C9A"/>
    <w:rsid w:val="00AC6532"/>
    <w:rsid w:val="00AC6553"/>
    <w:rsid w:val="00AC76CF"/>
    <w:rsid w:val="00AC7AC2"/>
    <w:rsid w:val="00AD03C9"/>
    <w:rsid w:val="00AD0AEB"/>
    <w:rsid w:val="00AD0BC7"/>
    <w:rsid w:val="00AD16ED"/>
    <w:rsid w:val="00AD291F"/>
    <w:rsid w:val="00AD2BFF"/>
    <w:rsid w:val="00AD4402"/>
    <w:rsid w:val="00AD4869"/>
    <w:rsid w:val="00AD4F73"/>
    <w:rsid w:val="00AD53D6"/>
    <w:rsid w:val="00AD55AA"/>
    <w:rsid w:val="00AD58F1"/>
    <w:rsid w:val="00AD5BF2"/>
    <w:rsid w:val="00AD6071"/>
    <w:rsid w:val="00AD607D"/>
    <w:rsid w:val="00AD6CDB"/>
    <w:rsid w:val="00AE05B0"/>
    <w:rsid w:val="00AE1115"/>
    <w:rsid w:val="00AE128A"/>
    <w:rsid w:val="00AE1886"/>
    <w:rsid w:val="00AE1C5D"/>
    <w:rsid w:val="00AE1CB2"/>
    <w:rsid w:val="00AE1FC6"/>
    <w:rsid w:val="00AE2813"/>
    <w:rsid w:val="00AE299F"/>
    <w:rsid w:val="00AE30CE"/>
    <w:rsid w:val="00AE3590"/>
    <w:rsid w:val="00AE4A3E"/>
    <w:rsid w:val="00AE5FB8"/>
    <w:rsid w:val="00AE68FA"/>
    <w:rsid w:val="00AE6CEF"/>
    <w:rsid w:val="00AE7111"/>
    <w:rsid w:val="00AE7BCD"/>
    <w:rsid w:val="00AF0780"/>
    <w:rsid w:val="00AF1417"/>
    <w:rsid w:val="00AF2108"/>
    <w:rsid w:val="00AF284A"/>
    <w:rsid w:val="00AF448B"/>
    <w:rsid w:val="00AF4B7B"/>
    <w:rsid w:val="00AF4C20"/>
    <w:rsid w:val="00AF4EF6"/>
    <w:rsid w:val="00AF52EA"/>
    <w:rsid w:val="00AF57A4"/>
    <w:rsid w:val="00AF629F"/>
    <w:rsid w:val="00AF63BD"/>
    <w:rsid w:val="00AF6447"/>
    <w:rsid w:val="00AF644A"/>
    <w:rsid w:val="00AF664D"/>
    <w:rsid w:val="00AF7CD5"/>
    <w:rsid w:val="00B00243"/>
    <w:rsid w:val="00B0068D"/>
    <w:rsid w:val="00B00EA9"/>
    <w:rsid w:val="00B01C73"/>
    <w:rsid w:val="00B02CE2"/>
    <w:rsid w:val="00B03345"/>
    <w:rsid w:val="00B04AB5"/>
    <w:rsid w:val="00B04FB6"/>
    <w:rsid w:val="00B0595B"/>
    <w:rsid w:val="00B066BA"/>
    <w:rsid w:val="00B06C9A"/>
    <w:rsid w:val="00B074E9"/>
    <w:rsid w:val="00B076FD"/>
    <w:rsid w:val="00B07EEC"/>
    <w:rsid w:val="00B10274"/>
    <w:rsid w:val="00B11D07"/>
    <w:rsid w:val="00B12311"/>
    <w:rsid w:val="00B1245E"/>
    <w:rsid w:val="00B1251D"/>
    <w:rsid w:val="00B13F35"/>
    <w:rsid w:val="00B1433F"/>
    <w:rsid w:val="00B14639"/>
    <w:rsid w:val="00B1463F"/>
    <w:rsid w:val="00B146CD"/>
    <w:rsid w:val="00B15996"/>
    <w:rsid w:val="00B15D1D"/>
    <w:rsid w:val="00B15E4F"/>
    <w:rsid w:val="00B16439"/>
    <w:rsid w:val="00B167E4"/>
    <w:rsid w:val="00B167F1"/>
    <w:rsid w:val="00B16B5E"/>
    <w:rsid w:val="00B16DC7"/>
    <w:rsid w:val="00B17253"/>
    <w:rsid w:val="00B1741C"/>
    <w:rsid w:val="00B20424"/>
    <w:rsid w:val="00B20A03"/>
    <w:rsid w:val="00B21BF9"/>
    <w:rsid w:val="00B23062"/>
    <w:rsid w:val="00B236EC"/>
    <w:rsid w:val="00B23832"/>
    <w:rsid w:val="00B2384C"/>
    <w:rsid w:val="00B23A7B"/>
    <w:rsid w:val="00B2415D"/>
    <w:rsid w:val="00B2468A"/>
    <w:rsid w:val="00B253E4"/>
    <w:rsid w:val="00B26A4E"/>
    <w:rsid w:val="00B26BDB"/>
    <w:rsid w:val="00B27022"/>
    <w:rsid w:val="00B27056"/>
    <w:rsid w:val="00B302C3"/>
    <w:rsid w:val="00B30F5D"/>
    <w:rsid w:val="00B3118C"/>
    <w:rsid w:val="00B3159D"/>
    <w:rsid w:val="00B31CF7"/>
    <w:rsid w:val="00B32C47"/>
    <w:rsid w:val="00B33970"/>
    <w:rsid w:val="00B33C3A"/>
    <w:rsid w:val="00B34710"/>
    <w:rsid w:val="00B34BC7"/>
    <w:rsid w:val="00B35327"/>
    <w:rsid w:val="00B356E7"/>
    <w:rsid w:val="00B357C6"/>
    <w:rsid w:val="00B36A7B"/>
    <w:rsid w:val="00B372BC"/>
    <w:rsid w:val="00B37851"/>
    <w:rsid w:val="00B404CD"/>
    <w:rsid w:val="00B406AB"/>
    <w:rsid w:val="00B406AC"/>
    <w:rsid w:val="00B4085E"/>
    <w:rsid w:val="00B408A8"/>
    <w:rsid w:val="00B40EAE"/>
    <w:rsid w:val="00B41751"/>
    <w:rsid w:val="00B41B5C"/>
    <w:rsid w:val="00B41B5E"/>
    <w:rsid w:val="00B421C5"/>
    <w:rsid w:val="00B4292A"/>
    <w:rsid w:val="00B42DA0"/>
    <w:rsid w:val="00B43B00"/>
    <w:rsid w:val="00B44AC5"/>
    <w:rsid w:val="00B44D09"/>
    <w:rsid w:val="00B45E59"/>
    <w:rsid w:val="00B46BEE"/>
    <w:rsid w:val="00B47316"/>
    <w:rsid w:val="00B4767E"/>
    <w:rsid w:val="00B478EB"/>
    <w:rsid w:val="00B479BE"/>
    <w:rsid w:val="00B50F2B"/>
    <w:rsid w:val="00B5122C"/>
    <w:rsid w:val="00B51240"/>
    <w:rsid w:val="00B52030"/>
    <w:rsid w:val="00B525AC"/>
    <w:rsid w:val="00B5280C"/>
    <w:rsid w:val="00B52988"/>
    <w:rsid w:val="00B52A68"/>
    <w:rsid w:val="00B52EF1"/>
    <w:rsid w:val="00B5346A"/>
    <w:rsid w:val="00B547EC"/>
    <w:rsid w:val="00B54DB9"/>
    <w:rsid w:val="00B54FE2"/>
    <w:rsid w:val="00B559CA"/>
    <w:rsid w:val="00B56E78"/>
    <w:rsid w:val="00B57632"/>
    <w:rsid w:val="00B608BD"/>
    <w:rsid w:val="00B61E85"/>
    <w:rsid w:val="00B627B8"/>
    <w:rsid w:val="00B62D2E"/>
    <w:rsid w:val="00B6379E"/>
    <w:rsid w:val="00B63A06"/>
    <w:rsid w:val="00B643DB"/>
    <w:rsid w:val="00B64ABD"/>
    <w:rsid w:val="00B64FA7"/>
    <w:rsid w:val="00B65B07"/>
    <w:rsid w:val="00B662FE"/>
    <w:rsid w:val="00B66DF0"/>
    <w:rsid w:val="00B6723C"/>
    <w:rsid w:val="00B678F3"/>
    <w:rsid w:val="00B67DCC"/>
    <w:rsid w:val="00B7037C"/>
    <w:rsid w:val="00B7062D"/>
    <w:rsid w:val="00B70A40"/>
    <w:rsid w:val="00B71415"/>
    <w:rsid w:val="00B71896"/>
    <w:rsid w:val="00B72347"/>
    <w:rsid w:val="00B7340B"/>
    <w:rsid w:val="00B737D4"/>
    <w:rsid w:val="00B73B1A"/>
    <w:rsid w:val="00B73E64"/>
    <w:rsid w:val="00B74198"/>
    <w:rsid w:val="00B7463C"/>
    <w:rsid w:val="00B7464B"/>
    <w:rsid w:val="00B751E5"/>
    <w:rsid w:val="00B7618B"/>
    <w:rsid w:val="00B763E2"/>
    <w:rsid w:val="00B7656C"/>
    <w:rsid w:val="00B76AFC"/>
    <w:rsid w:val="00B77993"/>
    <w:rsid w:val="00B80044"/>
    <w:rsid w:val="00B806C3"/>
    <w:rsid w:val="00B80F03"/>
    <w:rsid w:val="00B82487"/>
    <w:rsid w:val="00B8257A"/>
    <w:rsid w:val="00B82996"/>
    <w:rsid w:val="00B82C11"/>
    <w:rsid w:val="00B82F4C"/>
    <w:rsid w:val="00B83C7A"/>
    <w:rsid w:val="00B8408A"/>
    <w:rsid w:val="00B84E29"/>
    <w:rsid w:val="00B852C5"/>
    <w:rsid w:val="00B85674"/>
    <w:rsid w:val="00B859E5"/>
    <w:rsid w:val="00B85CC6"/>
    <w:rsid w:val="00B862D7"/>
    <w:rsid w:val="00B86C05"/>
    <w:rsid w:val="00B86D2C"/>
    <w:rsid w:val="00B87230"/>
    <w:rsid w:val="00B878F9"/>
    <w:rsid w:val="00B87DBE"/>
    <w:rsid w:val="00B906FE"/>
    <w:rsid w:val="00B91380"/>
    <w:rsid w:val="00B91598"/>
    <w:rsid w:val="00B932A6"/>
    <w:rsid w:val="00B935F5"/>
    <w:rsid w:val="00B939F7"/>
    <w:rsid w:val="00B944CB"/>
    <w:rsid w:val="00B95956"/>
    <w:rsid w:val="00B95B6A"/>
    <w:rsid w:val="00B96D90"/>
    <w:rsid w:val="00B97AEE"/>
    <w:rsid w:val="00BA011E"/>
    <w:rsid w:val="00BA029A"/>
    <w:rsid w:val="00BA0660"/>
    <w:rsid w:val="00BA0676"/>
    <w:rsid w:val="00BA0CCB"/>
    <w:rsid w:val="00BA1B39"/>
    <w:rsid w:val="00BA1F6B"/>
    <w:rsid w:val="00BA2DC0"/>
    <w:rsid w:val="00BA3278"/>
    <w:rsid w:val="00BA41B8"/>
    <w:rsid w:val="00BA5BD8"/>
    <w:rsid w:val="00BA617E"/>
    <w:rsid w:val="00BA6837"/>
    <w:rsid w:val="00BA70E9"/>
    <w:rsid w:val="00BA724D"/>
    <w:rsid w:val="00BA7818"/>
    <w:rsid w:val="00BB0C62"/>
    <w:rsid w:val="00BB0F06"/>
    <w:rsid w:val="00BB399A"/>
    <w:rsid w:val="00BB41CD"/>
    <w:rsid w:val="00BB5D09"/>
    <w:rsid w:val="00BB5F38"/>
    <w:rsid w:val="00BB65E9"/>
    <w:rsid w:val="00BB7517"/>
    <w:rsid w:val="00BB7611"/>
    <w:rsid w:val="00BB7C94"/>
    <w:rsid w:val="00BC07F4"/>
    <w:rsid w:val="00BC1E12"/>
    <w:rsid w:val="00BC25B7"/>
    <w:rsid w:val="00BC28B5"/>
    <w:rsid w:val="00BC3AD5"/>
    <w:rsid w:val="00BC43E9"/>
    <w:rsid w:val="00BC465D"/>
    <w:rsid w:val="00BC4F7A"/>
    <w:rsid w:val="00BC4FB6"/>
    <w:rsid w:val="00BC4FE2"/>
    <w:rsid w:val="00BC5506"/>
    <w:rsid w:val="00BC5EDB"/>
    <w:rsid w:val="00BC665C"/>
    <w:rsid w:val="00BC6C83"/>
    <w:rsid w:val="00BC7818"/>
    <w:rsid w:val="00BD0170"/>
    <w:rsid w:val="00BD0683"/>
    <w:rsid w:val="00BD0962"/>
    <w:rsid w:val="00BD1145"/>
    <w:rsid w:val="00BD27C9"/>
    <w:rsid w:val="00BD2B2E"/>
    <w:rsid w:val="00BD2D65"/>
    <w:rsid w:val="00BD2DEA"/>
    <w:rsid w:val="00BD31BE"/>
    <w:rsid w:val="00BD31D2"/>
    <w:rsid w:val="00BD373C"/>
    <w:rsid w:val="00BD3D2C"/>
    <w:rsid w:val="00BD44C2"/>
    <w:rsid w:val="00BD4A70"/>
    <w:rsid w:val="00BD4DA5"/>
    <w:rsid w:val="00BD4F6B"/>
    <w:rsid w:val="00BD588D"/>
    <w:rsid w:val="00BD6251"/>
    <w:rsid w:val="00BE057D"/>
    <w:rsid w:val="00BE12F7"/>
    <w:rsid w:val="00BE234F"/>
    <w:rsid w:val="00BE25BC"/>
    <w:rsid w:val="00BE2AB4"/>
    <w:rsid w:val="00BE2D54"/>
    <w:rsid w:val="00BE2E62"/>
    <w:rsid w:val="00BE324D"/>
    <w:rsid w:val="00BE4121"/>
    <w:rsid w:val="00BE4EBD"/>
    <w:rsid w:val="00BE596A"/>
    <w:rsid w:val="00BE689B"/>
    <w:rsid w:val="00BE6DD2"/>
    <w:rsid w:val="00BF039E"/>
    <w:rsid w:val="00BF1077"/>
    <w:rsid w:val="00BF11EE"/>
    <w:rsid w:val="00BF199D"/>
    <w:rsid w:val="00BF1ACC"/>
    <w:rsid w:val="00BF1D9F"/>
    <w:rsid w:val="00BF2786"/>
    <w:rsid w:val="00BF2A70"/>
    <w:rsid w:val="00BF3047"/>
    <w:rsid w:val="00BF3828"/>
    <w:rsid w:val="00BF4479"/>
    <w:rsid w:val="00BF5341"/>
    <w:rsid w:val="00BF5D72"/>
    <w:rsid w:val="00BF6296"/>
    <w:rsid w:val="00BF6565"/>
    <w:rsid w:val="00BF667B"/>
    <w:rsid w:val="00BF6E71"/>
    <w:rsid w:val="00BF7020"/>
    <w:rsid w:val="00BF7D6B"/>
    <w:rsid w:val="00BF7DDD"/>
    <w:rsid w:val="00C00D74"/>
    <w:rsid w:val="00C01296"/>
    <w:rsid w:val="00C02693"/>
    <w:rsid w:val="00C02A56"/>
    <w:rsid w:val="00C0373D"/>
    <w:rsid w:val="00C03D41"/>
    <w:rsid w:val="00C043F1"/>
    <w:rsid w:val="00C04910"/>
    <w:rsid w:val="00C050A2"/>
    <w:rsid w:val="00C05FAD"/>
    <w:rsid w:val="00C0612B"/>
    <w:rsid w:val="00C06729"/>
    <w:rsid w:val="00C06E18"/>
    <w:rsid w:val="00C07797"/>
    <w:rsid w:val="00C0792A"/>
    <w:rsid w:val="00C07ABE"/>
    <w:rsid w:val="00C10738"/>
    <w:rsid w:val="00C11266"/>
    <w:rsid w:val="00C11395"/>
    <w:rsid w:val="00C124F5"/>
    <w:rsid w:val="00C131C4"/>
    <w:rsid w:val="00C14739"/>
    <w:rsid w:val="00C15255"/>
    <w:rsid w:val="00C159B2"/>
    <w:rsid w:val="00C15EF9"/>
    <w:rsid w:val="00C16732"/>
    <w:rsid w:val="00C16A88"/>
    <w:rsid w:val="00C17342"/>
    <w:rsid w:val="00C1793D"/>
    <w:rsid w:val="00C17BCE"/>
    <w:rsid w:val="00C17E09"/>
    <w:rsid w:val="00C214DD"/>
    <w:rsid w:val="00C22299"/>
    <w:rsid w:val="00C22550"/>
    <w:rsid w:val="00C2270B"/>
    <w:rsid w:val="00C22AA2"/>
    <w:rsid w:val="00C2353B"/>
    <w:rsid w:val="00C238C8"/>
    <w:rsid w:val="00C23D85"/>
    <w:rsid w:val="00C2489B"/>
    <w:rsid w:val="00C24F8F"/>
    <w:rsid w:val="00C262E4"/>
    <w:rsid w:val="00C31689"/>
    <w:rsid w:val="00C336A9"/>
    <w:rsid w:val="00C33BB9"/>
    <w:rsid w:val="00C34001"/>
    <w:rsid w:val="00C34090"/>
    <w:rsid w:val="00C35007"/>
    <w:rsid w:val="00C356A1"/>
    <w:rsid w:val="00C358C4"/>
    <w:rsid w:val="00C35E4E"/>
    <w:rsid w:val="00C36570"/>
    <w:rsid w:val="00C36B4B"/>
    <w:rsid w:val="00C36F8F"/>
    <w:rsid w:val="00C371D7"/>
    <w:rsid w:val="00C37B0A"/>
    <w:rsid w:val="00C37B9A"/>
    <w:rsid w:val="00C37BC9"/>
    <w:rsid w:val="00C37D84"/>
    <w:rsid w:val="00C4076B"/>
    <w:rsid w:val="00C40925"/>
    <w:rsid w:val="00C40AAE"/>
    <w:rsid w:val="00C428BA"/>
    <w:rsid w:val="00C4313C"/>
    <w:rsid w:val="00C436BB"/>
    <w:rsid w:val="00C43949"/>
    <w:rsid w:val="00C43D18"/>
    <w:rsid w:val="00C44230"/>
    <w:rsid w:val="00C44276"/>
    <w:rsid w:val="00C444DE"/>
    <w:rsid w:val="00C4474B"/>
    <w:rsid w:val="00C4547D"/>
    <w:rsid w:val="00C47FD4"/>
    <w:rsid w:val="00C504D2"/>
    <w:rsid w:val="00C507C6"/>
    <w:rsid w:val="00C51D6F"/>
    <w:rsid w:val="00C52E41"/>
    <w:rsid w:val="00C53AF2"/>
    <w:rsid w:val="00C5495F"/>
    <w:rsid w:val="00C54CD6"/>
    <w:rsid w:val="00C55E6B"/>
    <w:rsid w:val="00C5684A"/>
    <w:rsid w:val="00C568D4"/>
    <w:rsid w:val="00C6004C"/>
    <w:rsid w:val="00C609A0"/>
    <w:rsid w:val="00C610C3"/>
    <w:rsid w:val="00C61184"/>
    <w:rsid w:val="00C61EC8"/>
    <w:rsid w:val="00C6230E"/>
    <w:rsid w:val="00C623B2"/>
    <w:rsid w:val="00C63078"/>
    <w:rsid w:val="00C63EE8"/>
    <w:rsid w:val="00C64630"/>
    <w:rsid w:val="00C648A2"/>
    <w:rsid w:val="00C662A6"/>
    <w:rsid w:val="00C66537"/>
    <w:rsid w:val="00C6711C"/>
    <w:rsid w:val="00C672D3"/>
    <w:rsid w:val="00C67864"/>
    <w:rsid w:val="00C678BA"/>
    <w:rsid w:val="00C67A40"/>
    <w:rsid w:val="00C7060E"/>
    <w:rsid w:val="00C71F83"/>
    <w:rsid w:val="00C73307"/>
    <w:rsid w:val="00C73590"/>
    <w:rsid w:val="00C73A4E"/>
    <w:rsid w:val="00C73D50"/>
    <w:rsid w:val="00C741DF"/>
    <w:rsid w:val="00C74A1C"/>
    <w:rsid w:val="00C75AA4"/>
    <w:rsid w:val="00C75C9C"/>
    <w:rsid w:val="00C76119"/>
    <w:rsid w:val="00C76B66"/>
    <w:rsid w:val="00C76C16"/>
    <w:rsid w:val="00C76C40"/>
    <w:rsid w:val="00C77DDC"/>
    <w:rsid w:val="00C77F52"/>
    <w:rsid w:val="00C8021A"/>
    <w:rsid w:val="00C804D8"/>
    <w:rsid w:val="00C80755"/>
    <w:rsid w:val="00C80A16"/>
    <w:rsid w:val="00C810AC"/>
    <w:rsid w:val="00C81562"/>
    <w:rsid w:val="00C817E5"/>
    <w:rsid w:val="00C81C83"/>
    <w:rsid w:val="00C81F03"/>
    <w:rsid w:val="00C8235A"/>
    <w:rsid w:val="00C830AF"/>
    <w:rsid w:val="00C8338E"/>
    <w:rsid w:val="00C83748"/>
    <w:rsid w:val="00C83C60"/>
    <w:rsid w:val="00C85654"/>
    <w:rsid w:val="00C86C0B"/>
    <w:rsid w:val="00C86FC7"/>
    <w:rsid w:val="00C879C0"/>
    <w:rsid w:val="00C87BFC"/>
    <w:rsid w:val="00C900A2"/>
    <w:rsid w:val="00C910C4"/>
    <w:rsid w:val="00C9129B"/>
    <w:rsid w:val="00C91518"/>
    <w:rsid w:val="00C92E2A"/>
    <w:rsid w:val="00C9546F"/>
    <w:rsid w:val="00C96330"/>
    <w:rsid w:val="00C9676F"/>
    <w:rsid w:val="00C96879"/>
    <w:rsid w:val="00C96AC4"/>
    <w:rsid w:val="00C97010"/>
    <w:rsid w:val="00C972C1"/>
    <w:rsid w:val="00C97E57"/>
    <w:rsid w:val="00C97F85"/>
    <w:rsid w:val="00CA01E4"/>
    <w:rsid w:val="00CA235D"/>
    <w:rsid w:val="00CA23D2"/>
    <w:rsid w:val="00CA25A5"/>
    <w:rsid w:val="00CA2DBE"/>
    <w:rsid w:val="00CA2E91"/>
    <w:rsid w:val="00CA3292"/>
    <w:rsid w:val="00CA3823"/>
    <w:rsid w:val="00CA3998"/>
    <w:rsid w:val="00CA5186"/>
    <w:rsid w:val="00CA5A44"/>
    <w:rsid w:val="00CA6EE6"/>
    <w:rsid w:val="00CB212C"/>
    <w:rsid w:val="00CB2662"/>
    <w:rsid w:val="00CB2AE2"/>
    <w:rsid w:val="00CB2BCA"/>
    <w:rsid w:val="00CB2DDD"/>
    <w:rsid w:val="00CB3135"/>
    <w:rsid w:val="00CB33F7"/>
    <w:rsid w:val="00CB360E"/>
    <w:rsid w:val="00CB37EF"/>
    <w:rsid w:val="00CB3B9A"/>
    <w:rsid w:val="00CB3D92"/>
    <w:rsid w:val="00CB3E31"/>
    <w:rsid w:val="00CB3F04"/>
    <w:rsid w:val="00CB4655"/>
    <w:rsid w:val="00CB4FCC"/>
    <w:rsid w:val="00CB5226"/>
    <w:rsid w:val="00CB5239"/>
    <w:rsid w:val="00CB61A1"/>
    <w:rsid w:val="00CB6F4E"/>
    <w:rsid w:val="00CC0165"/>
    <w:rsid w:val="00CC09DA"/>
    <w:rsid w:val="00CC0BC5"/>
    <w:rsid w:val="00CC141F"/>
    <w:rsid w:val="00CC149B"/>
    <w:rsid w:val="00CC14FB"/>
    <w:rsid w:val="00CC16FD"/>
    <w:rsid w:val="00CC223D"/>
    <w:rsid w:val="00CC2285"/>
    <w:rsid w:val="00CC33AF"/>
    <w:rsid w:val="00CC34FD"/>
    <w:rsid w:val="00CC3E1F"/>
    <w:rsid w:val="00CC455F"/>
    <w:rsid w:val="00CC48C9"/>
    <w:rsid w:val="00CC5122"/>
    <w:rsid w:val="00CC5C5E"/>
    <w:rsid w:val="00CC5D79"/>
    <w:rsid w:val="00CC6064"/>
    <w:rsid w:val="00CC6266"/>
    <w:rsid w:val="00CC6499"/>
    <w:rsid w:val="00CC7E35"/>
    <w:rsid w:val="00CD00FA"/>
    <w:rsid w:val="00CD04A0"/>
    <w:rsid w:val="00CD0592"/>
    <w:rsid w:val="00CD0776"/>
    <w:rsid w:val="00CD1EDB"/>
    <w:rsid w:val="00CD2A33"/>
    <w:rsid w:val="00CD2E85"/>
    <w:rsid w:val="00CD317B"/>
    <w:rsid w:val="00CD321C"/>
    <w:rsid w:val="00CD3443"/>
    <w:rsid w:val="00CD3D0E"/>
    <w:rsid w:val="00CD4227"/>
    <w:rsid w:val="00CD481A"/>
    <w:rsid w:val="00CD5490"/>
    <w:rsid w:val="00CD566A"/>
    <w:rsid w:val="00CD62F7"/>
    <w:rsid w:val="00CD740C"/>
    <w:rsid w:val="00CD7981"/>
    <w:rsid w:val="00CD79A7"/>
    <w:rsid w:val="00CD7F3E"/>
    <w:rsid w:val="00CE0122"/>
    <w:rsid w:val="00CE04B1"/>
    <w:rsid w:val="00CE0E9E"/>
    <w:rsid w:val="00CE0EF0"/>
    <w:rsid w:val="00CE0F0B"/>
    <w:rsid w:val="00CE10A4"/>
    <w:rsid w:val="00CE1C05"/>
    <w:rsid w:val="00CE28A4"/>
    <w:rsid w:val="00CE2B00"/>
    <w:rsid w:val="00CE3354"/>
    <w:rsid w:val="00CE3432"/>
    <w:rsid w:val="00CE35F6"/>
    <w:rsid w:val="00CE387C"/>
    <w:rsid w:val="00CE4E23"/>
    <w:rsid w:val="00CE4E87"/>
    <w:rsid w:val="00CE5630"/>
    <w:rsid w:val="00CE59A5"/>
    <w:rsid w:val="00CE61E0"/>
    <w:rsid w:val="00CE700E"/>
    <w:rsid w:val="00CE779C"/>
    <w:rsid w:val="00CE77C1"/>
    <w:rsid w:val="00CF0B62"/>
    <w:rsid w:val="00CF233A"/>
    <w:rsid w:val="00CF2622"/>
    <w:rsid w:val="00CF2CD2"/>
    <w:rsid w:val="00CF3ACD"/>
    <w:rsid w:val="00CF477B"/>
    <w:rsid w:val="00CF4967"/>
    <w:rsid w:val="00CF4B56"/>
    <w:rsid w:val="00CF50A2"/>
    <w:rsid w:val="00CF5CFB"/>
    <w:rsid w:val="00CF6BAC"/>
    <w:rsid w:val="00CF742C"/>
    <w:rsid w:val="00CF75D5"/>
    <w:rsid w:val="00D000D7"/>
    <w:rsid w:val="00D0160A"/>
    <w:rsid w:val="00D01946"/>
    <w:rsid w:val="00D01CEE"/>
    <w:rsid w:val="00D01FCD"/>
    <w:rsid w:val="00D023F0"/>
    <w:rsid w:val="00D02A3F"/>
    <w:rsid w:val="00D02A69"/>
    <w:rsid w:val="00D0302D"/>
    <w:rsid w:val="00D0426D"/>
    <w:rsid w:val="00D04C52"/>
    <w:rsid w:val="00D04E1B"/>
    <w:rsid w:val="00D05796"/>
    <w:rsid w:val="00D06775"/>
    <w:rsid w:val="00D06B44"/>
    <w:rsid w:val="00D06B5D"/>
    <w:rsid w:val="00D06BE3"/>
    <w:rsid w:val="00D0772F"/>
    <w:rsid w:val="00D078F3"/>
    <w:rsid w:val="00D07CBB"/>
    <w:rsid w:val="00D11241"/>
    <w:rsid w:val="00D1191D"/>
    <w:rsid w:val="00D11D75"/>
    <w:rsid w:val="00D12122"/>
    <w:rsid w:val="00D122C2"/>
    <w:rsid w:val="00D124FE"/>
    <w:rsid w:val="00D12726"/>
    <w:rsid w:val="00D1334B"/>
    <w:rsid w:val="00D1426A"/>
    <w:rsid w:val="00D14DA3"/>
    <w:rsid w:val="00D14EA0"/>
    <w:rsid w:val="00D15074"/>
    <w:rsid w:val="00D16480"/>
    <w:rsid w:val="00D16ADB"/>
    <w:rsid w:val="00D16D9B"/>
    <w:rsid w:val="00D17A0A"/>
    <w:rsid w:val="00D17B77"/>
    <w:rsid w:val="00D17CEB"/>
    <w:rsid w:val="00D17D41"/>
    <w:rsid w:val="00D20EA3"/>
    <w:rsid w:val="00D20FE3"/>
    <w:rsid w:val="00D2170F"/>
    <w:rsid w:val="00D21F2A"/>
    <w:rsid w:val="00D22BC9"/>
    <w:rsid w:val="00D22FD7"/>
    <w:rsid w:val="00D2319B"/>
    <w:rsid w:val="00D23FB5"/>
    <w:rsid w:val="00D2472A"/>
    <w:rsid w:val="00D26C11"/>
    <w:rsid w:val="00D27DDA"/>
    <w:rsid w:val="00D30683"/>
    <w:rsid w:val="00D30BC8"/>
    <w:rsid w:val="00D3145D"/>
    <w:rsid w:val="00D31ABA"/>
    <w:rsid w:val="00D3266D"/>
    <w:rsid w:val="00D32D95"/>
    <w:rsid w:val="00D32F91"/>
    <w:rsid w:val="00D33CC0"/>
    <w:rsid w:val="00D34639"/>
    <w:rsid w:val="00D3490E"/>
    <w:rsid w:val="00D352EB"/>
    <w:rsid w:val="00D35F2A"/>
    <w:rsid w:val="00D367E2"/>
    <w:rsid w:val="00D3721D"/>
    <w:rsid w:val="00D37B26"/>
    <w:rsid w:val="00D41407"/>
    <w:rsid w:val="00D41BFE"/>
    <w:rsid w:val="00D42109"/>
    <w:rsid w:val="00D42182"/>
    <w:rsid w:val="00D422C7"/>
    <w:rsid w:val="00D427F7"/>
    <w:rsid w:val="00D42FB0"/>
    <w:rsid w:val="00D4365B"/>
    <w:rsid w:val="00D43672"/>
    <w:rsid w:val="00D438D6"/>
    <w:rsid w:val="00D43961"/>
    <w:rsid w:val="00D43D2B"/>
    <w:rsid w:val="00D4424E"/>
    <w:rsid w:val="00D44CEB"/>
    <w:rsid w:val="00D45443"/>
    <w:rsid w:val="00D46092"/>
    <w:rsid w:val="00D46579"/>
    <w:rsid w:val="00D46923"/>
    <w:rsid w:val="00D50186"/>
    <w:rsid w:val="00D517B0"/>
    <w:rsid w:val="00D51DC6"/>
    <w:rsid w:val="00D5217F"/>
    <w:rsid w:val="00D52294"/>
    <w:rsid w:val="00D52989"/>
    <w:rsid w:val="00D53E5A"/>
    <w:rsid w:val="00D542A9"/>
    <w:rsid w:val="00D54375"/>
    <w:rsid w:val="00D546F0"/>
    <w:rsid w:val="00D5606B"/>
    <w:rsid w:val="00D562A8"/>
    <w:rsid w:val="00D57593"/>
    <w:rsid w:val="00D578C3"/>
    <w:rsid w:val="00D57CC4"/>
    <w:rsid w:val="00D57FC1"/>
    <w:rsid w:val="00D6013F"/>
    <w:rsid w:val="00D6080C"/>
    <w:rsid w:val="00D619EF"/>
    <w:rsid w:val="00D62BC2"/>
    <w:rsid w:val="00D62FCC"/>
    <w:rsid w:val="00D630CE"/>
    <w:rsid w:val="00D63A30"/>
    <w:rsid w:val="00D63EB3"/>
    <w:rsid w:val="00D64541"/>
    <w:rsid w:val="00D64EC7"/>
    <w:rsid w:val="00D64F8B"/>
    <w:rsid w:val="00D66251"/>
    <w:rsid w:val="00D67156"/>
    <w:rsid w:val="00D67ACD"/>
    <w:rsid w:val="00D71164"/>
    <w:rsid w:val="00D717BD"/>
    <w:rsid w:val="00D72FF0"/>
    <w:rsid w:val="00D7301D"/>
    <w:rsid w:val="00D73650"/>
    <w:rsid w:val="00D736A1"/>
    <w:rsid w:val="00D73A6F"/>
    <w:rsid w:val="00D74817"/>
    <w:rsid w:val="00D7587E"/>
    <w:rsid w:val="00D76F8E"/>
    <w:rsid w:val="00D77BD6"/>
    <w:rsid w:val="00D77C82"/>
    <w:rsid w:val="00D80383"/>
    <w:rsid w:val="00D8142F"/>
    <w:rsid w:val="00D82635"/>
    <w:rsid w:val="00D83230"/>
    <w:rsid w:val="00D84048"/>
    <w:rsid w:val="00D846D1"/>
    <w:rsid w:val="00D8490A"/>
    <w:rsid w:val="00D8522D"/>
    <w:rsid w:val="00D857DD"/>
    <w:rsid w:val="00D86C61"/>
    <w:rsid w:val="00D90195"/>
    <w:rsid w:val="00D93F54"/>
    <w:rsid w:val="00D94735"/>
    <w:rsid w:val="00D94AED"/>
    <w:rsid w:val="00D95032"/>
    <w:rsid w:val="00D95513"/>
    <w:rsid w:val="00D95C29"/>
    <w:rsid w:val="00D963D5"/>
    <w:rsid w:val="00D96B37"/>
    <w:rsid w:val="00DA0E8C"/>
    <w:rsid w:val="00DA0EF4"/>
    <w:rsid w:val="00DA0FEC"/>
    <w:rsid w:val="00DA1406"/>
    <w:rsid w:val="00DA2ADE"/>
    <w:rsid w:val="00DA334B"/>
    <w:rsid w:val="00DA365F"/>
    <w:rsid w:val="00DA40BA"/>
    <w:rsid w:val="00DA448E"/>
    <w:rsid w:val="00DA4A17"/>
    <w:rsid w:val="00DA4BF5"/>
    <w:rsid w:val="00DA5D9E"/>
    <w:rsid w:val="00DA630C"/>
    <w:rsid w:val="00DA7289"/>
    <w:rsid w:val="00DA7E78"/>
    <w:rsid w:val="00DB00B9"/>
    <w:rsid w:val="00DB0D61"/>
    <w:rsid w:val="00DB1579"/>
    <w:rsid w:val="00DB18F1"/>
    <w:rsid w:val="00DB40E5"/>
    <w:rsid w:val="00DB4239"/>
    <w:rsid w:val="00DB43EA"/>
    <w:rsid w:val="00DB4DE2"/>
    <w:rsid w:val="00DB4F12"/>
    <w:rsid w:val="00DB5020"/>
    <w:rsid w:val="00DB5178"/>
    <w:rsid w:val="00DB64AD"/>
    <w:rsid w:val="00DB69EC"/>
    <w:rsid w:val="00DB74C8"/>
    <w:rsid w:val="00DC051B"/>
    <w:rsid w:val="00DC07B0"/>
    <w:rsid w:val="00DC1088"/>
    <w:rsid w:val="00DC160A"/>
    <w:rsid w:val="00DC1DC9"/>
    <w:rsid w:val="00DC34E4"/>
    <w:rsid w:val="00DC3B32"/>
    <w:rsid w:val="00DC5FF3"/>
    <w:rsid w:val="00DC6322"/>
    <w:rsid w:val="00DC7332"/>
    <w:rsid w:val="00DC7AB2"/>
    <w:rsid w:val="00DC7AEF"/>
    <w:rsid w:val="00DC7B31"/>
    <w:rsid w:val="00DD024A"/>
    <w:rsid w:val="00DD02B9"/>
    <w:rsid w:val="00DD0DC3"/>
    <w:rsid w:val="00DD1981"/>
    <w:rsid w:val="00DD1C8B"/>
    <w:rsid w:val="00DD1FD6"/>
    <w:rsid w:val="00DD236F"/>
    <w:rsid w:val="00DD29CA"/>
    <w:rsid w:val="00DD3589"/>
    <w:rsid w:val="00DD3DE8"/>
    <w:rsid w:val="00DD4554"/>
    <w:rsid w:val="00DD4983"/>
    <w:rsid w:val="00DD542A"/>
    <w:rsid w:val="00DD5472"/>
    <w:rsid w:val="00DD564E"/>
    <w:rsid w:val="00DD57CC"/>
    <w:rsid w:val="00DD62D1"/>
    <w:rsid w:val="00DD6389"/>
    <w:rsid w:val="00DD6662"/>
    <w:rsid w:val="00DD6E31"/>
    <w:rsid w:val="00DD74FA"/>
    <w:rsid w:val="00DD7518"/>
    <w:rsid w:val="00DD7A6D"/>
    <w:rsid w:val="00DD7E41"/>
    <w:rsid w:val="00DD7F27"/>
    <w:rsid w:val="00DE0CF7"/>
    <w:rsid w:val="00DE1628"/>
    <w:rsid w:val="00DE2F5E"/>
    <w:rsid w:val="00DE3CAE"/>
    <w:rsid w:val="00DE40AA"/>
    <w:rsid w:val="00DE444D"/>
    <w:rsid w:val="00DE49F8"/>
    <w:rsid w:val="00DE55B1"/>
    <w:rsid w:val="00DE57B6"/>
    <w:rsid w:val="00DE6188"/>
    <w:rsid w:val="00DE61AD"/>
    <w:rsid w:val="00DE67A8"/>
    <w:rsid w:val="00DE6900"/>
    <w:rsid w:val="00DE69B2"/>
    <w:rsid w:val="00DE6B09"/>
    <w:rsid w:val="00DE6E9F"/>
    <w:rsid w:val="00DE7BDF"/>
    <w:rsid w:val="00DE7DDA"/>
    <w:rsid w:val="00DF039A"/>
    <w:rsid w:val="00DF0842"/>
    <w:rsid w:val="00DF0895"/>
    <w:rsid w:val="00DF1892"/>
    <w:rsid w:val="00DF25EA"/>
    <w:rsid w:val="00DF2B2C"/>
    <w:rsid w:val="00DF4459"/>
    <w:rsid w:val="00DF455F"/>
    <w:rsid w:val="00DF474B"/>
    <w:rsid w:val="00DF5492"/>
    <w:rsid w:val="00DF6B46"/>
    <w:rsid w:val="00DF6F75"/>
    <w:rsid w:val="00DF6F98"/>
    <w:rsid w:val="00DF7757"/>
    <w:rsid w:val="00E02210"/>
    <w:rsid w:val="00E025DD"/>
    <w:rsid w:val="00E02C0A"/>
    <w:rsid w:val="00E045C6"/>
    <w:rsid w:val="00E04A12"/>
    <w:rsid w:val="00E053A1"/>
    <w:rsid w:val="00E05819"/>
    <w:rsid w:val="00E06519"/>
    <w:rsid w:val="00E067C4"/>
    <w:rsid w:val="00E06F34"/>
    <w:rsid w:val="00E071DC"/>
    <w:rsid w:val="00E101CF"/>
    <w:rsid w:val="00E10C8E"/>
    <w:rsid w:val="00E10ECA"/>
    <w:rsid w:val="00E1190A"/>
    <w:rsid w:val="00E1196E"/>
    <w:rsid w:val="00E11BC9"/>
    <w:rsid w:val="00E12688"/>
    <w:rsid w:val="00E13EA3"/>
    <w:rsid w:val="00E154BE"/>
    <w:rsid w:val="00E15976"/>
    <w:rsid w:val="00E15C68"/>
    <w:rsid w:val="00E15EF3"/>
    <w:rsid w:val="00E16690"/>
    <w:rsid w:val="00E16E08"/>
    <w:rsid w:val="00E201AD"/>
    <w:rsid w:val="00E204C1"/>
    <w:rsid w:val="00E20AE9"/>
    <w:rsid w:val="00E20F28"/>
    <w:rsid w:val="00E213A1"/>
    <w:rsid w:val="00E2186D"/>
    <w:rsid w:val="00E222BB"/>
    <w:rsid w:val="00E2236C"/>
    <w:rsid w:val="00E228DB"/>
    <w:rsid w:val="00E2292F"/>
    <w:rsid w:val="00E240A4"/>
    <w:rsid w:val="00E241C5"/>
    <w:rsid w:val="00E2531B"/>
    <w:rsid w:val="00E254CC"/>
    <w:rsid w:val="00E25AE9"/>
    <w:rsid w:val="00E25C41"/>
    <w:rsid w:val="00E2639B"/>
    <w:rsid w:val="00E2669F"/>
    <w:rsid w:val="00E27882"/>
    <w:rsid w:val="00E3004E"/>
    <w:rsid w:val="00E3125D"/>
    <w:rsid w:val="00E3127E"/>
    <w:rsid w:val="00E31810"/>
    <w:rsid w:val="00E31D9F"/>
    <w:rsid w:val="00E31F4A"/>
    <w:rsid w:val="00E32659"/>
    <w:rsid w:val="00E327A2"/>
    <w:rsid w:val="00E32883"/>
    <w:rsid w:val="00E351D0"/>
    <w:rsid w:val="00E351DD"/>
    <w:rsid w:val="00E35706"/>
    <w:rsid w:val="00E36E37"/>
    <w:rsid w:val="00E37791"/>
    <w:rsid w:val="00E37B1D"/>
    <w:rsid w:val="00E40670"/>
    <w:rsid w:val="00E40DB5"/>
    <w:rsid w:val="00E410B1"/>
    <w:rsid w:val="00E41595"/>
    <w:rsid w:val="00E4199B"/>
    <w:rsid w:val="00E4377C"/>
    <w:rsid w:val="00E4433D"/>
    <w:rsid w:val="00E45486"/>
    <w:rsid w:val="00E45722"/>
    <w:rsid w:val="00E45E54"/>
    <w:rsid w:val="00E461BC"/>
    <w:rsid w:val="00E465B8"/>
    <w:rsid w:val="00E47704"/>
    <w:rsid w:val="00E50184"/>
    <w:rsid w:val="00E503B3"/>
    <w:rsid w:val="00E50438"/>
    <w:rsid w:val="00E50EC3"/>
    <w:rsid w:val="00E50ED9"/>
    <w:rsid w:val="00E51799"/>
    <w:rsid w:val="00E51C40"/>
    <w:rsid w:val="00E5351B"/>
    <w:rsid w:val="00E543F4"/>
    <w:rsid w:val="00E55CC4"/>
    <w:rsid w:val="00E55DD5"/>
    <w:rsid w:val="00E55FE2"/>
    <w:rsid w:val="00E564F1"/>
    <w:rsid w:val="00E572D2"/>
    <w:rsid w:val="00E577AF"/>
    <w:rsid w:val="00E57BD5"/>
    <w:rsid w:val="00E60493"/>
    <w:rsid w:val="00E649D6"/>
    <w:rsid w:val="00E65C35"/>
    <w:rsid w:val="00E65E09"/>
    <w:rsid w:val="00E65E76"/>
    <w:rsid w:val="00E65FEA"/>
    <w:rsid w:val="00E660BC"/>
    <w:rsid w:val="00E6651D"/>
    <w:rsid w:val="00E66A47"/>
    <w:rsid w:val="00E67DCA"/>
    <w:rsid w:val="00E70A57"/>
    <w:rsid w:val="00E71367"/>
    <w:rsid w:val="00E71B92"/>
    <w:rsid w:val="00E720BC"/>
    <w:rsid w:val="00E73916"/>
    <w:rsid w:val="00E73BBE"/>
    <w:rsid w:val="00E73E96"/>
    <w:rsid w:val="00E7460C"/>
    <w:rsid w:val="00E75F37"/>
    <w:rsid w:val="00E766ED"/>
    <w:rsid w:val="00E76753"/>
    <w:rsid w:val="00E77181"/>
    <w:rsid w:val="00E77960"/>
    <w:rsid w:val="00E80705"/>
    <w:rsid w:val="00E81A22"/>
    <w:rsid w:val="00E828AE"/>
    <w:rsid w:val="00E82EA3"/>
    <w:rsid w:val="00E8304D"/>
    <w:rsid w:val="00E83071"/>
    <w:rsid w:val="00E83496"/>
    <w:rsid w:val="00E83562"/>
    <w:rsid w:val="00E83673"/>
    <w:rsid w:val="00E847BF"/>
    <w:rsid w:val="00E849B5"/>
    <w:rsid w:val="00E86DCE"/>
    <w:rsid w:val="00E8708F"/>
    <w:rsid w:val="00E87C5E"/>
    <w:rsid w:val="00E905E2"/>
    <w:rsid w:val="00E9107B"/>
    <w:rsid w:val="00E91AE1"/>
    <w:rsid w:val="00E9233F"/>
    <w:rsid w:val="00E92AE4"/>
    <w:rsid w:val="00E93A64"/>
    <w:rsid w:val="00E93B2B"/>
    <w:rsid w:val="00E95352"/>
    <w:rsid w:val="00E95F7A"/>
    <w:rsid w:val="00E9653F"/>
    <w:rsid w:val="00E96CFF"/>
    <w:rsid w:val="00E96ED7"/>
    <w:rsid w:val="00E97B1B"/>
    <w:rsid w:val="00E97BED"/>
    <w:rsid w:val="00EA0370"/>
    <w:rsid w:val="00EA04BA"/>
    <w:rsid w:val="00EA1404"/>
    <w:rsid w:val="00EA15AB"/>
    <w:rsid w:val="00EA1852"/>
    <w:rsid w:val="00EA1A5D"/>
    <w:rsid w:val="00EA2139"/>
    <w:rsid w:val="00EA2245"/>
    <w:rsid w:val="00EA2E37"/>
    <w:rsid w:val="00EA2ED9"/>
    <w:rsid w:val="00EA3794"/>
    <w:rsid w:val="00EA3DB0"/>
    <w:rsid w:val="00EA4313"/>
    <w:rsid w:val="00EA4415"/>
    <w:rsid w:val="00EA4BD1"/>
    <w:rsid w:val="00EA5101"/>
    <w:rsid w:val="00EA707D"/>
    <w:rsid w:val="00EA7277"/>
    <w:rsid w:val="00EA7A30"/>
    <w:rsid w:val="00EA7B07"/>
    <w:rsid w:val="00EB146C"/>
    <w:rsid w:val="00EB17B4"/>
    <w:rsid w:val="00EB1ED0"/>
    <w:rsid w:val="00EB33DD"/>
    <w:rsid w:val="00EB373A"/>
    <w:rsid w:val="00EB39B0"/>
    <w:rsid w:val="00EB3E4F"/>
    <w:rsid w:val="00EB3EDA"/>
    <w:rsid w:val="00EB490E"/>
    <w:rsid w:val="00EB497B"/>
    <w:rsid w:val="00EB7203"/>
    <w:rsid w:val="00EB74BF"/>
    <w:rsid w:val="00EB7773"/>
    <w:rsid w:val="00EB7C47"/>
    <w:rsid w:val="00EB7FCA"/>
    <w:rsid w:val="00EC065E"/>
    <w:rsid w:val="00EC075F"/>
    <w:rsid w:val="00EC09F5"/>
    <w:rsid w:val="00EC10AF"/>
    <w:rsid w:val="00EC1AD8"/>
    <w:rsid w:val="00EC25D9"/>
    <w:rsid w:val="00EC2CE9"/>
    <w:rsid w:val="00EC34F7"/>
    <w:rsid w:val="00EC359D"/>
    <w:rsid w:val="00EC49A7"/>
    <w:rsid w:val="00EC4CD4"/>
    <w:rsid w:val="00EC60C5"/>
    <w:rsid w:val="00EC616D"/>
    <w:rsid w:val="00EC62B8"/>
    <w:rsid w:val="00EC694A"/>
    <w:rsid w:val="00EC6AE6"/>
    <w:rsid w:val="00EC7301"/>
    <w:rsid w:val="00EC7366"/>
    <w:rsid w:val="00EC7936"/>
    <w:rsid w:val="00EC7C90"/>
    <w:rsid w:val="00EC7D39"/>
    <w:rsid w:val="00ED1042"/>
    <w:rsid w:val="00ED13B2"/>
    <w:rsid w:val="00ED14BD"/>
    <w:rsid w:val="00ED2028"/>
    <w:rsid w:val="00ED2722"/>
    <w:rsid w:val="00ED2E8D"/>
    <w:rsid w:val="00ED392C"/>
    <w:rsid w:val="00ED3A37"/>
    <w:rsid w:val="00ED422C"/>
    <w:rsid w:val="00ED4792"/>
    <w:rsid w:val="00ED4861"/>
    <w:rsid w:val="00ED4F47"/>
    <w:rsid w:val="00ED5779"/>
    <w:rsid w:val="00ED5D7F"/>
    <w:rsid w:val="00ED6008"/>
    <w:rsid w:val="00ED6AB2"/>
    <w:rsid w:val="00ED726F"/>
    <w:rsid w:val="00ED73B7"/>
    <w:rsid w:val="00EE0D82"/>
    <w:rsid w:val="00EE13F0"/>
    <w:rsid w:val="00EE16EF"/>
    <w:rsid w:val="00EE18ED"/>
    <w:rsid w:val="00EE1A10"/>
    <w:rsid w:val="00EE20E7"/>
    <w:rsid w:val="00EE224F"/>
    <w:rsid w:val="00EE36BE"/>
    <w:rsid w:val="00EE53F4"/>
    <w:rsid w:val="00EE5D10"/>
    <w:rsid w:val="00EE771C"/>
    <w:rsid w:val="00EE7B48"/>
    <w:rsid w:val="00EF03F6"/>
    <w:rsid w:val="00EF0D54"/>
    <w:rsid w:val="00EF0EBB"/>
    <w:rsid w:val="00EF2DAC"/>
    <w:rsid w:val="00EF2E9E"/>
    <w:rsid w:val="00EF2FBE"/>
    <w:rsid w:val="00EF337C"/>
    <w:rsid w:val="00EF45F7"/>
    <w:rsid w:val="00EF4CD2"/>
    <w:rsid w:val="00EF557E"/>
    <w:rsid w:val="00EF57F6"/>
    <w:rsid w:val="00EF747D"/>
    <w:rsid w:val="00EF752C"/>
    <w:rsid w:val="00F0094E"/>
    <w:rsid w:val="00F00B97"/>
    <w:rsid w:val="00F00FF0"/>
    <w:rsid w:val="00F011BB"/>
    <w:rsid w:val="00F01690"/>
    <w:rsid w:val="00F0283B"/>
    <w:rsid w:val="00F02BE4"/>
    <w:rsid w:val="00F0366A"/>
    <w:rsid w:val="00F03D58"/>
    <w:rsid w:val="00F041CE"/>
    <w:rsid w:val="00F0428E"/>
    <w:rsid w:val="00F045C7"/>
    <w:rsid w:val="00F04656"/>
    <w:rsid w:val="00F048FB"/>
    <w:rsid w:val="00F04CD6"/>
    <w:rsid w:val="00F04E96"/>
    <w:rsid w:val="00F05DF8"/>
    <w:rsid w:val="00F07C15"/>
    <w:rsid w:val="00F10F90"/>
    <w:rsid w:val="00F10FCA"/>
    <w:rsid w:val="00F11741"/>
    <w:rsid w:val="00F11B0F"/>
    <w:rsid w:val="00F11C81"/>
    <w:rsid w:val="00F13604"/>
    <w:rsid w:val="00F137DA"/>
    <w:rsid w:val="00F14236"/>
    <w:rsid w:val="00F14582"/>
    <w:rsid w:val="00F14B28"/>
    <w:rsid w:val="00F14DD9"/>
    <w:rsid w:val="00F15A6F"/>
    <w:rsid w:val="00F16D2E"/>
    <w:rsid w:val="00F175B4"/>
    <w:rsid w:val="00F17B86"/>
    <w:rsid w:val="00F17EA4"/>
    <w:rsid w:val="00F213A7"/>
    <w:rsid w:val="00F217B0"/>
    <w:rsid w:val="00F21A51"/>
    <w:rsid w:val="00F22099"/>
    <w:rsid w:val="00F22F3E"/>
    <w:rsid w:val="00F246B6"/>
    <w:rsid w:val="00F24E99"/>
    <w:rsid w:val="00F2518D"/>
    <w:rsid w:val="00F25646"/>
    <w:rsid w:val="00F258AF"/>
    <w:rsid w:val="00F25905"/>
    <w:rsid w:val="00F26860"/>
    <w:rsid w:val="00F274D9"/>
    <w:rsid w:val="00F27C28"/>
    <w:rsid w:val="00F27D6F"/>
    <w:rsid w:val="00F30163"/>
    <w:rsid w:val="00F30225"/>
    <w:rsid w:val="00F309D3"/>
    <w:rsid w:val="00F30BBD"/>
    <w:rsid w:val="00F31489"/>
    <w:rsid w:val="00F32AEF"/>
    <w:rsid w:val="00F32AF8"/>
    <w:rsid w:val="00F349B3"/>
    <w:rsid w:val="00F3529A"/>
    <w:rsid w:val="00F352C9"/>
    <w:rsid w:val="00F35F78"/>
    <w:rsid w:val="00F37099"/>
    <w:rsid w:val="00F37100"/>
    <w:rsid w:val="00F3727D"/>
    <w:rsid w:val="00F402C9"/>
    <w:rsid w:val="00F4083B"/>
    <w:rsid w:val="00F424E9"/>
    <w:rsid w:val="00F42756"/>
    <w:rsid w:val="00F42EB7"/>
    <w:rsid w:val="00F42F79"/>
    <w:rsid w:val="00F43007"/>
    <w:rsid w:val="00F435B0"/>
    <w:rsid w:val="00F43CE6"/>
    <w:rsid w:val="00F43D74"/>
    <w:rsid w:val="00F4458B"/>
    <w:rsid w:val="00F44BF0"/>
    <w:rsid w:val="00F45535"/>
    <w:rsid w:val="00F46AD9"/>
    <w:rsid w:val="00F50012"/>
    <w:rsid w:val="00F50237"/>
    <w:rsid w:val="00F506EC"/>
    <w:rsid w:val="00F52166"/>
    <w:rsid w:val="00F523FF"/>
    <w:rsid w:val="00F52568"/>
    <w:rsid w:val="00F527C6"/>
    <w:rsid w:val="00F5296D"/>
    <w:rsid w:val="00F52C22"/>
    <w:rsid w:val="00F5407F"/>
    <w:rsid w:val="00F54AEC"/>
    <w:rsid w:val="00F551A8"/>
    <w:rsid w:val="00F5628D"/>
    <w:rsid w:val="00F56673"/>
    <w:rsid w:val="00F56855"/>
    <w:rsid w:val="00F56BC8"/>
    <w:rsid w:val="00F5775C"/>
    <w:rsid w:val="00F60A32"/>
    <w:rsid w:val="00F61258"/>
    <w:rsid w:val="00F61389"/>
    <w:rsid w:val="00F62F1A"/>
    <w:rsid w:val="00F630AD"/>
    <w:rsid w:val="00F630B6"/>
    <w:rsid w:val="00F63232"/>
    <w:rsid w:val="00F64A9D"/>
    <w:rsid w:val="00F654D8"/>
    <w:rsid w:val="00F66B2E"/>
    <w:rsid w:val="00F67B1D"/>
    <w:rsid w:val="00F70020"/>
    <w:rsid w:val="00F70BC3"/>
    <w:rsid w:val="00F70D59"/>
    <w:rsid w:val="00F70F82"/>
    <w:rsid w:val="00F713DC"/>
    <w:rsid w:val="00F714D8"/>
    <w:rsid w:val="00F715FA"/>
    <w:rsid w:val="00F727E5"/>
    <w:rsid w:val="00F72F69"/>
    <w:rsid w:val="00F73636"/>
    <w:rsid w:val="00F73FC7"/>
    <w:rsid w:val="00F744C9"/>
    <w:rsid w:val="00F74D30"/>
    <w:rsid w:val="00F756D4"/>
    <w:rsid w:val="00F75D6F"/>
    <w:rsid w:val="00F75F2E"/>
    <w:rsid w:val="00F763BF"/>
    <w:rsid w:val="00F765C1"/>
    <w:rsid w:val="00F767D7"/>
    <w:rsid w:val="00F770CA"/>
    <w:rsid w:val="00F77734"/>
    <w:rsid w:val="00F77749"/>
    <w:rsid w:val="00F77AEB"/>
    <w:rsid w:val="00F80364"/>
    <w:rsid w:val="00F80A37"/>
    <w:rsid w:val="00F813A8"/>
    <w:rsid w:val="00F81CA3"/>
    <w:rsid w:val="00F81FFD"/>
    <w:rsid w:val="00F83B4E"/>
    <w:rsid w:val="00F84CD3"/>
    <w:rsid w:val="00F85282"/>
    <w:rsid w:val="00F854C8"/>
    <w:rsid w:val="00F85CB6"/>
    <w:rsid w:val="00F86DDC"/>
    <w:rsid w:val="00F87030"/>
    <w:rsid w:val="00F87CB5"/>
    <w:rsid w:val="00F87DE3"/>
    <w:rsid w:val="00F902DC"/>
    <w:rsid w:val="00F90334"/>
    <w:rsid w:val="00F90B18"/>
    <w:rsid w:val="00F90DB0"/>
    <w:rsid w:val="00F90FCF"/>
    <w:rsid w:val="00F916BB"/>
    <w:rsid w:val="00F91B47"/>
    <w:rsid w:val="00F91FD8"/>
    <w:rsid w:val="00F92269"/>
    <w:rsid w:val="00F922B3"/>
    <w:rsid w:val="00F9231A"/>
    <w:rsid w:val="00F92551"/>
    <w:rsid w:val="00F9256E"/>
    <w:rsid w:val="00F93549"/>
    <w:rsid w:val="00F9369D"/>
    <w:rsid w:val="00F937C6"/>
    <w:rsid w:val="00F93A41"/>
    <w:rsid w:val="00F93D23"/>
    <w:rsid w:val="00F94C13"/>
    <w:rsid w:val="00F95155"/>
    <w:rsid w:val="00F95861"/>
    <w:rsid w:val="00F9645D"/>
    <w:rsid w:val="00F97CD6"/>
    <w:rsid w:val="00FA01FB"/>
    <w:rsid w:val="00FA1040"/>
    <w:rsid w:val="00FA1C92"/>
    <w:rsid w:val="00FA1F62"/>
    <w:rsid w:val="00FA2533"/>
    <w:rsid w:val="00FA299D"/>
    <w:rsid w:val="00FA52D0"/>
    <w:rsid w:val="00FA669A"/>
    <w:rsid w:val="00FA673D"/>
    <w:rsid w:val="00FA6EF2"/>
    <w:rsid w:val="00FA7CD1"/>
    <w:rsid w:val="00FB0651"/>
    <w:rsid w:val="00FB0B0C"/>
    <w:rsid w:val="00FB0B90"/>
    <w:rsid w:val="00FB0D96"/>
    <w:rsid w:val="00FB17B6"/>
    <w:rsid w:val="00FB1C44"/>
    <w:rsid w:val="00FB1F1F"/>
    <w:rsid w:val="00FB2127"/>
    <w:rsid w:val="00FB2354"/>
    <w:rsid w:val="00FB35D7"/>
    <w:rsid w:val="00FB3CCA"/>
    <w:rsid w:val="00FB3D2B"/>
    <w:rsid w:val="00FB406A"/>
    <w:rsid w:val="00FB420B"/>
    <w:rsid w:val="00FB424B"/>
    <w:rsid w:val="00FB4838"/>
    <w:rsid w:val="00FB61AE"/>
    <w:rsid w:val="00FB6BB6"/>
    <w:rsid w:val="00FB6C11"/>
    <w:rsid w:val="00FB70CB"/>
    <w:rsid w:val="00FB7B50"/>
    <w:rsid w:val="00FC0943"/>
    <w:rsid w:val="00FC10B5"/>
    <w:rsid w:val="00FC1B8C"/>
    <w:rsid w:val="00FC1FB3"/>
    <w:rsid w:val="00FC2555"/>
    <w:rsid w:val="00FC2C4D"/>
    <w:rsid w:val="00FC33B9"/>
    <w:rsid w:val="00FC38B6"/>
    <w:rsid w:val="00FC3A20"/>
    <w:rsid w:val="00FC3EE1"/>
    <w:rsid w:val="00FC495C"/>
    <w:rsid w:val="00FC524A"/>
    <w:rsid w:val="00FC55E4"/>
    <w:rsid w:val="00FC5A8F"/>
    <w:rsid w:val="00FC5D91"/>
    <w:rsid w:val="00FC67E4"/>
    <w:rsid w:val="00FC6B3A"/>
    <w:rsid w:val="00FC7954"/>
    <w:rsid w:val="00FC79A1"/>
    <w:rsid w:val="00FD0370"/>
    <w:rsid w:val="00FD0743"/>
    <w:rsid w:val="00FD1397"/>
    <w:rsid w:val="00FD25DB"/>
    <w:rsid w:val="00FD27DA"/>
    <w:rsid w:val="00FD287B"/>
    <w:rsid w:val="00FD2B63"/>
    <w:rsid w:val="00FD3510"/>
    <w:rsid w:val="00FD3939"/>
    <w:rsid w:val="00FD3C0D"/>
    <w:rsid w:val="00FD3D66"/>
    <w:rsid w:val="00FD416E"/>
    <w:rsid w:val="00FD460E"/>
    <w:rsid w:val="00FD4861"/>
    <w:rsid w:val="00FD55BA"/>
    <w:rsid w:val="00FD58DB"/>
    <w:rsid w:val="00FD685A"/>
    <w:rsid w:val="00FD695A"/>
    <w:rsid w:val="00FD73EB"/>
    <w:rsid w:val="00FE0484"/>
    <w:rsid w:val="00FE1248"/>
    <w:rsid w:val="00FE1403"/>
    <w:rsid w:val="00FE18C5"/>
    <w:rsid w:val="00FE33AB"/>
    <w:rsid w:val="00FE474E"/>
    <w:rsid w:val="00FE56EC"/>
    <w:rsid w:val="00FE5EAF"/>
    <w:rsid w:val="00FE5F76"/>
    <w:rsid w:val="00FE6003"/>
    <w:rsid w:val="00FE6A33"/>
    <w:rsid w:val="00FE6FB8"/>
    <w:rsid w:val="00FE73DA"/>
    <w:rsid w:val="00FE7976"/>
    <w:rsid w:val="00FF0268"/>
    <w:rsid w:val="00FF05FD"/>
    <w:rsid w:val="00FF0CB5"/>
    <w:rsid w:val="00FF0DC0"/>
    <w:rsid w:val="00FF0DF6"/>
    <w:rsid w:val="00FF1834"/>
    <w:rsid w:val="00FF1EBE"/>
    <w:rsid w:val="00FF2F05"/>
    <w:rsid w:val="00FF3D77"/>
    <w:rsid w:val="00FF49A2"/>
    <w:rsid w:val="00FF4EB1"/>
    <w:rsid w:val="00FF5F12"/>
    <w:rsid w:val="00FF60FE"/>
    <w:rsid w:val="00FF6D55"/>
    <w:rsid w:val="00FF707F"/>
    <w:rsid w:val="00FF7712"/>
    <w:rsid w:val="00FF785D"/>
    <w:rsid w:val="00FF7F77"/>
    <w:rsid w:val="011D0972"/>
    <w:rsid w:val="02674DD0"/>
    <w:rsid w:val="02AD3EF5"/>
    <w:rsid w:val="03632446"/>
    <w:rsid w:val="04271640"/>
    <w:rsid w:val="062D1E93"/>
    <w:rsid w:val="06AA566B"/>
    <w:rsid w:val="073A38EF"/>
    <w:rsid w:val="074262DE"/>
    <w:rsid w:val="07916EF1"/>
    <w:rsid w:val="079E4771"/>
    <w:rsid w:val="08FE5102"/>
    <w:rsid w:val="09455C02"/>
    <w:rsid w:val="09C61A44"/>
    <w:rsid w:val="09FC52AB"/>
    <w:rsid w:val="0A1A1896"/>
    <w:rsid w:val="0A27045E"/>
    <w:rsid w:val="0A362932"/>
    <w:rsid w:val="0AD6427A"/>
    <w:rsid w:val="0B27418B"/>
    <w:rsid w:val="0D71611B"/>
    <w:rsid w:val="0DB77F9B"/>
    <w:rsid w:val="0E6A23D2"/>
    <w:rsid w:val="0E763CA3"/>
    <w:rsid w:val="0E8E5CCB"/>
    <w:rsid w:val="0EEE3025"/>
    <w:rsid w:val="0F2E6B74"/>
    <w:rsid w:val="0F6A09E6"/>
    <w:rsid w:val="0F904E6E"/>
    <w:rsid w:val="0FAC5A97"/>
    <w:rsid w:val="11197B28"/>
    <w:rsid w:val="1168435B"/>
    <w:rsid w:val="124D21A6"/>
    <w:rsid w:val="13045FCA"/>
    <w:rsid w:val="13C14925"/>
    <w:rsid w:val="15B70362"/>
    <w:rsid w:val="161859F8"/>
    <w:rsid w:val="16820858"/>
    <w:rsid w:val="16E40183"/>
    <w:rsid w:val="16EC657A"/>
    <w:rsid w:val="18281A91"/>
    <w:rsid w:val="186A53D8"/>
    <w:rsid w:val="18893BD1"/>
    <w:rsid w:val="18A40778"/>
    <w:rsid w:val="18BD074A"/>
    <w:rsid w:val="1B5103C0"/>
    <w:rsid w:val="1C6E08F4"/>
    <w:rsid w:val="1C6F62B3"/>
    <w:rsid w:val="1D2B472F"/>
    <w:rsid w:val="1D6D772D"/>
    <w:rsid w:val="1DA653E3"/>
    <w:rsid w:val="1DD1531E"/>
    <w:rsid w:val="1DF74D16"/>
    <w:rsid w:val="1E023B28"/>
    <w:rsid w:val="1F300200"/>
    <w:rsid w:val="21150927"/>
    <w:rsid w:val="216C683D"/>
    <w:rsid w:val="2170052F"/>
    <w:rsid w:val="22D4434E"/>
    <w:rsid w:val="24134DC4"/>
    <w:rsid w:val="24243914"/>
    <w:rsid w:val="24CB1098"/>
    <w:rsid w:val="250B2181"/>
    <w:rsid w:val="25223FE3"/>
    <w:rsid w:val="258D5E9D"/>
    <w:rsid w:val="273D59D9"/>
    <w:rsid w:val="28031F06"/>
    <w:rsid w:val="28135EF9"/>
    <w:rsid w:val="281A385A"/>
    <w:rsid w:val="28AB7339"/>
    <w:rsid w:val="29093D3F"/>
    <w:rsid w:val="2B887F9E"/>
    <w:rsid w:val="2B936ACC"/>
    <w:rsid w:val="2BAF41E1"/>
    <w:rsid w:val="2C1F083A"/>
    <w:rsid w:val="2D623D48"/>
    <w:rsid w:val="2D7943DE"/>
    <w:rsid w:val="2DDE7E5A"/>
    <w:rsid w:val="2DEC0A1B"/>
    <w:rsid w:val="2E017F89"/>
    <w:rsid w:val="2E8F58BE"/>
    <w:rsid w:val="2EAB1026"/>
    <w:rsid w:val="30753333"/>
    <w:rsid w:val="311630BF"/>
    <w:rsid w:val="31BD4434"/>
    <w:rsid w:val="34EA5B39"/>
    <w:rsid w:val="354B63FC"/>
    <w:rsid w:val="37417DBE"/>
    <w:rsid w:val="38664725"/>
    <w:rsid w:val="38DF41AF"/>
    <w:rsid w:val="39F45371"/>
    <w:rsid w:val="3BD92441"/>
    <w:rsid w:val="3D6467BD"/>
    <w:rsid w:val="3DAB72BB"/>
    <w:rsid w:val="3E974FCF"/>
    <w:rsid w:val="3F746C97"/>
    <w:rsid w:val="3FD32649"/>
    <w:rsid w:val="401441F6"/>
    <w:rsid w:val="40A90DE9"/>
    <w:rsid w:val="40B66AAE"/>
    <w:rsid w:val="40EA3236"/>
    <w:rsid w:val="42163CED"/>
    <w:rsid w:val="448C4445"/>
    <w:rsid w:val="45590125"/>
    <w:rsid w:val="4632206D"/>
    <w:rsid w:val="46755674"/>
    <w:rsid w:val="47737318"/>
    <w:rsid w:val="47C306B8"/>
    <w:rsid w:val="48173549"/>
    <w:rsid w:val="48442242"/>
    <w:rsid w:val="48EC3119"/>
    <w:rsid w:val="49DE04CA"/>
    <w:rsid w:val="4B87432B"/>
    <w:rsid w:val="4DDC5D52"/>
    <w:rsid w:val="4F1C242F"/>
    <w:rsid w:val="50D92CB8"/>
    <w:rsid w:val="514C7285"/>
    <w:rsid w:val="529F2746"/>
    <w:rsid w:val="53D155B2"/>
    <w:rsid w:val="5407042F"/>
    <w:rsid w:val="546416E7"/>
    <w:rsid w:val="54CD22D0"/>
    <w:rsid w:val="55291162"/>
    <w:rsid w:val="5636720D"/>
    <w:rsid w:val="56F14492"/>
    <w:rsid w:val="5889222B"/>
    <w:rsid w:val="59103EC3"/>
    <w:rsid w:val="594C2587"/>
    <w:rsid w:val="5AD62798"/>
    <w:rsid w:val="5C91181F"/>
    <w:rsid w:val="5D245F5B"/>
    <w:rsid w:val="5E496BC7"/>
    <w:rsid w:val="5E703640"/>
    <w:rsid w:val="5E8C187A"/>
    <w:rsid w:val="5EF855A9"/>
    <w:rsid w:val="5EFC3AE3"/>
    <w:rsid w:val="5F6B2706"/>
    <w:rsid w:val="5FEA09FA"/>
    <w:rsid w:val="613A3DCB"/>
    <w:rsid w:val="632517DE"/>
    <w:rsid w:val="6468252A"/>
    <w:rsid w:val="660939C4"/>
    <w:rsid w:val="66BA6F9C"/>
    <w:rsid w:val="67637986"/>
    <w:rsid w:val="684028E2"/>
    <w:rsid w:val="6A015B77"/>
    <w:rsid w:val="6A844358"/>
    <w:rsid w:val="6AA86EF2"/>
    <w:rsid w:val="6BC14B80"/>
    <w:rsid w:val="6CE12CFA"/>
    <w:rsid w:val="6DF9479C"/>
    <w:rsid w:val="6DFD34B6"/>
    <w:rsid w:val="6F1514E2"/>
    <w:rsid w:val="6FE06B2C"/>
    <w:rsid w:val="6FE12A56"/>
    <w:rsid w:val="72524148"/>
    <w:rsid w:val="725725A7"/>
    <w:rsid w:val="72D93B19"/>
    <w:rsid w:val="74276481"/>
    <w:rsid w:val="74907D38"/>
    <w:rsid w:val="75656DD4"/>
    <w:rsid w:val="75C4034F"/>
    <w:rsid w:val="765C0122"/>
    <w:rsid w:val="76677919"/>
    <w:rsid w:val="7797187A"/>
    <w:rsid w:val="77E67927"/>
    <w:rsid w:val="7AB34948"/>
    <w:rsid w:val="7AFC3502"/>
    <w:rsid w:val="7C294286"/>
    <w:rsid w:val="7C6F3DBE"/>
    <w:rsid w:val="7E9167C2"/>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0" w:name="List Continue 4"/>
    <w:lsdException w:uiPriority="0" w:name="List Continue 5"/>
    <w:lsdException w:qFormat="1" w:unhideWhenUsed="0" w:uiPriority="0" w:semiHidden="0" w:name="Message Header"/>
    <w:lsdException w:qFormat="1" w:unhideWhenUsed="0" w:uiPriority="11"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qFormat="1" w:unhideWhenUsed="0" w:uiPriority="0" w:semiHidden="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8"/>
    <w:qFormat/>
    <w:uiPriority w:val="0"/>
    <w:pPr>
      <w:keepNext/>
      <w:keepLines/>
      <w:spacing w:line="360" w:lineRule="auto"/>
      <w:outlineLvl w:val="0"/>
    </w:pPr>
    <w:rPr>
      <w:b/>
      <w:bCs/>
      <w:kern w:val="44"/>
      <w:sz w:val="32"/>
      <w:szCs w:val="44"/>
    </w:rPr>
  </w:style>
  <w:style w:type="paragraph" w:styleId="5">
    <w:name w:val="heading 2"/>
    <w:basedOn w:val="1"/>
    <w:next w:val="1"/>
    <w:link w:val="79"/>
    <w:qFormat/>
    <w:uiPriority w:val="9"/>
    <w:pPr>
      <w:keepNext/>
      <w:keepLines/>
      <w:widowControl/>
      <w:spacing w:before="260" w:after="260" w:line="413" w:lineRule="auto"/>
      <w:jc w:val="left"/>
      <w:outlineLvl w:val="1"/>
    </w:pPr>
    <w:rPr>
      <w:rFonts w:ascii="Arial" w:hAnsi="Arial" w:eastAsia="黑体"/>
      <w:b/>
      <w:bCs/>
      <w:kern w:val="0"/>
      <w:sz w:val="32"/>
      <w:szCs w:val="32"/>
    </w:rPr>
  </w:style>
  <w:style w:type="paragraph" w:styleId="6">
    <w:name w:val="heading 3"/>
    <w:basedOn w:val="1"/>
    <w:next w:val="1"/>
    <w:link w:val="80"/>
    <w:qFormat/>
    <w:uiPriority w:val="0"/>
    <w:pPr>
      <w:keepNext/>
      <w:keepLines/>
      <w:spacing w:line="360" w:lineRule="auto"/>
      <w:outlineLvl w:val="2"/>
    </w:pPr>
    <w:rPr>
      <w:b/>
      <w:bCs/>
      <w:sz w:val="24"/>
      <w:szCs w:val="32"/>
    </w:rPr>
  </w:style>
  <w:style w:type="paragraph" w:styleId="7">
    <w:name w:val="heading 4"/>
    <w:basedOn w:val="1"/>
    <w:next w:val="1"/>
    <w:link w:val="81"/>
    <w:qFormat/>
    <w:uiPriority w:val="0"/>
    <w:pPr>
      <w:keepNext/>
      <w:keepLines/>
      <w:spacing w:line="360" w:lineRule="auto"/>
      <w:outlineLvl w:val="3"/>
    </w:pPr>
    <w:rPr>
      <w:rFonts w:ascii="Arial" w:hAnsi="Arial"/>
      <w:b/>
      <w:bCs/>
      <w:szCs w:val="28"/>
    </w:rPr>
  </w:style>
  <w:style w:type="paragraph" w:styleId="8">
    <w:name w:val="heading 5"/>
    <w:basedOn w:val="1"/>
    <w:next w:val="1"/>
    <w:link w:val="82"/>
    <w:qFormat/>
    <w:uiPriority w:val="0"/>
    <w:pPr>
      <w:keepNext/>
      <w:keepLines/>
      <w:widowControl/>
      <w:spacing w:before="280" w:after="290" w:line="372" w:lineRule="auto"/>
      <w:jc w:val="left"/>
      <w:outlineLvl w:val="4"/>
    </w:pPr>
    <w:rPr>
      <w:b/>
      <w:bCs/>
      <w:kern w:val="0"/>
      <w:sz w:val="28"/>
      <w:szCs w:val="28"/>
    </w:rPr>
  </w:style>
  <w:style w:type="paragraph" w:styleId="9">
    <w:name w:val="heading 6"/>
    <w:basedOn w:val="1"/>
    <w:next w:val="1"/>
    <w:link w:val="83"/>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10">
    <w:name w:val="heading 7"/>
    <w:basedOn w:val="1"/>
    <w:next w:val="1"/>
    <w:link w:val="84"/>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11">
    <w:name w:val="heading 8"/>
    <w:basedOn w:val="1"/>
    <w:next w:val="1"/>
    <w:link w:val="85"/>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2">
    <w:name w:val="heading 9"/>
    <w:basedOn w:val="1"/>
    <w:next w:val="1"/>
    <w:link w:val="86"/>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65">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7"/>
    <w:qFormat/>
    <w:uiPriority w:val="99"/>
    <w:pPr>
      <w:widowControl w:val="0"/>
      <w:ind w:left="200" w:leftChars="200" w:firstLine="420" w:firstLineChars="200"/>
      <w:jc w:val="both"/>
    </w:pPr>
    <w:rPr>
      <w:kern w:val="2"/>
      <w:sz w:val="21"/>
      <w:szCs w:val="24"/>
    </w:rPr>
  </w:style>
  <w:style w:type="paragraph" w:styleId="3">
    <w:name w:val="Body Text Indent"/>
    <w:basedOn w:val="1"/>
    <w:link w:val="76"/>
    <w:qFormat/>
    <w:uiPriority w:val="0"/>
    <w:pPr>
      <w:widowControl/>
      <w:spacing w:after="120"/>
      <w:ind w:left="420"/>
      <w:jc w:val="left"/>
    </w:pPr>
    <w:rPr>
      <w:kern w:val="0"/>
      <w:sz w:val="20"/>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39"/>
    <w:pPr>
      <w:widowControl/>
      <w:ind w:left="1200"/>
      <w:jc w:val="left"/>
    </w:pPr>
    <w:rPr>
      <w:kern w:val="0"/>
      <w:sz w:val="18"/>
      <w:szCs w:val="18"/>
    </w:rPr>
  </w:style>
  <w:style w:type="paragraph" w:styleId="15">
    <w:name w:val="table of authorities"/>
    <w:basedOn w:val="1"/>
    <w:next w:val="1"/>
    <w:qFormat/>
    <w:uiPriority w:val="0"/>
    <w:pPr>
      <w:ind w:left="420" w:leftChars="200"/>
    </w:pPr>
  </w:style>
  <w:style w:type="paragraph" w:styleId="16">
    <w:name w:val="Normal Indent"/>
    <w:basedOn w:val="1"/>
    <w:link w:val="87"/>
    <w:qFormat/>
    <w:uiPriority w:val="99"/>
    <w:pPr>
      <w:widowControl/>
      <w:ind w:firstLine="420"/>
      <w:jc w:val="left"/>
    </w:pPr>
    <w:rPr>
      <w:kern w:val="0"/>
      <w:sz w:val="20"/>
      <w:szCs w:val="20"/>
    </w:rPr>
  </w:style>
  <w:style w:type="paragraph" w:styleId="17">
    <w:name w:val="caption"/>
    <w:basedOn w:val="1"/>
    <w:next w:val="1"/>
    <w:qFormat/>
    <w:uiPriority w:val="35"/>
    <w:rPr>
      <w:rFonts w:ascii="Arial" w:hAnsi="Arial" w:eastAsia="黑体" w:cs="Arial"/>
      <w:sz w:val="20"/>
      <w:szCs w:val="20"/>
    </w:rPr>
  </w:style>
  <w:style w:type="paragraph" w:styleId="18">
    <w:name w:val="List Bullet"/>
    <w:basedOn w:val="1"/>
    <w:qFormat/>
    <w:uiPriority w:val="0"/>
    <w:pPr>
      <w:tabs>
        <w:tab w:val="left" w:pos="360"/>
      </w:tabs>
      <w:spacing w:line="360" w:lineRule="auto"/>
      <w:ind w:firstLine="200" w:firstLineChars="200"/>
    </w:pPr>
  </w:style>
  <w:style w:type="paragraph" w:styleId="19">
    <w:name w:val="Document Map"/>
    <w:basedOn w:val="1"/>
    <w:link w:val="88"/>
    <w:qFormat/>
    <w:uiPriority w:val="99"/>
    <w:pPr>
      <w:shd w:val="clear" w:color="auto" w:fill="000080"/>
    </w:p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89"/>
    <w:qFormat/>
    <w:uiPriority w:val="99"/>
    <w:pPr>
      <w:adjustRightInd w:val="0"/>
      <w:spacing w:line="360" w:lineRule="atLeast"/>
      <w:jc w:val="left"/>
      <w:textAlignment w:val="baseline"/>
    </w:pPr>
    <w:rPr>
      <w:kern w:val="0"/>
      <w:sz w:val="24"/>
      <w:szCs w:val="20"/>
    </w:rPr>
  </w:style>
  <w:style w:type="paragraph" w:styleId="22">
    <w:name w:val="Body Text 3"/>
    <w:basedOn w:val="1"/>
    <w:link w:val="90"/>
    <w:qFormat/>
    <w:uiPriority w:val="0"/>
    <w:pPr>
      <w:widowControl/>
      <w:spacing w:after="120"/>
      <w:jc w:val="left"/>
    </w:pPr>
    <w:rPr>
      <w:kern w:val="0"/>
      <w:sz w:val="16"/>
      <w:szCs w:val="16"/>
    </w:rPr>
  </w:style>
  <w:style w:type="paragraph" w:styleId="23">
    <w:name w:val="Body Text"/>
    <w:basedOn w:val="1"/>
    <w:link w:val="91"/>
    <w:qFormat/>
    <w:uiPriority w:val="0"/>
    <w:pPr>
      <w:widowControl/>
      <w:spacing w:after="120"/>
      <w:jc w:val="left"/>
    </w:pPr>
    <w:rPr>
      <w:kern w:val="0"/>
      <w:sz w:val="20"/>
      <w:szCs w:val="20"/>
    </w:rPr>
  </w:style>
  <w:style w:type="paragraph" w:styleId="24">
    <w:name w:val="List 2"/>
    <w:basedOn w:val="1"/>
    <w:qFormat/>
    <w:uiPriority w:val="0"/>
    <w:pPr>
      <w:ind w:left="100" w:leftChars="200" w:hanging="200" w:hangingChars="200"/>
    </w:pPr>
  </w:style>
  <w:style w:type="paragraph" w:styleId="25">
    <w:name w:val="List Continue"/>
    <w:basedOn w:val="1"/>
    <w:qFormat/>
    <w:uiPriority w:val="0"/>
    <w:pPr>
      <w:spacing w:after="120"/>
      <w:ind w:left="420" w:leftChars="200"/>
    </w:pPr>
  </w:style>
  <w:style w:type="paragraph" w:styleId="26">
    <w:name w:val="Block Text"/>
    <w:basedOn w:val="1"/>
    <w:qFormat/>
    <w:uiPriority w:val="0"/>
    <w:pPr>
      <w:widowControl/>
      <w:spacing w:after="120"/>
      <w:ind w:left="1440" w:right="1440"/>
      <w:jc w:val="left"/>
    </w:pPr>
    <w:rPr>
      <w:kern w:val="0"/>
      <w:sz w:val="20"/>
      <w:szCs w:val="20"/>
    </w:rPr>
  </w:style>
  <w:style w:type="paragraph" w:styleId="27">
    <w:name w:val="index 4"/>
    <w:basedOn w:val="1"/>
    <w:next w:val="1"/>
    <w:qFormat/>
    <w:uiPriority w:val="0"/>
    <w:pPr>
      <w:ind w:left="600" w:leftChars="600"/>
    </w:pPr>
  </w:style>
  <w:style w:type="paragraph" w:styleId="28">
    <w:name w:val="toc 5"/>
    <w:basedOn w:val="1"/>
    <w:next w:val="1"/>
    <w:qFormat/>
    <w:uiPriority w:val="39"/>
    <w:pPr>
      <w:widowControl/>
      <w:ind w:left="800"/>
      <w:jc w:val="left"/>
    </w:pPr>
    <w:rPr>
      <w:kern w:val="0"/>
      <w:sz w:val="18"/>
      <w:szCs w:val="18"/>
    </w:rPr>
  </w:style>
  <w:style w:type="paragraph" w:styleId="29">
    <w:name w:val="toc 3"/>
    <w:basedOn w:val="1"/>
    <w:next w:val="1"/>
    <w:qFormat/>
    <w:uiPriority w:val="39"/>
    <w:pPr>
      <w:ind w:left="840" w:leftChars="400"/>
    </w:pPr>
  </w:style>
  <w:style w:type="paragraph" w:styleId="30">
    <w:name w:val="Plain Text"/>
    <w:basedOn w:val="1"/>
    <w:link w:val="92"/>
    <w:qFormat/>
    <w:uiPriority w:val="0"/>
    <w:rPr>
      <w:rFonts w:ascii="宋体" w:hAnsi="Courier New"/>
      <w:szCs w:val="20"/>
    </w:rPr>
  </w:style>
  <w:style w:type="paragraph" w:styleId="31">
    <w:name w:val="toc 8"/>
    <w:basedOn w:val="1"/>
    <w:next w:val="1"/>
    <w:qFormat/>
    <w:uiPriority w:val="39"/>
    <w:pPr>
      <w:widowControl/>
      <w:ind w:left="1400"/>
      <w:jc w:val="left"/>
    </w:pPr>
    <w:rPr>
      <w:kern w:val="0"/>
      <w:sz w:val="18"/>
      <w:szCs w:val="18"/>
    </w:rPr>
  </w:style>
  <w:style w:type="paragraph" w:styleId="32">
    <w:name w:val="index 3"/>
    <w:basedOn w:val="1"/>
    <w:next w:val="1"/>
    <w:qFormat/>
    <w:uiPriority w:val="0"/>
    <w:pPr>
      <w:widowControl/>
      <w:tabs>
        <w:tab w:val="left" w:pos="360"/>
      </w:tabs>
      <w:overflowPunct w:val="0"/>
      <w:snapToGrid w:val="0"/>
      <w:spacing w:after="200" w:line="480" w:lineRule="exact"/>
      <w:ind w:firstLine="200" w:firstLineChars="200"/>
      <w:jc w:val="left"/>
    </w:pPr>
    <w:rPr>
      <w:rFonts w:ascii="Arial" w:hAnsi="Arial" w:eastAsia="仿宋_GB2312"/>
      <w:kern w:val="0"/>
      <w:sz w:val="28"/>
      <w:lang w:eastAsia="en-US" w:bidi="en-US"/>
    </w:rPr>
  </w:style>
  <w:style w:type="paragraph" w:styleId="33">
    <w:name w:val="Date"/>
    <w:basedOn w:val="1"/>
    <w:next w:val="1"/>
    <w:link w:val="93"/>
    <w:qFormat/>
    <w:uiPriority w:val="99"/>
    <w:rPr>
      <w:sz w:val="24"/>
      <w:szCs w:val="20"/>
    </w:rPr>
  </w:style>
  <w:style w:type="paragraph" w:styleId="34">
    <w:name w:val="Body Text Indent 2"/>
    <w:basedOn w:val="1"/>
    <w:link w:val="94"/>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35">
    <w:name w:val="endnote text"/>
    <w:basedOn w:val="1"/>
    <w:link w:val="95"/>
    <w:qFormat/>
    <w:uiPriority w:val="99"/>
    <w:pPr>
      <w:snapToGrid w:val="0"/>
      <w:jc w:val="left"/>
    </w:pPr>
    <w:rPr>
      <w:kern w:val="0"/>
      <w:sz w:val="20"/>
    </w:rPr>
  </w:style>
  <w:style w:type="paragraph" w:styleId="36">
    <w:name w:val="Balloon Text"/>
    <w:basedOn w:val="1"/>
    <w:link w:val="96"/>
    <w:qFormat/>
    <w:uiPriority w:val="99"/>
    <w:pPr>
      <w:widowControl/>
      <w:jc w:val="left"/>
    </w:pPr>
    <w:rPr>
      <w:kern w:val="0"/>
      <w:sz w:val="18"/>
      <w:szCs w:val="18"/>
    </w:rPr>
  </w:style>
  <w:style w:type="paragraph" w:styleId="37">
    <w:name w:val="footer"/>
    <w:basedOn w:val="1"/>
    <w:link w:val="97"/>
    <w:qFormat/>
    <w:uiPriority w:val="99"/>
    <w:pPr>
      <w:tabs>
        <w:tab w:val="center" w:pos="4153"/>
        <w:tab w:val="right" w:pos="8306"/>
      </w:tabs>
      <w:snapToGrid w:val="0"/>
      <w:jc w:val="left"/>
    </w:pPr>
    <w:rPr>
      <w:sz w:val="18"/>
      <w:szCs w:val="18"/>
    </w:rPr>
  </w:style>
  <w:style w:type="paragraph" w:styleId="38">
    <w:name w:val="header"/>
    <w:basedOn w:val="1"/>
    <w:link w:val="98"/>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style>
  <w:style w:type="paragraph" w:styleId="40">
    <w:name w:val="toc 4"/>
    <w:basedOn w:val="1"/>
    <w:next w:val="1"/>
    <w:qFormat/>
    <w:uiPriority w:val="39"/>
    <w:pPr>
      <w:widowControl/>
      <w:ind w:left="600"/>
      <w:jc w:val="left"/>
    </w:pPr>
    <w:rPr>
      <w:kern w:val="0"/>
      <w:sz w:val="18"/>
      <w:szCs w:val="18"/>
    </w:rPr>
  </w:style>
  <w:style w:type="paragraph" w:styleId="41">
    <w:name w:val="index heading"/>
    <w:basedOn w:val="1"/>
    <w:next w:val="42"/>
    <w:qFormat/>
    <w:uiPriority w:val="0"/>
    <w:rPr>
      <w:rFonts w:ascii="Times New Roman" w:hAnsi="Times New Roman"/>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Subtitle"/>
    <w:basedOn w:val="1"/>
    <w:next w:val="1"/>
    <w:link w:val="99"/>
    <w:qFormat/>
    <w:uiPriority w:val="11"/>
    <w:pPr>
      <w:spacing w:before="240" w:after="60" w:line="312" w:lineRule="auto"/>
      <w:jc w:val="center"/>
      <w:outlineLvl w:val="1"/>
    </w:pPr>
    <w:rPr>
      <w:rFonts w:ascii="Cambria" w:hAnsi="Cambria"/>
      <w:b/>
      <w:bCs/>
      <w:kern w:val="28"/>
      <w:sz w:val="32"/>
      <w:szCs w:val="32"/>
    </w:rPr>
  </w:style>
  <w:style w:type="paragraph" w:styleId="44">
    <w:name w:val="List"/>
    <w:basedOn w:val="1"/>
    <w:qFormat/>
    <w:uiPriority w:val="0"/>
    <w:pPr>
      <w:ind w:left="200" w:hanging="200" w:hangingChars="200"/>
    </w:pPr>
  </w:style>
  <w:style w:type="paragraph" w:styleId="45">
    <w:name w:val="footnote text"/>
    <w:basedOn w:val="1"/>
    <w:link w:val="100"/>
    <w:qFormat/>
    <w:uiPriority w:val="0"/>
    <w:pPr>
      <w:adjustRightInd w:val="0"/>
      <w:spacing w:line="312" w:lineRule="atLeast"/>
      <w:jc w:val="left"/>
      <w:textAlignment w:val="baseline"/>
    </w:pPr>
    <w:rPr>
      <w:kern w:val="0"/>
      <w:sz w:val="18"/>
      <w:szCs w:val="20"/>
    </w:rPr>
  </w:style>
  <w:style w:type="paragraph" w:styleId="46">
    <w:name w:val="toc 6"/>
    <w:basedOn w:val="1"/>
    <w:next w:val="1"/>
    <w:qFormat/>
    <w:uiPriority w:val="39"/>
    <w:pPr>
      <w:widowControl/>
      <w:ind w:left="1000"/>
      <w:jc w:val="left"/>
    </w:pPr>
    <w:rPr>
      <w:kern w:val="0"/>
      <w:sz w:val="18"/>
      <w:szCs w:val="18"/>
    </w:rPr>
  </w:style>
  <w:style w:type="paragraph" w:styleId="47">
    <w:name w:val="List 5"/>
    <w:basedOn w:val="1"/>
    <w:qFormat/>
    <w:uiPriority w:val="0"/>
    <w:pPr>
      <w:ind w:left="100" w:leftChars="800" w:hanging="200" w:hangingChars="200"/>
    </w:pPr>
  </w:style>
  <w:style w:type="paragraph" w:styleId="48">
    <w:name w:val="Body Text Indent 3"/>
    <w:basedOn w:val="1"/>
    <w:link w:val="101"/>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49">
    <w:name w:val="table of figures"/>
    <w:basedOn w:val="1"/>
    <w:next w:val="1"/>
    <w:qFormat/>
    <w:uiPriority w:val="0"/>
    <w:pPr>
      <w:ind w:left="200" w:leftChars="200" w:hanging="200" w:hangingChars="200"/>
    </w:pPr>
    <w:rPr>
      <w:rFonts w:ascii="Times New Roman" w:hAnsi="Times New Roman"/>
    </w:rPr>
  </w:style>
  <w:style w:type="paragraph" w:styleId="50">
    <w:name w:val="toc 2"/>
    <w:basedOn w:val="1"/>
    <w:next w:val="1"/>
    <w:unhideWhenUsed/>
    <w:qFormat/>
    <w:uiPriority w:val="39"/>
    <w:pPr>
      <w:ind w:left="420" w:leftChars="200"/>
    </w:pPr>
  </w:style>
  <w:style w:type="paragraph" w:styleId="51">
    <w:name w:val="toc 9"/>
    <w:basedOn w:val="1"/>
    <w:next w:val="1"/>
    <w:qFormat/>
    <w:uiPriority w:val="39"/>
    <w:pPr>
      <w:widowControl/>
      <w:ind w:left="1600"/>
      <w:jc w:val="left"/>
    </w:pPr>
    <w:rPr>
      <w:kern w:val="0"/>
      <w:sz w:val="18"/>
      <w:szCs w:val="18"/>
    </w:rPr>
  </w:style>
  <w:style w:type="paragraph" w:styleId="52">
    <w:name w:val="Body Text 2"/>
    <w:basedOn w:val="1"/>
    <w:link w:val="102"/>
    <w:qFormat/>
    <w:uiPriority w:val="0"/>
    <w:pPr>
      <w:jc w:val="left"/>
    </w:pPr>
    <w:rPr>
      <w:sz w:val="24"/>
    </w:rPr>
  </w:style>
  <w:style w:type="paragraph" w:styleId="53">
    <w:name w:val="List 4"/>
    <w:basedOn w:val="1"/>
    <w:qFormat/>
    <w:uiPriority w:val="0"/>
    <w:pPr>
      <w:ind w:left="100" w:leftChars="600" w:hanging="200" w:hangingChars="200"/>
    </w:pPr>
  </w:style>
  <w:style w:type="paragraph" w:styleId="54">
    <w:name w:val="List Continue 2"/>
    <w:basedOn w:val="1"/>
    <w:qFormat/>
    <w:uiPriority w:val="0"/>
    <w:pPr>
      <w:spacing w:after="120"/>
      <w:ind w:left="840" w:leftChars="400"/>
    </w:pPr>
  </w:style>
  <w:style w:type="paragraph" w:styleId="55">
    <w:name w:val="Message Header"/>
    <w:basedOn w:val="23"/>
    <w:link w:val="103"/>
    <w:qFormat/>
    <w:uiPriority w:val="0"/>
    <w:pPr>
      <w:keepLines/>
      <w:spacing w:after="40" w:line="140" w:lineRule="atLeast"/>
      <w:ind w:left="360"/>
    </w:pPr>
    <w:rPr>
      <w:rFonts w:ascii="Garamond" w:hAnsi="Garamond"/>
      <w:spacing w:val="-5"/>
      <w:sz w:val="18"/>
    </w:rPr>
  </w:style>
  <w:style w:type="paragraph" w:styleId="56">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7">
    <w:name w:val="Normal (Web)"/>
    <w:basedOn w:val="1"/>
    <w:qFormat/>
    <w:uiPriority w:val="99"/>
    <w:rPr>
      <w:sz w:val="24"/>
    </w:rPr>
  </w:style>
  <w:style w:type="paragraph" w:styleId="58">
    <w:name w:val="List Continue 3"/>
    <w:basedOn w:val="1"/>
    <w:qFormat/>
    <w:uiPriority w:val="0"/>
    <w:pPr>
      <w:spacing w:after="120"/>
      <w:ind w:left="1260" w:leftChars="600"/>
    </w:pPr>
  </w:style>
  <w:style w:type="paragraph" w:styleId="59">
    <w:name w:val="Title"/>
    <w:basedOn w:val="1"/>
    <w:next w:val="1"/>
    <w:link w:val="105"/>
    <w:qFormat/>
    <w:uiPriority w:val="10"/>
    <w:pPr>
      <w:spacing w:beforeLines="50" w:after="100" w:afterAutospacing="1" w:line="600" w:lineRule="exact"/>
      <w:jc w:val="center"/>
    </w:pPr>
    <w:rPr>
      <w:b/>
      <w:sz w:val="32"/>
      <w:szCs w:val="32"/>
    </w:rPr>
  </w:style>
  <w:style w:type="paragraph" w:styleId="60">
    <w:name w:val="annotation subject"/>
    <w:basedOn w:val="21"/>
    <w:next w:val="21"/>
    <w:link w:val="106"/>
    <w:qFormat/>
    <w:uiPriority w:val="99"/>
    <w:pPr>
      <w:adjustRightInd/>
      <w:spacing w:line="240" w:lineRule="auto"/>
      <w:textAlignment w:val="auto"/>
    </w:pPr>
    <w:rPr>
      <w:b/>
      <w:bCs/>
      <w:kern w:val="2"/>
      <w:sz w:val="21"/>
      <w:szCs w:val="24"/>
    </w:rPr>
  </w:style>
  <w:style w:type="paragraph" w:styleId="61">
    <w:name w:val="Body Text First Indent"/>
    <w:basedOn w:val="23"/>
    <w:link w:val="107"/>
    <w:qFormat/>
    <w:uiPriority w:val="0"/>
    <w:pPr>
      <w:widowControl w:val="0"/>
      <w:ind w:firstLine="420" w:firstLineChars="100"/>
      <w:jc w:val="both"/>
    </w:pPr>
    <w:rPr>
      <w:kern w:val="2"/>
      <w:sz w:val="21"/>
      <w:szCs w:val="24"/>
    </w:rPr>
  </w:style>
  <w:style w:type="table" w:styleId="63">
    <w:name w:val="Table Grid"/>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List 5"/>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character" w:styleId="66">
    <w:name w:val="Strong"/>
    <w:qFormat/>
    <w:uiPriority w:val="22"/>
    <w:rPr>
      <w:b/>
      <w:bCs/>
    </w:rPr>
  </w:style>
  <w:style w:type="character" w:styleId="67">
    <w:name w:val="endnote reference"/>
    <w:qFormat/>
    <w:uiPriority w:val="0"/>
    <w:rPr>
      <w:rFonts w:ascii="Tahoma" w:hAnsi="Tahoma"/>
      <w:sz w:val="24"/>
      <w:szCs w:val="20"/>
      <w:vertAlign w:val="superscript"/>
    </w:rPr>
  </w:style>
  <w:style w:type="character" w:styleId="68">
    <w:name w:val="page number"/>
    <w:qFormat/>
    <w:uiPriority w:val="0"/>
  </w:style>
  <w:style w:type="character" w:styleId="69">
    <w:name w:val="FollowedHyperlink"/>
    <w:qFormat/>
    <w:uiPriority w:val="99"/>
    <w:rPr>
      <w:color w:val="800080"/>
      <w:u w:val="single"/>
    </w:rPr>
  </w:style>
  <w:style w:type="character" w:styleId="70">
    <w:name w:val="Emphasis"/>
    <w:qFormat/>
    <w:uiPriority w:val="20"/>
    <w:rPr>
      <w:i/>
      <w:iCs/>
    </w:rPr>
  </w:style>
  <w:style w:type="character" w:styleId="71">
    <w:name w:val="line number"/>
    <w:qFormat/>
    <w:uiPriority w:val="0"/>
    <w:rPr>
      <w:rFonts w:ascii="Tahoma" w:hAnsi="Tahoma"/>
      <w:sz w:val="24"/>
      <w:szCs w:val="20"/>
    </w:rPr>
  </w:style>
  <w:style w:type="character" w:styleId="72">
    <w:name w:val="HTML Typewriter"/>
    <w:qFormat/>
    <w:uiPriority w:val="0"/>
    <w:rPr>
      <w:rFonts w:ascii="Courier New" w:hAnsi="Courier New" w:cs="Courier New"/>
      <w:sz w:val="20"/>
      <w:szCs w:val="20"/>
    </w:rPr>
  </w:style>
  <w:style w:type="character" w:styleId="73">
    <w:name w:val="Hyperlink"/>
    <w:qFormat/>
    <w:uiPriority w:val="99"/>
    <w:rPr>
      <w:color w:val="0000FF"/>
      <w:u w:val="single"/>
    </w:rPr>
  </w:style>
  <w:style w:type="character" w:styleId="74">
    <w:name w:val="annotation reference"/>
    <w:qFormat/>
    <w:uiPriority w:val="99"/>
    <w:rPr>
      <w:sz w:val="21"/>
      <w:szCs w:val="21"/>
    </w:rPr>
  </w:style>
  <w:style w:type="character" w:styleId="75">
    <w:name w:val="footnote reference"/>
    <w:qFormat/>
    <w:uiPriority w:val="0"/>
    <w:rPr>
      <w:vertAlign w:val="superscript"/>
    </w:rPr>
  </w:style>
  <w:style w:type="character" w:customStyle="1" w:styleId="76">
    <w:name w:val="正文文本缩进 Char4"/>
    <w:link w:val="3"/>
    <w:qFormat/>
    <w:uiPriority w:val="0"/>
  </w:style>
  <w:style w:type="character" w:customStyle="1" w:styleId="77">
    <w:name w:val="正文首行缩进 2 Char3"/>
    <w:link w:val="2"/>
    <w:qFormat/>
    <w:uiPriority w:val="0"/>
    <w:rPr>
      <w:kern w:val="2"/>
      <w:sz w:val="21"/>
      <w:szCs w:val="24"/>
    </w:rPr>
  </w:style>
  <w:style w:type="character" w:customStyle="1" w:styleId="78">
    <w:name w:val="标题 1 Char2"/>
    <w:link w:val="4"/>
    <w:qFormat/>
    <w:uiPriority w:val="0"/>
    <w:rPr>
      <w:rFonts w:eastAsia="宋体"/>
      <w:b/>
      <w:bCs/>
      <w:kern w:val="44"/>
      <w:sz w:val="32"/>
      <w:szCs w:val="44"/>
      <w:lang w:val="en-US" w:eastAsia="zh-CN" w:bidi="ar-SA"/>
    </w:rPr>
  </w:style>
  <w:style w:type="character" w:customStyle="1" w:styleId="79">
    <w:name w:val="标题 2 Char2"/>
    <w:link w:val="5"/>
    <w:qFormat/>
    <w:uiPriority w:val="0"/>
    <w:rPr>
      <w:rFonts w:ascii="Arial" w:hAnsi="Arial" w:eastAsia="黑体"/>
      <w:b/>
      <w:bCs/>
      <w:sz w:val="32"/>
      <w:szCs w:val="32"/>
      <w:lang w:val="en-US" w:eastAsia="zh-CN" w:bidi="ar-SA"/>
    </w:rPr>
  </w:style>
  <w:style w:type="character" w:customStyle="1" w:styleId="80">
    <w:name w:val="标题 3 Char2"/>
    <w:link w:val="6"/>
    <w:qFormat/>
    <w:uiPriority w:val="0"/>
    <w:rPr>
      <w:rFonts w:eastAsia="宋体"/>
      <w:b/>
      <w:bCs/>
      <w:kern w:val="2"/>
      <w:sz w:val="24"/>
      <w:szCs w:val="32"/>
      <w:lang w:val="en-US" w:eastAsia="zh-CN" w:bidi="ar-SA"/>
    </w:rPr>
  </w:style>
  <w:style w:type="character" w:customStyle="1" w:styleId="81">
    <w:name w:val="标题 4 Char2"/>
    <w:link w:val="7"/>
    <w:qFormat/>
    <w:uiPriority w:val="0"/>
    <w:rPr>
      <w:rFonts w:ascii="Arial" w:hAnsi="Arial"/>
      <w:b/>
      <w:bCs/>
      <w:kern w:val="2"/>
      <w:sz w:val="21"/>
      <w:szCs w:val="28"/>
    </w:rPr>
  </w:style>
  <w:style w:type="character" w:customStyle="1" w:styleId="82">
    <w:name w:val="标题 5 Char2"/>
    <w:link w:val="8"/>
    <w:qFormat/>
    <w:uiPriority w:val="0"/>
    <w:rPr>
      <w:b/>
      <w:bCs/>
      <w:sz w:val="28"/>
      <w:szCs w:val="28"/>
    </w:rPr>
  </w:style>
  <w:style w:type="character" w:customStyle="1" w:styleId="83">
    <w:name w:val="标题 6 Char2"/>
    <w:link w:val="9"/>
    <w:qFormat/>
    <w:uiPriority w:val="0"/>
    <w:rPr>
      <w:rFonts w:ascii="Arial" w:hAnsi="Arial" w:eastAsia="黑体"/>
      <w:b/>
      <w:bCs/>
      <w:sz w:val="24"/>
      <w:szCs w:val="24"/>
    </w:rPr>
  </w:style>
  <w:style w:type="character" w:customStyle="1" w:styleId="84">
    <w:name w:val="标题 7 Char2"/>
    <w:link w:val="10"/>
    <w:qFormat/>
    <w:uiPriority w:val="0"/>
    <w:rPr>
      <w:b/>
      <w:bCs/>
      <w:sz w:val="24"/>
      <w:szCs w:val="24"/>
    </w:rPr>
  </w:style>
  <w:style w:type="character" w:customStyle="1" w:styleId="85">
    <w:name w:val="标题 8 Char2"/>
    <w:link w:val="11"/>
    <w:qFormat/>
    <w:uiPriority w:val="0"/>
    <w:rPr>
      <w:rFonts w:ascii="Arial" w:hAnsi="Arial" w:eastAsia="黑体"/>
      <w:sz w:val="24"/>
      <w:szCs w:val="24"/>
    </w:rPr>
  </w:style>
  <w:style w:type="character" w:customStyle="1" w:styleId="86">
    <w:name w:val="标题 9 Char2"/>
    <w:link w:val="12"/>
    <w:qFormat/>
    <w:uiPriority w:val="0"/>
    <w:rPr>
      <w:rFonts w:ascii="Arial" w:hAnsi="Arial" w:eastAsia="黑体"/>
      <w:sz w:val="21"/>
      <w:szCs w:val="21"/>
    </w:rPr>
  </w:style>
  <w:style w:type="character" w:customStyle="1" w:styleId="87">
    <w:name w:val="正文缩进 Char2"/>
    <w:link w:val="16"/>
    <w:qFormat/>
    <w:uiPriority w:val="99"/>
    <w:rPr>
      <w:rFonts w:eastAsia="宋体"/>
      <w:lang w:val="en-US" w:eastAsia="zh-CN" w:bidi="ar-SA"/>
    </w:rPr>
  </w:style>
  <w:style w:type="character" w:customStyle="1" w:styleId="88">
    <w:name w:val="文档结构图 Char6"/>
    <w:link w:val="19"/>
    <w:qFormat/>
    <w:uiPriority w:val="0"/>
    <w:rPr>
      <w:rFonts w:eastAsia="宋体"/>
      <w:kern w:val="2"/>
      <w:sz w:val="21"/>
      <w:szCs w:val="24"/>
      <w:lang w:val="en-US" w:eastAsia="zh-CN" w:bidi="ar-SA"/>
    </w:rPr>
  </w:style>
  <w:style w:type="character" w:customStyle="1" w:styleId="89">
    <w:name w:val="批注文字 Char4"/>
    <w:link w:val="21"/>
    <w:qFormat/>
    <w:uiPriority w:val="0"/>
    <w:rPr>
      <w:sz w:val="24"/>
    </w:rPr>
  </w:style>
  <w:style w:type="character" w:customStyle="1" w:styleId="90">
    <w:name w:val="正文文本 3 Char5"/>
    <w:link w:val="22"/>
    <w:qFormat/>
    <w:uiPriority w:val="0"/>
    <w:rPr>
      <w:sz w:val="16"/>
      <w:szCs w:val="16"/>
    </w:rPr>
  </w:style>
  <w:style w:type="character" w:customStyle="1" w:styleId="91">
    <w:name w:val="正文文本 Char5"/>
    <w:link w:val="23"/>
    <w:qFormat/>
    <w:uiPriority w:val="0"/>
    <w:rPr>
      <w:rFonts w:eastAsia="宋体"/>
      <w:lang w:val="en-US" w:eastAsia="zh-CN" w:bidi="ar-SA"/>
    </w:rPr>
  </w:style>
  <w:style w:type="character" w:customStyle="1" w:styleId="92">
    <w:name w:val="纯文本 Char2"/>
    <w:link w:val="30"/>
    <w:qFormat/>
    <w:uiPriority w:val="0"/>
    <w:rPr>
      <w:rFonts w:ascii="宋体" w:hAnsi="Courier New" w:eastAsia="宋体"/>
      <w:kern w:val="2"/>
      <w:sz w:val="21"/>
      <w:lang w:val="en-US" w:eastAsia="zh-CN" w:bidi="ar-SA"/>
    </w:rPr>
  </w:style>
  <w:style w:type="character" w:customStyle="1" w:styleId="93">
    <w:name w:val="日期 Char6"/>
    <w:link w:val="33"/>
    <w:qFormat/>
    <w:uiPriority w:val="99"/>
    <w:rPr>
      <w:kern w:val="2"/>
      <w:sz w:val="24"/>
    </w:rPr>
  </w:style>
  <w:style w:type="character" w:customStyle="1" w:styleId="94">
    <w:name w:val="正文文本缩进 2 Char5"/>
    <w:link w:val="34"/>
    <w:qFormat/>
    <w:uiPriority w:val="0"/>
    <w:rPr>
      <w:rFonts w:ascii="宋体" w:hAnsi="MS Sans Serif"/>
      <w:spacing w:val="12"/>
      <w:sz w:val="24"/>
    </w:rPr>
  </w:style>
  <w:style w:type="character" w:customStyle="1" w:styleId="95">
    <w:name w:val="尾注文本 Char4"/>
    <w:link w:val="35"/>
    <w:qFormat/>
    <w:uiPriority w:val="99"/>
    <w:rPr>
      <w:szCs w:val="24"/>
    </w:rPr>
  </w:style>
  <w:style w:type="character" w:customStyle="1" w:styleId="96">
    <w:name w:val="批注框文本 Char6"/>
    <w:link w:val="36"/>
    <w:qFormat/>
    <w:uiPriority w:val="99"/>
    <w:rPr>
      <w:sz w:val="18"/>
      <w:szCs w:val="18"/>
    </w:rPr>
  </w:style>
  <w:style w:type="character" w:customStyle="1" w:styleId="97">
    <w:name w:val="页脚 Char4"/>
    <w:link w:val="37"/>
    <w:qFormat/>
    <w:uiPriority w:val="0"/>
    <w:rPr>
      <w:rFonts w:eastAsia="宋体"/>
      <w:kern w:val="2"/>
      <w:sz w:val="18"/>
      <w:szCs w:val="18"/>
      <w:lang w:val="en-US" w:eastAsia="zh-CN" w:bidi="ar-SA"/>
    </w:rPr>
  </w:style>
  <w:style w:type="character" w:customStyle="1" w:styleId="98">
    <w:name w:val="页眉 Char4"/>
    <w:link w:val="38"/>
    <w:qFormat/>
    <w:uiPriority w:val="0"/>
    <w:rPr>
      <w:rFonts w:eastAsia="宋体"/>
      <w:kern w:val="2"/>
      <w:sz w:val="18"/>
      <w:szCs w:val="18"/>
      <w:lang w:val="en-US" w:eastAsia="zh-CN" w:bidi="ar-SA"/>
    </w:rPr>
  </w:style>
  <w:style w:type="character" w:customStyle="1" w:styleId="99">
    <w:name w:val="副标题 Char6"/>
    <w:link w:val="43"/>
    <w:qFormat/>
    <w:uiPriority w:val="11"/>
    <w:rPr>
      <w:rFonts w:ascii="Cambria" w:hAnsi="Cambria"/>
      <w:b/>
      <w:bCs/>
      <w:kern w:val="28"/>
      <w:sz w:val="32"/>
      <w:szCs w:val="32"/>
    </w:rPr>
  </w:style>
  <w:style w:type="character" w:customStyle="1" w:styleId="100">
    <w:name w:val="脚注文本 Char5"/>
    <w:link w:val="45"/>
    <w:qFormat/>
    <w:uiPriority w:val="0"/>
    <w:rPr>
      <w:sz w:val="18"/>
    </w:rPr>
  </w:style>
  <w:style w:type="character" w:customStyle="1" w:styleId="101">
    <w:name w:val="正文文本缩进 3 Char5"/>
    <w:link w:val="48"/>
    <w:qFormat/>
    <w:uiPriority w:val="99"/>
    <w:rPr>
      <w:rFonts w:ascii="宋体" w:hAnsi="MS Sans Serif"/>
      <w:color w:val="000000"/>
      <w:sz w:val="24"/>
    </w:rPr>
  </w:style>
  <w:style w:type="character" w:customStyle="1" w:styleId="102">
    <w:name w:val="正文文本 2 Char5"/>
    <w:link w:val="52"/>
    <w:qFormat/>
    <w:uiPriority w:val="0"/>
    <w:rPr>
      <w:kern w:val="2"/>
      <w:sz w:val="24"/>
      <w:szCs w:val="24"/>
    </w:rPr>
  </w:style>
  <w:style w:type="character" w:customStyle="1" w:styleId="103">
    <w:name w:val="信息标题 Char4"/>
    <w:link w:val="55"/>
    <w:qFormat/>
    <w:uiPriority w:val="0"/>
    <w:rPr>
      <w:rFonts w:ascii="Garamond" w:hAnsi="Garamond"/>
      <w:spacing w:val="-5"/>
      <w:sz w:val="18"/>
    </w:rPr>
  </w:style>
  <w:style w:type="character" w:customStyle="1" w:styleId="104">
    <w:name w:val="HTML 预设格式 Char5"/>
    <w:link w:val="56"/>
    <w:qFormat/>
    <w:uiPriority w:val="0"/>
    <w:rPr>
      <w:rFonts w:ascii="宋体" w:hAnsi="宋体" w:cs="宋体"/>
      <w:sz w:val="24"/>
      <w:szCs w:val="24"/>
    </w:rPr>
  </w:style>
  <w:style w:type="character" w:customStyle="1" w:styleId="105">
    <w:name w:val="标题 Char6"/>
    <w:link w:val="59"/>
    <w:qFormat/>
    <w:uiPriority w:val="10"/>
    <w:rPr>
      <w:b/>
      <w:kern w:val="2"/>
      <w:sz w:val="32"/>
      <w:szCs w:val="32"/>
    </w:rPr>
  </w:style>
  <w:style w:type="character" w:customStyle="1" w:styleId="106">
    <w:name w:val="批注主题 Char6"/>
    <w:link w:val="60"/>
    <w:qFormat/>
    <w:uiPriority w:val="99"/>
    <w:rPr>
      <w:b/>
      <w:bCs/>
      <w:kern w:val="2"/>
      <w:sz w:val="21"/>
      <w:szCs w:val="24"/>
    </w:rPr>
  </w:style>
  <w:style w:type="character" w:customStyle="1" w:styleId="107">
    <w:name w:val="正文首行缩进 Char5"/>
    <w:link w:val="61"/>
    <w:qFormat/>
    <w:uiPriority w:val="0"/>
    <w:rPr>
      <w:rFonts w:eastAsia="宋体"/>
      <w:kern w:val="2"/>
      <w:sz w:val="21"/>
      <w:szCs w:val="24"/>
      <w:lang w:val="en-US" w:eastAsia="zh-CN" w:bidi="ar-SA"/>
    </w:rPr>
  </w:style>
  <w:style w:type="character" w:customStyle="1" w:styleId="108">
    <w:name w:val="批注框文本 Char Char"/>
    <w:qFormat/>
    <w:uiPriority w:val="0"/>
    <w:rPr>
      <w:rFonts w:ascii="宋体" w:hAnsi="Times New Roman"/>
      <w:sz w:val="18"/>
      <w:szCs w:val="18"/>
    </w:rPr>
  </w:style>
  <w:style w:type="character" w:customStyle="1" w:styleId="109">
    <w:name w:val="文档结构图 Char3"/>
    <w:semiHidden/>
    <w:qFormat/>
    <w:uiPriority w:val="99"/>
    <w:rPr>
      <w:rFonts w:ascii="宋体" w:hAnsi="Times New Roman" w:eastAsia="宋体" w:cs="Times New Roman"/>
      <w:sz w:val="18"/>
      <w:szCs w:val="18"/>
    </w:rPr>
  </w:style>
  <w:style w:type="character" w:customStyle="1" w:styleId="110">
    <w:name w:val="批注文字 Char"/>
    <w:qFormat/>
    <w:uiPriority w:val="99"/>
    <w:rPr>
      <w:rFonts w:ascii="Times New Roman" w:hAnsi="Times New Roman" w:eastAsia="宋体" w:cs="Times New Roman"/>
      <w:szCs w:val="24"/>
    </w:rPr>
  </w:style>
  <w:style w:type="character" w:customStyle="1" w:styleId="111">
    <w:name w:val="apple-style-span"/>
    <w:qFormat/>
    <w:uiPriority w:val="0"/>
  </w:style>
  <w:style w:type="character" w:customStyle="1" w:styleId="112">
    <w:name w:val="javascript"/>
    <w:qFormat/>
    <w:uiPriority w:val="0"/>
    <w:rPr>
      <w:rFonts w:ascii="Tahoma" w:hAnsi="Tahoma"/>
      <w:sz w:val="24"/>
      <w:szCs w:val="20"/>
    </w:rPr>
  </w:style>
  <w:style w:type="character" w:customStyle="1" w:styleId="113">
    <w:name w:val="Default Char"/>
    <w:link w:val="114"/>
    <w:qFormat/>
    <w:locked/>
    <w:uiPriority w:val="0"/>
    <w:rPr>
      <w:rFonts w:ascii="宋体"/>
      <w:color w:val="000000"/>
      <w:sz w:val="24"/>
    </w:rPr>
  </w:style>
  <w:style w:type="paragraph" w:customStyle="1" w:styleId="114">
    <w:name w:val="Default"/>
    <w:link w:val="113"/>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115">
    <w:name w:val="正文缩进2格 Char Char"/>
    <w:link w:val="116"/>
    <w:qFormat/>
    <w:uiPriority w:val="0"/>
    <w:rPr>
      <w:rFonts w:ascii="仿宋_GB2312" w:hAnsi="宋体" w:eastAsia="仿宋_GB2312"/>
      <w:sz w:val="31"/>
      <w:szCs w:val="28"/>
    </w:rPr>
  </w:style>
  <w:style w:type="paragraph" w:customStyle="1" w:styleId="116">
    <w:name w:val="正文缩进2格"/>
    <w:basedOn w:val="1"/>
    <w:link w:val="115"/>
    <w:qFormat/>
    <w:uiPriority w:val="0"/>
    <w:pPr>
      <w:spacing w:line="600" w:lineRule="exact"/>
      <w:ind w:firstLine="639" w:firstLineChars="206"/>
    </w:pPr>
    <w:rPr>
      <w:rFonts w:ascii="仿宋_GB2312" w:hAnsi="宋体" w:eastAsia="仿宋_GB2312"/>
      <w:kern w:val="0"/>
      <w:sz w:val="31"/>
      <w:szCs w:val="28"/>
    </w:rPr>
  </w:style>
  <w:style w:type="character" w:customStyle="1" w:styleId="117">
    <w:name w:val="表格文字 Char1"/>
    <w:qFormat/>
    <w:uiPriority w:val="0"/>
    <w:rPr>
      <w:rFonts w:ascii="宋体" w:hAnsi="宋体" w:eastAsia="宋体"/>
      <w:lang w:val="en-US" w:eastAsia="zh-CN" w:bidi="ar-SA"/>
    </w:rPr>
  </w:style>
  <w:style w:type="character" w:customStyle="1" w:styleId="118">
    <w:name w:val="不明显强调2"/>
    <w:qFormat/>
    <w:uiPriority w:val="19"/>
    <w:rPr>
      <w:i/>
      <w:iCs/>
      <w:color w:val="808080"/>
    </w:rPr>
  </w:style>
  <w:style w:type="character" w:customStyle="1" w:styleId="119">
    <w:name w:val="明显强调2"/>
    <w:qFormat/>
    <w:uiPriority w:val="0"/>
    <w:rPr>
      <w:b/>
      <w:i/>
      <w:sz w:val="24"/>
      <w:szCs w:val="24"/>
      <w:u w:val="single"/>
    </w:rPr>
  </w:style>
  <w:style w:type="character" w:customStyle="1" w:styleId="120">
    <w:name w:val="Balloon Text Char"/>
    <w:qFormat/>
    <w:locked/>
    <w:uiPriority w:val="99"/>
    <w:rPr>
      <w:sz w:val="18"/>
    </w:rPr>
  </w:style>
  <w:style w:type="character" w:customStyle="1" w:styleId="121">
    <w:name w:val="Char Char271"/>
    <w:qFormat/>
    <w:uiPriority w:val="0"/>
    <w:rPr>
      <w:b/>
      <w:bCs/>
      <w:sz w:val="32"/>
      <w:szCs w:val="32"/>
    </w:rPr>
  </w:style>
  <w:style w:type="character" w:customStyle="1" w:styleId="122">
    <w:name w:val="正文首行缩进 Char2"/>
    <w:qFormat/>
    <w:uiPriority w:val="99"/>
  </w:style>
  <w:style w:type="character" w:customStyle="1" w:styleId="123">
    <w:name w:val="15"/>
    <w:qFormat/>
    <w:uiPriority w:val="0"/>
    <w:rPr>
      <w:rFonts w:hint="default" w:ascii="Times New Roman" w:hAnsi="Times New Roman" w:cs="Times New Roman"/>
      <w:b/>
      <w:bCs/>
    </w:rPr>
  </w:style>
  <w:style w:type="character" w:customStyle="1" w:styleId="124">
    <w:name w:val="日期 Char"/>
    <w:qFormat/>
    <w:uiPriority w:val="99"/>
    <w:rPr>
      <w:rFonts w:ascii="Times New Roman" w:hAnsi="Times New Roman" w:eastAsia="宋体" w:cs="Times New Roman"/>
      <w:color w:val="FF0000"/>
      <w:sz w:val="24"/>
      <w:szCs w:val="24"/>
    </w:rPr>
  </w:style>
  <w:style w:type="character" w:customStyle="1" w:styleId="125">
    <w:name w:val="标题 3 Char Char"/>
    <w:qFormat/>
    <w:uiPriority w:val="0"/>
    <w:rPr>
      <w:b/>
      <w:bCs/>
      <w:kern w:val="2"/>
      <w:sz w:val="32"/>
      <w:szCs w:val="32"/>
    </w:rPr>
  </w:style>
  <w:style w:type="character" w:customStyle="1" w:styleId="126">
    <w:name w:val="Char Char7"/>
    <w:qFormat/>
    <w:uiPriority w:val="0"/>
    <w:rPr>
      <w:rFonts w:ascii="宋体" w:hAnsi="Courier New" w:eastAsia="宋体"/>
      <w:szCs w:val="21"/>
      <w:lang w:bidi="ar-SA"/>
    </w:rPr>
  </w:style>
  <w:style w:type="character" w:customStyle="1" w:styleId="127">
    <w:name w:val="引用 Char1"/>
    <w:qFormat/>
    <w:uiPriority w:val="99"/>
    <w:rPr>
      <w:i/>
      <w:iCs/>
      <w:color w:val="000000"/>
      <w:kern w:val="2"/>
      <w:sz w:val="21"/>
      <w:szCs w:val="24"/>
    </w:rPr>
  </w:style>
  <w:style w:type="character" w:customStyle="1" w:styleId="128">
    <w:name w:val="标题 9 Char"/>
    <w:qFormat/>
    <w:uiPriority w:val="0"/>
    <w:rPr>
      <w:rFonts w:ascii="Arial" w:hAnsi="Arial" w:eastAsia="黑体" w:cs="Times New Roman"/>
      <w:kern w:val="0"/>
      <w:sz w:val="20"/>
      <w:szCs w:val="21"/>
    </w:rPr>
  </w:style>
  <w:style w:type="character" w:customStyle="1" w:styleId="129">
    <w:name w:val="BoldText"/>
    <w:qFormat/>
    <w:uiPriority w:val="99"/>
    <w:rPr>
      <w:rFonts w:ascii="Times New Roman" w:hAnsi="Times New Roman" w:cs="Times New Roman"/>
      <w:b/>
      <w:bCs/>
    </w:rPr>
  </w:style>
  <w:style w:type="character" w:customStyle="1" w:styleId="130">
    <w:name w:val="Char Char2"/>
    <w:qFormat/>
    <w:uiPriority w:val="0"/>
    <w:rPr>
      <w:rFonts w:eastAsia="宋体"/>
      <w:lang w:val="en-US" w:eastAsia="zh-CN" w:bidi="ar-SA"/>
    </w:rPr>
  </w:style>
  <w:style w:type="character" w:customStyle="1" w:styleId="131">
    <w:name w:val="HTML 预设格式 字符1"/>
    <w:semiHidden/>
    <w:qFormat/>
    <w:uiPriority w:val="99"/>
    <w:rPr>
      <w:rFonts w:ascii="Courier New" w:hAnsi="Courier New" w:cs="Courier New"/>
    </w:rPr>
  </w:style>
  <w:style w:type="character" w:customStyle="1" w:styleId="132">
    <w:name w:val="正文首行缩进 2 Char"/>
    <w:qFormat/>
    <w:uiPriority w:val="99"/>
    <w:rPr>
      <w:rFonts w:ascii="Times New Roman" w:hAnsi="Times New Roman" w:eastAsia="宋体" w:cs="Times New Roman"/>
      <w:kern w:val="0"/>
      <w:sz w:val="20"/>
      <w:szCs w:val="20"/>
    </w:rPr>
  </w:style>
  <w:style w:type="character" w:customStyle="1" w:styleId="133">
    <w:name w:val="明显引用 Char5"/>
    <w:link w:val="134"/>
    <w:qFormat/>
    <w:uiPriority w:val="0"/>
    <w:rPr>
      <w:b/>
      <w:bCs/>
      <w:i/>
      <w:iCs/>
      <w:color w:val="4F81BD"/>
    </w:rPr>
  </w:style>
  <w:style w:type="paragraph" w:styleId="134">
    <w:name w:val="Intense Quote"/>
    <w:basedOn w:val="1"/>
    <w:next w:val="1"/>
    <w:link w:val="133"/>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5">
    <w:name w:val="Char Char161"/>
    <w:qFormat/>
    <w:uiPriority w:val="0"/>
    <w:rPr>
      <w:rFonts w:eastAsia="宋体"/>
      <w:b/>
      <w:bCs/>
      <w:kern w:val="44"/>
      <w:sz w:val="44"/>
      <w:szCs w:val="44"/>
      <w:lang w:val="en-US" w:eastAsia="zh-CN" w:bidi="ar-SA"/>
    </w:rPr>
  </w:style>
  <w:style w:type="character" w:customStyle="1" w:styleId="136">
    <w:name w:val="HTML 预设格式 Char3"/>
    <w:qFormat/>
    <w:uiPriority w:val="99"/>
    <w:rPr>
      <w:rFonts w:ascii="Courier New" w:hAnsi="Courier New" w:eastAsia="宋体" w:cs="Courier New"/>
      <w:sz w:val="20"/>
      <w:szCs w:val="20"/>
    </w:rPr>
  </w:style>
  <w:style w:type="character" w:customStyle="1" w:styleId="137">
    <w:name w:val="页脚 Char Char"/>
    <w:qFormat/>
    <w:uiPriority w:val="0"/>
    <w:rPr>
      <w:kern w:val="2"/>
      <w:sz w:val="18"/>
      <w:szCs w:val="18"/>
    </w:rPr>
  </w:style>
  <w:style w:type="character" w:customStyle="1" w:styleId="138">
    <w:name w:val="p121"/>
    <w:qFormat/>
    <w:uiPriority w:val="0"/>
    <w:rPr>
      <w:rFonts w:hint="default"/>
      <w:sz w:val="24"/>
      <w:szCs w:val="24"/>
      <w:u w:val="none"/>
    </w:rPr>
  </w:style>
  <w:style w:type="character" w:customStyle="1" w:styleId="139">
    <w:name w:val="Char Char23"/>
    <w:qFormat/>
    <w:uiPriority w:val="0"/>
    <w:rPr>
      <w:rFonts w:hint="default" w:ascii="Cambria" w:hAnsi="Cambria" w:eastAsia="仿宋"/>
      <w:b/>
      <w:bCs/>
      <w:kern w:val="32"/>
      <w:sz w:val="48"/>
      <w:szCs w:val="32"/>
      <w:lang w:eastAsia="en-US" w:bidi="en-US"/>
    </w:rPr>
  </w:style>
  <w:style w:type="character" w:customStyle="1" w:styleId="140">
    <w:name w:val="Char Char14"/>
    <w:qFormat/>
    <w:uiPriority w:val="0"/>
    <w:rPr>
      <w:rFonts w:eastAsia="宋体"/>
      <w:b/>
      <w:bCs/>
      <w:kern w:val="2"/>
      <w:sz w:val="32"/>
      <w:szCs w:val="32"/>
      <w:lang w:val="en-US" w:eastAsia="zh-CN" w:bidi="ar-SA"/>
    </w:rPr>
  </w:style>
  <w:style w:type="character" w:customStyle="1" w:styleId="141">
    <w:name w:val="引用 Char"/>
    <w:link w:val="142"/>
    <w:qFormat/>
    <w:uiPriority w:val="29"/>
    <w:rPr>
      <w:i/>
      <w:iCs/>
      <w:color w:val="000000"/>
      <w:sz w:val="22"/>
      <w:lang w:eastAsia="en-US" w:bidi="en-US"/>
    </w:rPr>
  </w:style>
  <w:style w:type="paragraph" w:customStyle="1" w:styleId="142">
    <w:name w:val="引用1"/>
    <w:basedOn w:val="1"/>
    <w:next w:val="1"/>
    <w:link w:val="141"/>
    <w:qFormat/>
    <w:uiPriority w:val="0"/>
    <w:pPr>
      <w:widowControl/>
      <w:spacing w:after="200" w:line="276" w:lineRule="auto"/>
      <w:ind w:firstLine="200" w:firstLineChars="200"/>
      <w:jc w:val="left"/>
    </w:pPr>
    <w:rPr>
      <w:i/>
      <w:iCs/>
      <w:color w:val="000000"/>
      <w:kern w:val="0"/>
      <w:sz w:val="22"/>
      <w:szCs w:val="20"/>
      <w:lang w:eastAsia="en-US" w:bidi="en-US"/>
    </w:rPr>
  </w:style>
  <w:style w:type="character" w:customStyle="1" w:styleId="143">
    <w:name w:val="ft101"/>
    <w:qFormat/>
    <w:uiPriority w:val="0"/>
    <w:rPr>
      <w:spacing w:val="320"/>
      <w:sz w:val="20"/>
      <w:szCs w:val="20"/>
    </w:rPr>
  </w:style>
  <w:style w:type="character" w:customStyle="1" w:styleId="144">
    <w:name w:val="Blockquote Char Char"/>
    <w:qFormat/>
    <w:uiPriority w:val="0"/>
    <w:rPr>
      <w:rFonts w:eastAsia="宋体"/>
      <w:sz w:val="24"/>
      <w:lang w:val="en-US" w:eastAsia="zh-CN" w:bidi="ar-SA"/>
    </w:rPr>
  </w:style>
  <w:style w:type="character" w:customStyle="1" w:styleId="145">
    <w:name w:val="信息标题 Char2"/>
    <w:qFormat/>
    <w:uiPriority w:val="0"/>
    <w:rPr>
      <w:rFonts w:ascii="Garamond" w:hAnsi="Garamond"/>
      <w:spacing w:val="-5"/>
      <w:sz w:val="18"/>
    </w:rPr>
  </w:style>
  <w:style w:type="character" w:customStyle="1" w:styleId="146">
    <w:name w:val="批注框文本 Char5"/>
    <w:semiHidden/>
    <w:qFormat/>
    <w:uiPriority w:val="99"/>
    <w:rPr>
      <w:sz w:val="18"/>
      <w:szCs w:val="18"/>
    </w:rPr>
  </w:style>
  <w:style w:type="character" w:customStyle="1" w:styleId="147">
    <w:name w:val="脚注文本 Char3"/>
    <w:qFormat/>
    <w:uiPriority w:val="99"/>
    <w:rPr>
      <w:rFonts w:ascii="Times New Roman" w:hAnsi="Times New Roman" w:eastAsia="宋体" w:cs="Times New Roman"/>
      <w:sz w:val="18"/>
      <w:szCs w:val="18"/>
    </w:rPr>
  </w:style>
  <w:style w:type="character" w:customStyle="1" w:styleId="148">
    <w:name w:val="正文缩进 Char"/>
    <w:qFormat/>
    <w:uiPriority w:val="99"/>
    <w:rPr>
      <w:szCs w:val="24"/>
    </w:rPr>
  </w:style>
  <w:style w:type="character" w:customStyle="1" w:styleId="149">
    <w:name w:val="Keyboard"/>
    <w:qFormat/>
    <w:uiPriority w:val="0"/>
    <w:rPr>
      <w:rFonts w:ascii="Courier New" w:hAnsi="Courier New"/>
      <w:b/>
      <w:sz w:val="20"/>
    </w:rPr>
  </w:style>
  <w:style w:type="character" w:customStyle="1" w:styleId="150">
    <w:name w:val="副标题 Char2"/>
    <w:qFormat/>
    <w:uiPriority w:val="11"/>
    <w:rPr>
      <w:rFonts w:ascii="Cambria" w:hAnsi="Cambria" w:cs="Times New Roman"/>
      <w:b/>
      <w:bCs/>
      <w:kern w:val="28"/>
      <w:sz w:val="32"/>
      <w:szCs w:val="32"/>
    </w:rPr>
  </w:style>
  <w:style w:type="character" w:customStyle="1" w:styleId="151">
    <w:name w:val="正文文本 Char4"/>
    <w:semiHidden/>
    <w:qFormat/>
    <w:uiPriority w:val="99"/>
    <w:rPr>
      <w:rFonts w:ascii="Times New Roman" w:hAnsi="Times New Roman" w:eastAsia="宋体" w:cs="Times New Roman"/>
      <w:szCs w:val="24"/>
    </w:rPr>
  </w:style>
  <w:style w:type="character" w:customStyle="1" w:styleId="152">
    <w:name w:val="日期 Char4"/>
    <w:qFormat/>
    <w:uiPriority w:val="99"/>
  </w:style>
  <w:style w:type="character" w:customStyle="1" w:styleId="153">
    <w:name w:val="Char Char5"/>
    <w:qFormat/>
    <w:uiPriority w:val="0"/>
    <w:rPr>
      <w:rFonts w:eastAsia="宋体"/>
      <w:kern w:val="2"/>
      <w:sz w:val="21"/>
      <w:szCs w:val="24"/>
      <w:lang w:val="en-US" w:eastAsia="zh-CN" w:bidi="ar-SA"/>
    </w:rPr>
  </w:style>
  <w:style w:type="character" w:customStyle="1" w:styleId="154">
    <w:name w:val="副标题 Char"/>
    <w:qFormat/>
    <w:uiPriority w:val="0"/>
    <w:rPr>
      <w:rFonts w:ascii="Cambria" w:hAnsi="Cambria" w:eastAsia="宋体" w:cs="Times New Roman"/>
      <w:b/>
      <w:bCs/>
      <w:kern w:val="28"/>
      <w:sz w:val="32"/>
      <w:szCs w:val="32"/>
    </w:rPr>
  </w:style>
  <w:style w:type="character" w:customStyle="1" w:styleId="155">
    <w:name w:val="明显强调1"/>
    <w:qFormat/>
    <w:uiPriority w:val="21"/>
    <w:rPr>
      <w:b/>
      <w:bCs/>
      <w:i/>
      <w:iCs/>
      <w:color w:val="4F81BD"/>
    </w:rPr>
  </w:style>
  <w:style w:type="character" w:customStyle="1" w:styleId="156">
    <w:name w:val="正文文本 Char1"/>
    <w:qFormat/>
    <w:uiPriority w:val="0"/>
    <w:rPr>
      <w:rFonts w:ascii="Times New Roman" w:hAnsi="Times New Roman" w:eastAsia="宋体" w:cs="Times New Roman"/>
      <w:szCs w:val="24"/>
    </w:rPr>
  </w:style>
  <w:style w:type="character" w:customStyle="1" w:styleId="157">
    <w:name w:val="副标题 Char4"/>
    <w:qFormat/>
    <w:uiPriority w:val="11"/>
    <w:rPr>
      <w:rFonts w:ascii="Cambria" w:hAnsi="Cambria" w:eastAsia="宋体" w:cs="Times New Roman"/>
      <w:b/>
      <w:bCs/>
      <w:kern w:val="28"/>
      <w:sz w:val="32"/>
      <w:szCs w:val="32"/>
    </w:rPr>
  </w:style>
  <w:style w:type="character" w:customStyle="1" w:styleId="158">
    <w:name w:val="纯文本 Char4"/>
    <w:semiHidden/>
    <w:qFormat/>
    <w:uiPriority w:val="99"/>
    <w:rPr>
      <w:rFonts w:ascii="宋体" w:hAnsi="Courier New" w:eastAsia="宋体" w:cs="Courier New"/>
      <w:szCs w:val="21"/>
    </w:rPr>
  </w:style>
  <w:style w:type="character" w:customStyle="1" w:styleId="159">
    <w:name w:val="Char Char21"/>
    <w:qFormat/>
    <w:uiPriority w:val="0"/>
    <w:rPr>
      <w:rFonts w:ascii="Arial" w:hAnsi="Arial" w:eastAsia="黑体"/>
      <w:b/>
      <w:bCs/>
      <w:kern w:val="2"/>
      <w:sz w:val="32"/>
      <w:szCs w:val="32"/>
      <w:lang w:val="en-US" w:eastAsia="zh-CN" w:bidi="ar-SA"/>
    </w:rPr>
  </w:style>
  <w:style w:type="character" w:customStyle="1" w:styleId="160">
    <w:name w:val="日期 Char1"/>
    <w:qFormat/>
    <w:uiPriority w:val="99"/>
    <w:rPr>
      <w:kern w:val="2"/>
      <w:sz w:val="21"/>
      <w:szCs w:val="22"/>
    </w:rPr>
  </w:style>
  <w:style w:type="character" w:customStyle="1" w:styleId="161">
    <w:name w:val="纯文本 Char"/>
    <w:qFormat/>
    <w:uiPriority w:val="99"/>
    <w:rPr>
      <w:rFonts w:ascii="宋体" w:hAnsi="Courier New" w:eastAsia="宋体" w:cs="Courier New"/>
      <w:szCs w:val="21"/>
    </w:rPr>
  </w:style>
  <w:style w:type="character" w:customStyle="1" w:styleId="162">
    <w:name w:val="脚注文本 字符1"/>
    <w:semiHidden/>
    <w:qFormat/>
    <w:uiPriority w:val="99"/>
    <w:rPr>
      <w:sz w:val="18"/>
      <w:szCs w:val="18"/>
    </w:rPr>
  </w:style>
  <w:style w:type="character" w:customStyle="1" w:styleId="163">
    <w:name w:val="副标题 Char1"/>
    <w:qFormat/>
    <w:uiPriority w:val="0"/>
    <w:rPr>
      <w:rFonts w:ascii="Cambria" w:hAnsi="Cambria" w:cs="Times New Roman"/>
      <w:b/>
      <w:bCs/>
      <w:kern w:val="28"/>
      <w:sz w:val="32"/>
      <w:szCs w:val="32"/>
    </w:rPr>
  </w:style>
  <w:style w:type="character" w:customStyle="1" w:styleId="164">
    <w:name w:val="尾注文本 Char3"/>
    <w:qFormat/>
    <w:uiPriority w:val="99"/>
    <w:rPr>
      <w:kern w:val="2"/>
      <w:sz w:val="21"/>
      <w:szCs w:val="24"/>
    </w:rPr>
  </w:style>
  <w:style w:type="character" w:customStyle="1" w:styleId="165">
    <w:name w:val="引用 Char4"/>
    <w:qFormat/>
    <w:uiPriority w:val="73"/>
    <w:rPr>
      <w:i/>
      <w:iCs/>
      <w:color w:val="404040"/>
    </w:rPr>
  </w:style>
  <w:style w:type="character" w:customStyle="1" w:styleId="166">
    <w:name w:val="样式3-1 Char"/>
    <w:link w:val="167"/>
    <w:qFormat/>
    <w:uiPriority w:val="0"/>
    <w:rPr>
      <w:rFonts w:ascii="宋体" w:hAnsi="宋体" w:eastAsia="宋体"/>
      <w:b/>
      <w:bCs/>
      <w:kern w:val="2"/>
      <w:sz w:val="32"/>
      <w:szCs w:val="24"/>
      <w:lang w:bidi="ar-SA"/>
    </w:rPr>
  </w:style>
  <w:style w:type="paragraph" w:customStyle="1" w:styleId="167">
    <w:name w:val="样式3-1"/>
    <w:basedOn w:val="1"/>
    <w:link w:val="166"/>
    <w:qFormat/>
    <w:uiPriority w:val="0"/>
    <w:pPr>
      <w:adjustRightInd w:val="0"/>
      <w:snapToGrid w:val="0"/>
      <w:spacing w:beforeLines="50" w:line="360" w:lineRule="auto"/>
      <w:jc w:val="center"/>
      <w:outlineLvl w:val="2"/>
    </w:pPr>
    <w:rPr>
      <w:rFonts w:ascii="宋体" w:hAnsi="宋体"/>
      <w:b/>
      <w:bCs/>
      <w:sz w:val="32"/>
    </w:rPr>
  </w:style>
  <w:style w:type="character" w:customStyle="1" w:styleId="168">
    <w:name w:val="HTML Markup"/>
    <w:qFormat/>
    <w:uiPriority w:val="0"/>
    <w:rPr>
      <w:vanish/>
      <w:color w:val="FF0000"/>
    </w:rPr>
  </w:style>
  <w:style w:type="character" w:customStyle="1" w:styleId="169">
    <w:name w:val="Body Text First Indent Char"/>
    <w:qFormat/>
    <w:locked/>
    <w:uiPriority w:val="0"/>
  </w:style>
  <w:style w:type="character" w:customStyle="1" w:styleId="170">
    <w:name w:val="标题 8 Char"/>
    <w:qFormat/>
    <w:uiPriority w:val="0"/>
    <w:rPr>
      <w:rFonts w:ascii="Arial" w:hAnsi="Arial" w:eastAsia="黑体" w:cs="Times New Roman"/>
      <w:kern w:val="0"/>
      <w:sz w:val="24"/>
      <w:szCs w:val="24"/>
    </w:rPr>
  </w:style>
  <w:style w:type="character" w:customStyle="1" w:styleId="171">
    <w:name w:val="正文文本缩进 字符1"/>
    <w:semiHidden/>
    <w:qFormat/>
    <w:uiPriority w:val="99"/>
  </w:style>
  <w:style w:type="character" w:customStyle="1" w:styleId="172">
    <w:name w:val="报告正文 Char Char"/>
    <w:link w:val="173"/>
    <w:qFormat/>
    <w:uiPriority w:val="0"/>
    <w:rPr>
      <w:kern w:val="2"/>
      <w:sz w:val="24"/>
      <w:szCs w:val="24"/>
    </w:rPr>
  </w:style>
  <w:style w:type="paragraph" w:customStyle="1" w:styleId="173">
    <w:name w:val="报告正文"/>
    <w:basedOn w:val="1"/>
    <w:link w:val="172"/>
    <w:qFormat/>
    <w:uiPriority w:val="0"/>
    <w:pPr>
      <w:spacing w:line="360" w:lineRule="auto"/>
      <w:ind w:firstLine="200" w:firstLineChars="200"/>
      <w:jc w:val="left"/>
    </w:pPr>
    <w:rPr>
      <w:sz w:val="24"/>
    </w:rPr>
  </w:style>
  <w:style w:type="character" w:customStyle="1" w:styleId="174">
    <w:name w:val="标题 Char1"/>
    <w:qFormat/>
    <w:uiPriority w:val="0"/>
    <w:rPr>
      <w:rFonts w:ascii="Cambria" w:hAnsi="Cambria" w:eastAsia="宋体" w:cs="Times New Roman"/>
      <w:b/>
      <w:bCs/>
      <w:sz w:val="32"/>
      <w:szCs w:val="32"/>
    </w:rPr>
  </w:style>
  <w:style w:type="character" w:customStyle="1" w:styleId="175">
    <w:name w:val="正文文本 2 Char"/>
    <w:qFormat/>
    <w:uiPriority w:val="0"/>
    <w:rPr>
      <w:rFonts w:ascii="Times New Roman" w:hAnsi="Times New Roman" w:eastAsia="宋体" w:cs="Times New Roman"/>
      <w:sz w:val="24"/>
      <w:szCs w:val="24"/>
    </w:rPr>
  </w:style>
  <w:style w:type="character" w:customStyle="1" w:styleId="176">
    <w:name w:val="正文文本 2 Char1"/>
    <w:qFormat/>
    <w:uiPriority w:val="0"/>
    <w:rPr>
      <w:rFonts w:ascii="Times New Roman" w:hAnsi="Times New Roman"/>
      <w:kern w:val="2"/>
      <w:sz w:val="21"/>
      <w:szCs w:val="24"/>
    </w:rPr>
  </w:style>
  <w:style w:type="character" w:customStyle="1" w:styleId="177">
    <w:name w:val="正文文本缩进 Char"/>
    <w:qFormat/>
    <w:uiPriority w:val="0"/>
    <w:rPr>
      <w:rFonts w:ascii="Times New Roman" w:hAnsi="Times New Roman" w:eastAsia="宋体" w:cs="Times New Roman"/>
      <w:szCs w:val="24"/>
    </w:rPr>
  </w:style>
  <w:style w:type="character" w:customStyle="1" w:styleId="178">
    <w:name w:val="引用 Char5"/>
    <w:link w:val="179"/>
    <w:qFormat/>
    <w:uiPriority w:val="0"/>
    <w:rPr>
      <w:i/>
      <w:iCs/>
      <w:color w:val="000000"/>
    </w:rPr>
  </w:style>
  <w:style w:type="paragraph" w:styleId="179">
    <w:name w:val="Quote"/>
    <w:basedOn w:val="1"/>
    <w:next w:val="1"/>
    <w:link w:val="178"/>
    <w:qFormat/>
    <w:uiPriority w:val="0"/>
    <w:rPr>
      <w:i/>
      <w:iCs/>
      <w:color w:val="000000"/>
      <w:kern w:val="0"/>
      <w:sz w:val="20"/>
      <w:szCs w:val="20"/>
    </w:rPr>
  </w:style>
  <w:style w:type="character" w:customStyle="1" w:styleId="180">
    <w:name w:val="文档结构图 Char1"/>
    <w:qFormat/>
    <w:uiPriority w:val="99"/>
    <w:rPr>
      <w:rFonts w:ascii="宋体" w:hAnsi="Times New Roman" w:eastAsia="宋体" w:cs="Times New Roman"/>
      <w:sz w:val="18"/>
      <w:szCs w:val="18"/>
    </w:rPr>
  </w:style>
  <w:style w:type="character" w:customStyle="1" w:styleId="181">
    <w:name w:val="页眉 Char Char"/>
    <w:qFormat/>
    <w:uiPriority w:val="0"/>
    <w:rPr>
      <w:kern w:val="2"/>
      <w:sz w:val="18"/>
      <w:szCs w:val="18"/>
    </w:rPr>
  </w:style>
  <w:style w:type="character" w:customStyle="1" w:styleId="182">
    <w:name w:val="Body Text Char1"/>
    <w:semiHidden/>
    <w:qFormat/>
    <w:uiPriority w:val="99"/>
    <w:rPr>
      <w:rFonts w:ascii="Times New Roman" w:hAnsi="Times New Roman"/>
      <w:spacing w:val="4"/>
      <w:sz w:val="24"/>
      <w:szCs w:val="24"/>
      <w:lang w:eastAsia="en-US"/>
    </w:rPr>
  </w:style>
  <w:style w:type="character" w:customStyle="1" w:styleId="183">
    <w:name w:val="样式 样式 纯文本 + 楷体_GB2312 四号 浅蓝 首行缩进:  1.1 厘米 行距: 1.5 倍行距 + 首行缩进:  4... Char"/>
    <w:link w:val="184"/>
    <w:qFormat/>
    <w:uiPriority w:val="0"/>
    <w:rPr>
      <w:rFonts w:ascii="宋体" w:hAnsi="宋体" w:eastAsia="宋体" w:cs="宋体"/>
      <w:bCs/>
      <w:kern w:val="2"/>
      <w:sz w:val="30"/>
      <w:lang w:val="en-US" w:eastAsia="zh-CN" w:bidi="ar-SA"/>
    </w:rPr>
  </w:style>
  <w:style w:type="paragraph" w:customStyle="1" w:styleId="184">
    <w:name w:val="样式 样式 纯文本 + 楷体_GB2312 四号 浅蓝 首行缩进:  1.1 厘米 行距: 1.5 倍行距 + 首行缩进:  4..."/>
    <w:basedOn w:val="1"/>
    <w:link w:val="183"/>
    <w:qFormat/>
    <w:uiPriority w:val="99"/>
    <w:pPr>
      <w:spacing w:line="360" w:lineRule="auto"/>
      <w:ind w:firstLine="300" w:firstLineChars="100"/>
    </w:pPr>
    <w:rPr>
      <w:rFonts w:ascii="宋体" w:hAnsi="宋体" w:cs="宋体"/>
      <w:bCs/>
      <w:sz w:val="30"/>
      <w:szCs w:val="20"/>
    </w:rPr>
  </w:style>
  <w:style w:type="character" w:customStyle="1" w:styleId="185">
    <w:name w:val="正文文本 2 字符1"/>
    <w:semiHidden/>
    <w:qFormat/>
    <w:uiPriority w:val="99"/>
  </w:style>
  <w:style w:type="character" w:customStyle="1" w:styleId="186">
    <w:name w:val="Body Text First Indent Char1"/>
    <w:semiHidden/>
    <w:qFormat/>
    <w:uiPriority w:val="99"/>
    <w:rPr>
      <w:rFonts w:eastAsia="宋体" w:cs="Times New Roman"/>
      <w:sz w:val="24"/>
      <w:lang w:val="en-US" w:eastAsia="zh-CN" w:bidi="ar-SA"/>
    </w:rPr>
  </w:style>
  <w:style w:type="character" w:customStyle="1" w:styleId="187">
    <w:name w:val="Balloon Text Char1"/>
    <w:semiHidden/>
    <w:qFormat/>
    <w:uiPriority w:val="99"/>
    <w:rPr>
      <w:rFonts w:ascii="Times New Roman" w:hAnsi="Times New Roman"/>
      <w:spacing w:val="4"/>
      <w:sz w:val="16"/>
      <w:szCs w:val="16"/>
      <w:lang w:eastAsia="en-US"/>
    </w:rPr>
  </w:style>
  <w:style w:type="character" w:customStyle="1" w:styleId="188">
    <w:name w:val="信息标题 Char1"/>
    <w:qFormat/>
    <w:uiPriority w:val="99"/>
    <w:rPr>
      <w:rFonts w:ascii="Cambria" w:hAnsi="Cambria" w:eastAsia="宋体" w:cs="Times New Roman"/>
      <w:sz w:val="24"/>
      <w:szCs w:val="24"/>
      <w:shd w:val="pct20" w:color="auto" w:fill="auto"/>
    </w:rPr>
  </w:style>
  <w:style w:type="character" w:customStyle="1" w:styleId="189">
    <w:name w:val="公文文号"/>
    <w:qFormat/>
    <w:uiPriority w:val="0"/>
    <w:rPr>
      <w:rFonts w:eastAsia="仿宋_GB2312"/>
      <w:sz w:val="32"/>
    </w:rPr>
  </w:style>
  <w:style w:type="character" w:customStyle="1" w:styleId="190">
    <w:name w:val="不明显参考2"/>
    <w:qFormat/>
    <w:uiPriority w:val="0"/>
    <w:rPr>
      <w:sz w:val="24"/>
      <w:szCs w:val="24"/>
      <w:u w:val="single"/>
    </w:rPr>
  </w:style>
  <w:style w:type="character" w:customStyle="1" w:styleId="191">
    <w:name w:val="CODE"/>
    <w:qFormat/>
    <w:uiPriority w:val="0"/>
    <w:rPr>
      <w:rFonts w:ascii="Courier New" w:hAnsi="Courier New"/>
      <w:sz w:val="20"/>
    </w:rPr>
  </w:style>
  <w:style w:type="character" w:customStyle="1" w:styleId="192">
    <w:name w:val="正文文本 3 Char1"/>
    <w:qFormat/>
    <w:uiPriority w:val="0"/>
    <w:rPr>
      <w:rFonts w:ascii="Times New Roman" w:hAnsi="Times New Roman" w:eastAsia="宋体" w:cs="Times New Roman"/>
      <w:sz w:val="16"/>
      <w:szCs w:val="16"/>
    </w:rPr>
  </w:style>
  <w:style w:type="character" w:customStyle="1" w:styleId="193">
    <w:name w:val="明显引用 Char2"/>
    <w:qFormat/>
    <w:uiPriority w:val="30"/>
    <w:rPr>
      <w:rFonts w:ascii="Tahoma" w:hAnsi="Tahoma"/>
      <w:b/>
      <w:bCs/>
      <w:i/>
      <w:iCs/>
      <w:color w:val="4F81BD"/>
      <w:kern w:val="2"/>
      <w:sz w:val="21"/>
      <w:szCs w:val="22"/>
    </w:rPr>
  </w:style>
  <w:style w:type="character" w:customStyle="1" w:styleId="194">
    <w:name w:val="标题 2 Char"/>
    <w:qFormat/>
    <w:uiPriority w:val="9"/>
    <w:rPr>
      <w:rFonts w:ascii="Arial" w:hAnsi="Arial" w:eastAsia="黑体"/>
      <w:b/>
      <w:bCs/>
      <w:sz w:val="32"/>
      <w:szCs w:val="32"/>
    </w:rPr>
  </w:style>
  <w:style w:type="character" w:customStyle="1" w:styleId="195">
    <w:name w:val="标题 3 Char"/>
    <w:qFormat/>
    <w:uiPriority w:val="0"/>
    <w:rPr>
      <w:rFonts w:ascii="Times New Roman" w:hAnsi="Times New Roman" w:eastAsia="宋体" w:cs="Times New Roman"/>
      <w:b/>
      <w:bCs/>
      <w:kern w:val="0"/>
      <w:sz w:val="32"/>
      <w:szCs w:val="32"/>
    </w:rPr>
  </w:style>
  <w:style w:type="character" w:customStyle="1" w:styleId="196">
    <w:name w:val="正文文本 3 字符1"/>
    <w:semiHidden/>
    <w:qFormat/>
    <w:uiPriority w:val="99"/>
    <w:rPr>
      <w:sz w:val="16"/>
      <w:szCs w:val="16"/>
    </w:rPr>
  </w:style>
  <w:style w:type="character" w:customStyle="1" w:styleId="197">
    <w:name w:val="正文文本缩进 3 Char3"/>
    <w:qFormat/>
    <w:uiPriority w:val="99"/>
    <w:rPr>
      <w:rFonts w:ascii="Times New Roman" w:hAnsi="Times New Roman" w:eastAsia="宋体" w:cs="Times New Roman"/>
      <w:sz w:val="16"/>
      <w:szCs w:val="16"/>
    </w:rPr>
  </w:style>
  <w:style w:type="character" w:customStyle="1" w:styleId="198">
    <w:name w:val="Body Text 2 Char"/>
    <w:qFormat/>
    <w:locked/>
    <w:uiPriority w:val="0"/>
    <w:rPr>
      <w:rFonts w:ascii="Times New Roman" w:hAnsi="Times New Roman" w:eastAsia="宋体" w:cs="Times New Roman"/>
      <w:sz w:val="24"/>
      <w:szCs w:val="24"/>
    </w:rPr>
  </w:style>
  <w:style w:type="character" w:customStyle="1" w:styleId="199">
    <w:name w:val="Char Char4"/>
    <w:qFormat/>
    <w:uiPriority w:val="0"/>
    <w:rPr>
      <w:lang w:bidi="ar-SA"/>
    </w:rPr>
  </w:style>
  <w:style w:type="character" w:customStyle="1" w:styleId="200">
    <w:name w:val="标题 6 Char"/>
    <w:qFormat/>
    <w:uiPriority w:val="0"/>
    <w:rPr>
      <w:rFonts w:ascii="Arial" w:hAnsi="Arial" w:eastAsia="黑体" w:cs="Times New Roman"/>
      <w:b/>
      <w:bCs/>
      <w:kern w:val="0"/>
      <w:sz w:val="24"/>
      <w:szCs w:val="24"/>
    </w:rPr>
  </w:style>
  <w:style w:type="character" w:customStyle="1" w:styleId="201">
    <w:name w:val="Comment"/>
    <w:qFormat/>
    <w:uiPriority w:val="0"/>
    <w:rPr>
      <w:vanish/>
    </w:rPr>
  </w:style>
  <w:style w:type="character" w:customStyle="1" w:styleId="202">
    <w:name w:val="标题 1 Char"/>
    <w:qFormat/>
    <w:uiPriority w:val="0"/>
    <w:rPr>
      <w:rFonts w:ascii="Times New Roman" w:hAnsi="Times New Roman" w:eastAsia="宋体" w:cs="Times New Roman"/>
      <w:b/>
      <w:bCs/>
      <w:kern w:val="44"/>
      <w:sz w:val="44"/>
      <w:szCs w:val="44"/>
    </w:rPr>
  </w:style>
  <w:style w:type="character" w:customStyle="1" w:styleId="203">
    <w:name w:val="标题 4 Char Char"/>
    <w:qFormat/>
    <w:uiPriority w:val="0"/>
    <w:rPr>
      <w:rFonts w:ascii="Cambria" w:hAnsi="Cambria" w:eastAsia="宋体" w:cs="Times New Roman"/>
      <w:b/>
      <w:bCs/>
      <w:kern w:val="2"/>
      <w:sz w:val="28"/>
      <w:szCs w:val="28"/>
    </w:rPr>
  </w:style>
  <w:style w:type="character" w:customStyle="1" w:styleId="204">
    <w:name w:val="Body Text Indent 2 Char1"/>
    <w:semiHidden/>
    <w:qFormat/>
    <w:uiPriority w:val="99"/>
    <w:rPr>
      <w:rFonts w:ascii="Times New Roman" w:hAnsi="Times New Roman"/>
      <w:spacing w:val="4"/>
      <w:sz w:val="24"/>
      <w:szCs w:val="24"/>
      <w:lang w:eastAsia="en-US"/>
    </w:rPr>
  </w:style>
  <w:style w:type="character" w:customStyle="1" w:styleId="205">
    <w:name w:val="正文文本缩进 3 Char2"/>
    <w:qFormat/>
    <w:uiPriority w:val="99"/>
    <w:rPr>
      <w:rFonts w:ascii="Times New Roman" w:hAnsi="Times New Roman"/>
      <w:sz w:val="16"/>
      <w:szCs w:val="16"/>
    </w:rPr>
  </w:style>
  <w:style w:type="character" w:customStyle="1" w:styleId="206">
    <w:name w:val="书籍标题1"/>
    <w:qFormat/>
    <w:uiPriority w:val="0"/>
    <w:rPr>
      <w:b/>
      <w:bCs/>
      <w:smallCaps/>
      <w:spacing w:val="5"/>
    </w:rPr>
  </w:style>
  <w:style w:type="character" w:customStyle="1" w:styleId="207">
    <w:name w:val="批注框文本 Char"/>
    <w:qFormat/>
    <w:uiPriority w:val="99"/>
    <w:rPr>
      <w:sz w:val="18"/>
      <w:szCs w:val="18"/>
    </w:rPr>
  </w:style>
  <w:style w:type="character" w:customStyle="1" w:styleId="208">
    <w:name w:val="textlabel"/>
    <w:qFormat/>
    <w:uiPriority w:val="0"/>
  </w:style>
  <w:style w:type="character" w:customStyle="1" w:styleId="209">
    <w:name w:val="Char Char11"/>
    <w:qFormat/>
    <w:uiPriority w:val="0"/>
    <w:rPr>
      <w:rFonts w:eastAsia="宋体"/>
      <w:sz w:val="18"/>
      <w:lang w:val="en-US" w:eastAsia="zh-CN"/>
    </w:rPr>
  </w:style>
  <w:style w:type="character" w:customStyle="1" w:styleId="210">
    <w:name w:val="Footer Char"/>
    <w:qFormat/>
    <w:locked/>
    <w:uiPriority w:val="0"/>
    <w:rPr>
      <w:rFonts w:cs="Times New Roman"/>
      <w:sz w:val="18"/>
      <w:szCs w:val="18"/>
    </w:rPr>
  </w:style>
  <w:style w:type="character" w:customStyle="1" w:styleId="211">
    <w:name w:val="Title Header2 Char Char"/>
    <w:qFormat/>
    <w:uiPriority w:val="0"/>
    <w:rPr>
      <w:rFonts w:ascii="Arial" w:hAnsi="Arial" w:eastAsia="黑体"/>
      <w:b/>
      <w:bCs/>
      <w:sz w:val="32"/>
      <w:szCs w:val="32"/>
      <w:lang w:val="en-US" w:eastAsia="zh-CN" w:bidi="ar-SA"/>
    </w:rPr>
  </w:style>
  <w:style w:type="character" w:customStyle="1" w:styleId="212">
    <w:name w:val="手改 Char Char"/>
    <w:qFormat/>
    <w:uiPriority w:val="0"/>
    <w:rPr>
      <w:rFonts w:eastAsia="宋体"/>
      <w:kern w:val="2"/>
      <w:sz w:val="21"/>
      <w:szCs w:val="24"/>
      <w:lang w:val="en-US" w:eastAsia="zh-CN" w:bidi="ar-SA"/>
    </w:rPr>
  </w:style>
  <w:style w:type="character" w:customStyle="1" w:styleId="213">
    <w:name w:val="Char Char Char Char Char"/>
    <w:link w:val="214"/>
    <w:qFormat/>
    <w:uiPriority w:val="0"/>
    <w:rPr>
      <w:rFonts w:ascii="Tahoma" w:hAnsi="Tahoma"/>
      <w:kern w:val="2"/>
      <w:sz w:val="24"/>
    </w:rPr>
  </w:style>
  <w:style w:type="paragraph" w:customStyle="1" w:styleId="214">
    <w:name w:val="Char Char Char Char12"/>
    <w:basedOn w:val="1"/>
    <w:link w:val="213"/>
    <w:qFormat/>
    <w:uiPriority w:val="0"/>
    <w:rPr>
      <w:rFonts w:ascii="Tahoma" w:hAnsi="Tahoma"/>
      <w:sz w:val="24"/>
      <w:szCs w:val="20"/>
    </w:rPr>
  </w:style>
  <w:style w:type="character" w:customStyle="1" w:styleId="215">
    <w:name w:val="网格型浅色1"/>
    <w:qFormat/>
    <w:uiPriority w:val="0"/>
    <w:rPr>
      <w:b/>
      <w:bCs/>
      <w:smallCaps/>
      <w:color w:val="C0504D"/>
      <w:spacing w:val="5"/>
      <w:u w:val="single"/>
    </w:rPr>
  </w:style>
  <w:style w:type="character" w:customStyle="1" w:styleId="216">
    <w:name w:val="标题 5 Char1"/>
    <w:qFormat/>
    <w:uiPriority w:val="9"/>
    <w:rPr>
      <w:rFonts w:ascii="Times New Roman" w:hAnsi="Times New Roman" w:eastAsia="宋体" w:cs="Times New Roman"/>
      <w:color w:val="000000"/>
      <w:szCs w:val="21"/>
      <w:lang w:val="zh-CN" w:eastAsia="zh-CN"/>
    </w:rPr>
  </w:style>
  <w:style w:type="character" w:customStyle="1" w:styleId="217">
    <w:name w:val="Document Map Char"/>
    <w:qFormat/>
    <w:locked/>
    <w:uiPriority w:val="0"/>
    <w:rPr>
      <w:rFonts w:eastAsia="宋体" w:cs="Times New Roman"/>
      <w:sz w:val="24"/>
      <w:szCs w:val="24"/>
      <w:shd w:val="clear" w:color="auto" w:fill="000080"/>
    </w:rPr>
  </w:style>
  <w:style w:type="character" w:customStyle="1" w:styleId="218">
    <w:name w:val="Char Char711"/>
    <w:qFormat/>
    <w:uiPriority w:val="0"/>
    <w:rPr>
      <w:rFonts w:ascii="宋体" w:hAnsi="Courier New" w:eastAsia="宋体"/>
      <w:szCs w:val="21"/>
      <w:lang w:bidi="ar-SA"/>
    </w:rPr>
  </w:style>
  <w:style w:type="character" w:customStyle="1" w:styleId="219">
    <w:name w:val="正文文本缩进 3 字符1"/>
    <w:semiHidden/>
    <w:qFormat/>
    <w:uiPriority w:val="99"/>
    <w:rPr>
      <w:sz w:val="16"/>
      <w:szCs w:val="16"/>
    </w:rPr>
  </w:style>
  <w:style w:type="character" w:customStyle="1" w:styleId="220">
    <w:name w:val="引用 Char3"/>
    <w:qFormat/>
    <w:uiPriority w:val="29"/>
    <w:rPr>
      <w:rFonts w:ascii="Times New Roman" w:hAnsi="Times New Roman" w:eastAsia="宋体" w:cs="Times New Roman"/>
      <w:i/>
      <w:iCs/>
      <w:color w:val="000000"/>
      <w:szCs w:val="20"/>
    </w:rPr>
  </w:style>
  <w:style w:type="character" w:customStyle="1" w:styleId="221">
    <w:name w:val="页眉 Char"/>
    <w:qFormat/>
    <w:uiPriority w:val="99"/>
    <w:rPr>
      <w:sz w:val="18"/>
      <w:szCs w:val="18"/>
    </w:rPr>
  </w:style>
  <w:style w:type="character" w:customStyle="1" w:styleId="222">
    <w:name w:val="Heading 1 Char"/>
    <w:qFormat/>
    <w:locked/>
    <w:uiPriority w:val="0"/>
    <w:rPr>
      <w:rFonts w:ascii="Times New Roman" w:hAnsi="Times New Roman" w:eastAsia="宋体" w:cs="Times New Roman"/>
      <w:b/>
      <w:bCs/>
      <w:kern w:val="44"/>
      <w:sz w:val="44"/>
      <w:szCs w:val="44"/>
    </w:rPr>
  </w:style>
  <w:style w:type="character" w:customStyle="1" w:styleId="223">
    <w:name w:val="批注主题 Char"/>
    <w:qFormat/>
    <w:uiPriority w:val="99"/>
    <w:rPr>
      <w:rFonts w:ascii="Times New Roman" w:hAnsi="Times New Roman" w:eastAsia="宋体" w:cs="Times New Roman"/>
      <w:b/>
      <w:bCs/>
      <w:szCs w:val="24"/>
    </w:rPr>
  </w:style>
  <w:style w:type="character" w:customStyle="1" w:styleId="224">
    <w:name w:val="Heading 4 Char"/>
    <w:qFormat/>
    <w:locked/>
    <w:uiPriority w:val="0"/>
    <w:rPr>
      <w:rFonts w:ascii="Cambria" w:hAnsi="Cambria" w:eastAsia="宋体" w:cs="Times New Roman"/>
      <w:b/>
      <w:bCs/>
      <w:sz w:val="28"/>
      <w:szCs w:val="28"/>
    </w:rPr>
  </w:style>
  <w:style w:type="character" w:customStyle="1" w:styleId="225">
    <w:name w:val="标题 Char2"/>
    <w:qFormat/>
    <w:uiPriority w:val="10"/>
    <w:rPr>
      <w:rFonts w:ascii="Cambria" w:hAnsi="Cambria" w:cs="Times New Roman"/>
      <w:b/>
      <w:bCs/>
      <w:kern w:val="2"/>
      <w:sz w:val="32"/>
      <w:szCs w:val="32"/>
    </w:rPr>
  </w:style>
  <w:style w:type="character" w:customStyle="1" w:styleId="226">
    <w:name w:val="Body Text Indent 3 Char1"/>
    <w:semiHidden/>
    <w:qFormat/>
    <w:uiPriority w:val="99"/>
    <w:rPr>
      <w:rFonts w:ascii="Times New Roman" w:hAnsi="Times New Roman"/>
      <w:spacing w:val="4"/>
      <w:sz w:val="16"/>
      <w:szCs w:val="16"/>
      <w:lang w:eastAsia="en-US"/>
    </w:rPr>
  </w:style>
  <w:style w:type="character" w:customStyle="1" w:styleId="227">
    <w:name w:val="正文文本 2 Char4"/>
    <w:semiHidden/>
    <w:qFormat/>
    <w:uiPriority w:val="99"/>
    <w:rPr>
      <w:rFonts w:ascii="Times New Roman" w:hAnsi="Times New Roman" w:eastAsia="宋体" w:cs="Times New Roman"/>
      <w:szCs w:val="24"/>
    </w:rPr>
  </w:style>
  <w:style w:type="character" w:customStyle="1" w:styleId="228">
    <w:name w:val="HTML Preformatted Char"/>
    <w:qFormat/>
    <w:locked/>
    <w:uiPriority w:val="99"/>
    <w:rPr>
      <w:rFonts w:ascii="宋体" w:eastAsia="宋体"/>
      <w:sz w:val="24"/>
    </w:rPr>
  </w:style>
  <w:style w:type="character" w:customStyle="1" w:styleId="229">
    <w:name w:val="link1"/>
    <w:qFormat/>
    <w:uiPriority w:val="0"/>
    <w:rPr>
      <w:sz w:val="18"/>
      <w:szCs w:val="18"/>
    </w:rPr>
  </w:style>
  <w:style w:type="character" w:customStyle="1" w:styleId="230">
    <w:name w:val="日期 Char2"/>
    <w:qFormat/>
    <w:uiPriority w:val="99"/>
    <w:rPr>
      <w:rFonts w:ascii="Times New Roman" w:hAnsi="Times New Roman"/>
      <w:szCs w:val="24"/>
    </w:rPr>
  </w:style>
  <w:style w:type="character" w:customStyle="1" w:styleId="231">
    <w:name w:val="正文文本缩进 2 Char3"/>
    <w:qFormat/>
    <w:uiPriority w:val="99"/>
    <w:rPr>
      <w:rFonts w:ascii="Times New Roman" w:hAnsi="Times New Roman" w:eastAsia="宋体" w:cs="Times New Roman"/>
      <w:szCs w:val="24"/>
    </w:rPr>
  </w:style>
  <w:style w:type="character" w:customStyle="1" w:styleId="232">
    <w:name w:val="网格表 1 浅色1"/>
    <w:qFormat/>
    <w:uiPriority w:val="0"/>
    <w:rPr>
      <w:b/>
      <w:bCs/>
      <w:smallCaps/>
      <w:spacing w:val="5"/>
    </w:rPr>
  </w:style>
  <w:style w:type="character" w:customStyle="1" w:styleId="233">
    <w:name w:val="tpc_content1"/>
    <w:qFormat/>
    <w:uiPriority w:val="0"/>
    <w:rPr>
      <w:sz w:val="20"/>
      <w:szCs w:val="20"/>
    </w:rPr>
  </w:style>
  <w:style w:type="character" w:customStyle="1" w:styleId="234">
    <w:name w:val="HTML 预设格式 Char1"/>
    <w:qFormat/>
    <w:uiPriority w:val="0"/>
    <w:rPr>
      <w:rFonts w:ascii="Courier New" w:hAnsi="Courier New" w:eastAsia="宋体" w:cs="Courier New"/>
      <w:sz w:val="20"/>
      <w:szCs w:val="20"/>
    </w:rPr>
  </w:style>
  <w:style w:type="character" w:customStyle="1" w:styleId="235">
    <w:name w:val="无格式表格 51"/>
    <w:qFormat/>
    <w:uiPriority w:val="0"/>
    <w:rPr>
      <w:smallCaps/>
      <w:color w:val="C0504D"/>
      <w:u w:val="single"/>
    </w:rPr>
  </w:style>
  <w:style w:type="character" w:customStyle="1" w:styleId="236">
    <w:name w:val="样式 样式 样式 纯文本 + 楷体_GB2312 四号 浅蓝 首行缩进:  1.1 厘米 行距: 1.5 倍行距 + 首行缩进:... Char Char"/>
    <w:qFormat/>
    <w:locked/>
    <w:uiPriority w:val="99"/>
    <w:rPr>
      <w:rFonts w:ascii="宋体"/>
      <w:sz w:val="30"/>
    </w:rPr>
  </w:style>
  <w:style w:type="character" w:customStyle="1" w:styleId="237">
    <w:name w:val="CITE"/>
    <w:qFormat/>
    <w:uiPriority w:val="0"/>
    <w:rPr>
      <w:i/>
    </w:rPr>
  </w:style>
  <w:style w:type="character" w:customStyle="1" w:styleId="238">
    <w:name w:val="Blockquote Char"/>
    <w:link w:val="239"/>
    <w:qFormat/>
    <w:uiPriority w:val="0"/>
    <w:rPr>
      <w:sz w:val="24"/>
    </w:rPr>
  </w:style>
  <w:style w:type="paragraph" w:customStyle="1" w:styleId="239">
    <w:name w:val="Blockquote"/>
    <w:basedOn w:val="1"/>
    <w:link w:val="238"/>
    <w:qFormat/>
    <w:uiPriority w:val="0"/>
    <w:pPr>
      <w:autoSpaceDE w:val="0"/>
      <w:autoSpaceDN w:val="0"/>
      <w:adjustRightInd w:val="0"/>
      <w:spacing w:before="100" w:after="100"/>
      <w:ind w:left="360" w:right="360"/>
      <w:jc w:val="left"/>
    </w:pPr>
    <w:rPr>
      <w:kern w:val="0"/>
      <w:sz w:val="24"/>
      <w:szCs w:val="20"/>
    </w:rPr>
  </w:style>
  <w:style w:type="character" w:customStyle="1" w:styleId="240">
    <w:name w:val="书籍标题2"/>
    <w:qFormat/>
    <w:uiPriority w:val="33"/>
    <w:rPr>
      <w:b/>
      <w:bCs/>
      <w:smallCaps/>
      <w:spacing w:val="5"/>
    </w:rPr>
  </w:style>
  <w:style w:type="character" w:customStyle="1" w:styleId="241">
    <w:name w:val="正文文本首行缩进 字符2"/>
    <w:qFormat/>
    <w:uiPriority w:val="0"/>
    <w:rPr>
      <w:rFonts w:ascii="Calibri" w:hAnsi="Calibri"/>
      <w:kern w:val="2"/>
      <w:sz w:val="21"/>
      <w:szCs w:val="22"/>
    </w:rPr>
  </w:style>
  <w:style w:type="character" w:customStyle="1" w:styleId="242">
    <w:name w:val="尾注文本 字符1"/>
    <w:qFormat/>
    <w:uiPriority w:val="0"/>
  </w:style>
  <w:style w:type="character" w:customStyle="1" w:styleId="243">
    <w:name w:val="标题 Char4"/>
    <w:qFormat/>
    <w:uiPriority w:val="10"/>
    <w:rPr>
      <w:rFonts w:ascii="Cambria" w:hAnsi="Cambria" w:cs="Times New Roman"/>
      <w:b/>
      <w:bCs/>
      <w:kern w:val="2"/>
      <w:sz w:val="32"/>
      <w:szCs w:val="32"/>
    </w:rPr>
  </w:style>
  <w:style w:type="character" w:customStyle="1" w:styleId="244">
    <w:name w:val="Body Text 2 Char1"/>
    <w:semiHidden/>
    <w:qFormat/>
    <w:uiPriority w:val="99"/>
    <w:rPr>
      <w:rFonts w:ascii="Times New Roman" w:hAnsi="Times New Roman"/>
      <w:spacing w:val="4"/>
      <w:sz w:val="24"/>
      <w:szCs w:val="24"/>
      <w:lang w:eastAsia="en-US"/>
    </w:rPr>
  </w:style>
  <w:style w:type="character" w:customStyle="1" w:styleId="245">
    <w:name w:val="正文文本 Char2"/>
    <w:qFormat/>
    <w:uiPriority w:val="0"/>
    <w:rPr>
      <w:rFonts w:ascii="Tahoma" w:hAnsi="Tahoma"/>
      <w:kern w:val="2"/>
      <w:sz w:val="21"/>
      <w:szCs w:val="22"/>
    </w:rPr>
  </w:style>
  <w:style w:type="character" w:customStyle="1" w:styleId="246">
    <w:name w:val="标题4 Char Char"/>
    <w:qFormat/>
    <w:uiPriority w:val="0"/>
    <w:rPr>
      <w:rFonts w:ascii="Arial" w:hAnsi="Arial"/>
      <w:b/>
      <w:bCs/>
      <w:sz w:val="24"/>
      <w:szCs w:val="32"/>
    </w:rPr>
  </w:style>
  <w:style w:type="character" w:customStyle="1" w:styleId="247">
    <w:name w:val="不明显参考1"/>
    <w:qFormat/>
    <w:uiPriority w:val="31"/>
    <w:rPr>
      <w:smallCaps/>
      <w:color w:val="C0504D"/>
      <w:u w:val="single"/>
    </w:rPr>
  </w:style>
  <w:style w:type="character" w:customStyle="1" w:styleId="248">
    <w:name w:val="Preformatted Char Char"/>
    <w:qFormat/>
    <w:uiPriority w:val="0"/>
    <w:rPr>
      <w:rFonts w:ascii="Courier New" w:hAnsi="Courier New" w:eastAsia="宋体"/>
      <w:lang w:val="en-US" w:eastAsia="zh-CN"/>
    </w:rPr>
  </w:style>
  <w:style w:type="character" w:customStyle="1" w:styleId="249">
    <w:name w:val="Char Char16"/>
    <w:qFormat/>
    <w:uiPriority w:val="0"/>
    <w:rPr>
      <w:rFonts w:ascii="Calibri" w:hAnsi="Calibri" w:eastAsia="宋体"/>
      <w:b/>
      <w:bCs/>
      <w:kern w:val="2"/>
      <w:sz w:val="32"/>
      <w:szCs w:val="32"/>
      <w:lang w:val="en-US" w:eastAsia="zh-CN" w:bidi="ar-SA"/>
    </w:rPr>
  </w:style>
  <w:style w:type="character" w:customStyle="1" w:styleId="250">
    <w:name w:val="正文文本缩进 Char2"/>
    <w:qFormat/>
    <w:uiPriority w:val="99"/>
    <w:rPr>
      <w:rFonts w:ascii="Times New Roman" w:hAnsi="Times New Roman"/>
      <w:szCs w:val="24"/>
    </w:rPr>
  </w:style>
  <w:style w:type="character" w:customStyle="1" w:styleId="251">
    <w:name w:val="Definition"/>
    <w:qFormat/>
    <w:uiPriority w:val="0"/>
    <w:rPr>
      <w:i/>
    </w:rPr>
  </w:style>
  <w:style w:type="character" w:customStyle="1" w:styleId="252">
    <w:name w:val="页眉 Char2"/>
    <w:qFormat/>
    <w:uiPriority w:val="99"/>
    <w:rPr>
      <w:rFonts w:eastAsia="宋体"/>
      <w:sz w:val="18"/>
      <w:szCs w:val="18"/>
    </w:rPr>
  </w:style>
  <w:style w:type="character" w:customStyle="1" w:styleId="253">
    <w:name w:val="标题 Char"/>
    <w:qFormat/>
    <w:uiPriority w:val="10"/>
    <w:rPr>
      <w:rFonts w:ascii="Cambria" w:hAnsi="Cambria" w:eastAsia="宋体" w:cs="Times New Roman"/>
      <w:color w:val="17365D"/>
      <w:spacing w:val="5"/>
      <w:kern w:val="28"/>
      <w:sz w:val="52"/>
      <w:szCs w:val="52"/>
      <w:lang w:eastAsia="en-US" w:bidi="en-US"/>
    </w:rPr>
  </w:style>
  <w:style w:type="character" w:customStyle="1" w:styleId="254">
    <w:name w:val="副标题 Char3"/>
    <w:qFormat/>
    <w:uiPriority w:val="11"/>
    <w:rPr>
      <w:rFonts w:ascii="Cambria" w:hAnsi="Cambria"/>
      <w:b/>
      <w:bCs/>
      <w:kern w:val="28"/>
      <w:sz w:val="32"/>
      <w:szCs w:val="32"/>
    </w:rPr>
  </w:style>
  <w:style w:type="character" w:customStyle="1" w:styleId="255">
    <w:name w:val="Char Char20"/>
    <w:qFormat/>
    <w:uiPriority w:val="0"/>
    <w:rPr>
      <w:b/>
      <w:bCs/>
      <w:sz w:val="28"/>
      <w:szCs w:val="28"/>
    </w:rPr>
  </w:style>
  <w:style w:type="character" w:customStyle="1" w:styleId="256">
    <w:name w:val="文档结构图 Char"/>
    <w:qFormat/>
    <w:uiPriority w:val="99"/>
    <w:rPr>
      <w:rFonts w:ascii="宋体" w:hAnsi="Times New Roman" w:eastAsia="宋体" w:cs="Times New Roman"/>
      <w:sz w:val="18"/>
      <w:szCs w:val="18"/>
    </w:rPr>
  </w:style>
  <w:style w:type="character" w:customStyle="1" w:styleId="257">
    <w:name w:val="标题 4 Char1"/>
    <w:qFormat/>
    <w:uiPriority w:val="9"/>
    <w:rPr>
      <w:rFonts w:ascii="Arial" w:hAnsi="Arial" w:eastAsia="黑体" w:cs="Times New Roman"/>
      <w:b/>
      <w:bCs/>
      <w:kern w:val="0"/>
      <w:sz w:val="28"/>
      <w:szCs w:val="28"/>
    </w:rPr>
  </w:style>
  <w:style w:type="character" w:customStyle="1" w:styleId="258">
    <w:name w:val="Quote Char1"/>
    <w:qFormat/>
    <w:uiPriority w:val="0"/>
    <w:rPr>
      <w:i/>
      <w:iCs/>
      <w:color w:val="000000"/>
    </w:rPr>
  </w:style>
  <w:style w:type="character" w:customStyle="1" w:styleId="259">
    <w:name w:val="页脚 Char1"/>
    <w:semiHidden/>
    <w:qFormat/>
    <w:uiPriority w:val="99"/>
    <w:rPr>
      <w:kern w:val="2"/>
      <w:sz w:val="18"/>
      <w:szCs w:val="18"/>
    </w:rPr>
  </w:style>
  <w:style w:type="character" w:customStyle="1" w:styleId="260">
    <w:name w:val="明显引用 字符1"/>
    <w:qFormat/>
    <w:locked/>
    <w:uiPriority w:val="0"/>
    <w:rPr>
      <w:rFonts w:ascii="Calibri" w:hAnsi="Calibri"/>
      <w:b/>
      <w:i/>
      <w:sz w:val="24"/>
      <w:lang w:eastAsia="en-US" w:bidi="en-US"/>
    </w:rPr>
  </w:style>
  <w:style w:type="character" w:customStyle="1" w:styleId="261">
    <w:name w:val="明显强调11"/>
    <w:qFormat/>
    <w:uiPriority w:val="0"/>
    <w:rPr>
      <w:b/>
      <w:bCs/>
      <w:i/>
      <w:iCs/>
      <w:color w:val="4F81BD"/>
    </w:rPr>
  </w:style>
  <w:style w:type="character" w:customStyle="1" w:styleId="262">
    <w:name w:val="Para head"/>
    <w:qFormat/>
    <w:uiPriority w:val="0"/>
    <w:rPr>
      <w:rFonts w:ascii="Arial" w:hAnsi="Arial" w:eastAsia="Times New Roman"/>
      <w:sz w:val="20"/>
    </w:rPr>
  </w:style>
  <w:style w:type="character" w:customStyle="1" w:styleId="263">
    <w:name w:val="明显引用 Char"/>
    <w:link w:val="264"/>
    <w:qFormat/>
    <w:uiPriority w:val="30"/>
    <w:rPr>
      <w:b/>
      <w:bCs/>
      <w:i/>
      <w:iCs/>
      <w:color w:val="4F81BD"/>
      <w:sz w:val="22"/>
      <w:lang w:eastAsia="en-US" w:bidi="en-US"/>
    </w:rPr>
  </w:style>
  <w:style w:type="paragraph" w:customStyle="1" w:styleId="264">
    <w:name w:val="明显引用1"/>
    <w:basedOn w:val="1"/>
    <w:next w:val="1"/>
    <w:link w:val="263"/>
    <w:qFormat/>
    <w:uiPriority w:val="0"/>
    <w:pPr>
      <w:widowControl/>
      <w:pBdr>
        <w:bottom w:val="single" w:color="4F81BD" w:sz="4" w:space="4"/>
      </w:pBdr>
      <w:spacing w:before="200" w:after="280" w:line="276" w:lineRule="auto"/>
      <w:ind w:left="936" w:right="936" w:firstLine="200" w:firstLineChars="200"/>
      <w:jc w:val="left"/>
    </w:pPr>
    <w:rPr>
      <w:b/>
      <w:bCs/>
      <w:i/>
      <w:iCs/>
      <w:color w:val="4F81BD"/>
      <w:kern w:val="0"/>
      <w:sz w:val="22"/>
      <w:szCs w:val="20"/>
      <w:lang w:eastAsia="en-US" w:bidi="en-US"/>
    </w:rPr>
  </w:style>
  <w:style w:type="character" w:customStyle="1" w:styleId="265">
    <w:name w:val="Char Char24"/>
    <w:qFormat/>
    <w:uiPriority w:val="0"/>
    <w:rPr>
      <w:rFonts w:ascii="Times New Roman" w:eastAsia="宋体"/>
      <w:b/>
      <w:bCs/>
      <w:kern w:val="44"/>
      <w:sz w:val="44"/>
      <w:szCs w:val="44"/>
    </w:rPr>
  </w:style>
  <w:style w:type="character" w:customStyle="1" w:styleId="266">
    <w:name w:val="标题 Char5"/>
    <w:qFormat/>
    <w:uiPriority w:val="10"/>
    <w:rPr>
      <w:rFonts w:ascii="Cambria" w:hAnsi="Cambria" w:eastAsia="宋体" w:cs="Times New Roman"/>
      <w:b/>
      <w:bCs/>
      <w:sz w:val="32"/>
      <w:szCs w:val="32"/>
    </w:rPr>
  </w:style>
  <w:style w:type="character" w:customStyle="1" w:styleId="267">
    <w:name w:val="副标题 字符1"/>
    <w:qFormat/>
    <w:uiPriority w:val="11"/>
    <w:rPr>
      <w:rFonts w:ascii="等线" w:hAnsi="等线" w:eastAsia="等线" w:cs="Times New Roman"/>
      <w:b/>
      <w:bCs/>
      <w:kern w:val="28"/>
      <w:sz w:val="32"/>
      <w:szCs w:val="32"/>
    </w:rPr>
  </w:style>
  <w:style w:type="character" w:customStyle="1" w:styleId="268">
    <w:name w:val="Body Text Char"/>
    <w:qFormat/>
    <w:locked/>
    <w:uiPriority w:val="0"/>
    <w:rPr>
      <w:rFonts w:eastAsia="宋体" w:cs="Times New Roman"/>
      <w:sz w:val="24"/>
      <w:szCs w:val="24"/>
    </w:rPr>
  </w:style>
  <w:style w:type="character" w:customStyle="1" w:styleId="269">
    <w:name w:val="Char Char22"/>
    <w:qFormat/>
    <w:uiPriority w:val="0"/>
    <w:rPr>
      <w:rFonts w:hint="eastAsia" w:ascii="仿宋" w:hAnsi="仿宋" w:eastAsia="仿宋"/>
      <w:b/>
      <w:bCs/>
      <w:iCs/>
      <w:sz w:val="44"/>
      <w:szCs w:val="48"/>
      <w:lang w:bidi="en-US"/>
    </w:rPr>
  </w:style>
  <w:style w:type="character" w:customStyle="1" w:styleId="270">
    <w:name w:val="引用 字符2"/>
    <w:qFormat/>
    <w:locked/>
    <w:uiPriority w:val="0"/>
    <w:rPr>
      <w:rFonts w:ascii="Calibri" w:hAnsi="Calibri"/>
      <w:i/>
      <w:sz w:val="24"/>
      <w:szCs w:val="24"/>
      <w:lang w:eastAsia="en-US" w:bidi="en-US"/>
    </w:rPr>
  </w:style>
  <w:style w:type="character" w:customStyle="1" w:styleId="271">
    <w:name w:val="正文文本首行缩进 2 字符1"/>
    <w:semiHidden/>
    <w:qFormat/>
    <w:uiPriority w:val="99"/>
  </w:style>
  <w:style w:type="character" w:customStyle="1" w:styleId="272">
    <w:name w:val="textcontents"/>
    <w:qFormat/>
    <w:uiPriority w:val="0"/>
    <w:rPr>
      <w:rFonts w:cs="Times New Roman"/>
    </w:rPr>
  </w:style>
  <w:style w:type="character" w:customStyle="1" w:styleId="273">
    <w:name w:val="font161"/>
    <w:qFormat/>
    <w:uiPriority w:val="0"/>
    <w:rPr>
      <w:b/>
      <w:bCs/>
      <w:sz w:val="32"/>
      <w:szCs w:val="32"/>
    </w:rPr>
  </w:style>
  <w:style w:type="character" w:customStyle="1" w:styleId="274">
    <w:name w:val="Char Char8"/>
    <w:qFormat/>
    <w:uiPriority w:val="0"/>
    <w:rPr>
      <w:rFonts w:ascii="Arial" w:hAnsi="Arial" w:eastAsia="黑体"/>
      <w:b/>
      <w:bCs/>
      <w:kern w:val="2"/>
      <w:sz w:val="32"/>
      <w:szCs w:val="32"/>
      <w:lang w:val="en-US" w:eastAsia="zh-CN" w:bidi="ar-SA"/>
    </w:rPr>
  </w:style>
  <w:style w:type="character" w:customStyle="1" w:styleId="275">
    <w:name w:val="正文文本 3 Char"/>
    <w:qFormat/>
    <w:uiPriority w:val="99"/>
    <w:rPr>
      <w:rFonts w:ascii="Times New Roman" w:hAnsi="Times New Roman" w:eastAsia="宋体" w:cs="Times New Roman"/>
      <w:sz w:val="16"/>
      <w:szCs w:val="16"/>
    </w:rPr>
  </w:style>
  <w:style w:type="character" w:customStyle="1" w:styleId="276">
    <w:name w:val="日期 Char3"/>
    <w:semiHidden/>
    <w:qFormat/>
    <w:uiPriority w:val="99"/>
    <w:rPr>
      <w:rFonts w:ascii="Times New Roman" w:hAnsi="Times New Roman"/>
      <w:kern w:val="2"/>
      <w:sz w:val="21"/>
      <w:szCs w:val="24"/>
    </w:rPr>
  </w:style>
  <w:style w:type="character" w:customStyle="1" w:styleId="277">
    <w:name w:val="Title Char1"/>
    <w:qFormat/>
    <w:uiPriority w:val="0"/>
    <w:rPr>
      <w:rFonts w:ascii="Cambria" w:hAnsi="Cambria" w:cs="Times New Roman"/>
      <w:b/>
      <w:bCs/>
      <w:spacing w:val="4"/>
      <w:sz w:val="32"/>
      <w:szCs w:val="32"/>
      <w:lang w:eastAsia="en-US"/>
    </w:rPr>
  </w:style>
  <w:style w:type="character" w:customStyle="1" w:styleId="278">
    <w:name w:val="Body Text 3 Char1"/>
    <w:semiHidden/>
    <w:qFormat/>
    <w:uiPriority w:val="99"/>
    <w:rPr>
      <w:rFonts w:ascii="Times New Roman" w:hAnsi="Times New Roman"/>
      <w:spacing w:val="4"/>
      <w:sz w:val="16"/>
      <w:szCs w:val="16"/>
      <w:lang w:eastAsia="en-US"/>
    </w:rPr>
  </w:style>
  <w:style w:type="character" w:customStyle="1" w:styleId="279">
    <w:name w:val="t_tag"/>
    <w:qFormat/>
    <w:uiPriority w:val="0"/>
  </w:style>
  <w:style w:type="character" w:customStyle="1" w:styleId="280">
    <w:name w:val="apple-converted-space"/>
    <w:qFormat/>
    <w:uiPriority w:val="0"/>
    <w:rPr>
      <w:rFonts w:ascii="Tahoma" w:hAnsi="Tahoma"/>
      <w:sz w:val="24"/>
      <w:szCs w:val="20"/>
    </w:rPr>
  </w:style>
  <w:style w:type="character" w:customStyle="1" w:styleId="281">
    <w:name w:val="Comment Text Char"/>
    <w:qFormat/>
    <w:locked/>
    <w:uiPriority w:val="0"/>
    <w:rPr>
      <w:rFonts w:ascii="Times New Roman" w:hAnsi="Times New Roman" w:eastAsia="宋体" w:cs="Times New Roman"/>
      <w:sz w:val="24"/>
      <w:szCs w:val="24"/>
    </w:rPr>
  </w:style>
  <w:style w:type="character" w:customStyle="1" w:styleId="282">
    <w:name w:val="正文文本缩进 3 Char1"/>
    <w:semiHidden/>
    <w:qFormat/>
    <w:uiPriority w:val="99"/>
    <w:rPr>
      <w:rFonts w:ascii="Times New Roman" w:hAnsi="Times New Roman"/>
      <w:kern w:val="2"/>
      <w:sz w:val="16"/>
      <w:szCs w:val="16"/>
    </w:rPr>
  </w:style>
  <w:style w:type="character" w:customStyle="1" w:styleId="283">
    <w:name w:val="Char Char27"/>
    <w:qFormat/>
    <w:uiPriority w:val="0"/>
    <w:rPr>
      <w:b/>
      <w:bCs/>
      <w:sz w:val="32"/>
      <w:szCs w:val="32"/>
    </w:rPr>
  </w:style>
  <w:style w:type="character" w:customStyle="1" w:styleId="284">
    <w:name w:val="正文文本缩进 2 Char"/>
    <w:qFormat/>
    <w:uiPriority w:val="0"/>
    <w:rPr>
      <w:rFonts w:ascii="Times New Roman" w:hAnsi="Times New Roman" w:eastAsia="宋体" w:cs="Times New Roman"/>
      <w:szCs w:val="24"/>
    </w:rPr>
  </w:style>
  <w:style w:type="character" w:customStyle="1" w:styleId="285">
    <w:name w:val="Char Char81"/>
    <w:qFormat/>
    <w:locked/>
    <w:uiPriority w:val="0"/>
    <w:rPr>
      <w:rFonts w:ascii="Calibri" w:hAnsi="Calibri" w:eastAsia="宋体"/>
      <w:b/>
      <w:bCs/>
      <w:kern w:val="44"/>
      <w:sz w:val="44"/>
      <w:szCs w:val="44"/>
      <w:lang w:val="en-US" w:eastAsia="zh-CN" w:bidi="ar-SA"/>
    </w:rPr>
  </w:style>
  <w:style w:type="character" w:customStyle="1" w:styleId="286">
    <w:name w:val="批注主题 字符1"/>
    <w:semiHidden/>
    <w:qFormat/>
    <w:uiPriority w:val="99"/>
    <w:rPr>
      <w:b/>
      <w:bCs/>
    </w:rPr>
  </w:style>
  <w:style w:type="character" w:customStyle="1" w:styleId="287">
    <w:name w:val="标题 5 Char"/>
    <w:qFormat/>
    <w:uiPriority w:val="0"/>
    <w:rPr>
      <w:rFonts w:ascii="Times New Roman" w:hAnsi="Times New Roman" w:eastAsia="宋体" w:cs="Times New Roman"/>
      <w:b/>
      <w:bCs/>
      <w:kern w:val="0"/>
      <w:sz w:val="28"/>
      <w:szCs w:val="28"/>
    </w:rPr>
  </w:style>
  <w:style w:type="character" w:customStyle="1" w:styleId="288">
    <w:name w:val="Body Text Indent 2 Char"/>
    <w:qFormat/>
    <w:locked/>
    <w:uiPriority w:val="0"/>
    <w:rPr>
      <w:rFonts w:ascii="Times New Roman" w:hAnsi="Times New Roman" w:eastAsia="宋体" w:cs="Times New Roman"/>
      <w:sz w:val="24"/>
      <w:szCs w:val="24"/>
    </w:rPr>
  </w:style>
  <w:style w:type="character" w:customStyle="1" w:styleId="289">
    <w:name w:val="Char Char51"/>
    <w:qFormat/>
    <w:uiPriority w:val="0"/>
    <w:rPr>
      <w:rFonts w:eastAsia="宋体"/>
      <w:kern w:val="2"/>
      <w:sz w:val="21"/>
      <w:szCs w:val="24"/>
      <w:lang w:val="en-US" w:eastAsia="zh-CN" w:bidi="ar-SA"/>
    </w:rPr>
  </w:style>
  <w:style w:type="character" w:customStyle="1" w:styleId="290">
    <w:name w:val="Header Char"/>
    <w:qFormat/>
    <w:locked/>
    <w:uiPriority w:val="0"/>
    <w:rPr>
      <w:rFonts w:cs="Times New Roman"/>
      <w:sz w:val="18"/>
      <w:szCs w:val="18"/>
    </w:rPr>
  </w:style>
  <w:style w:type="character" w:customStyle="1" w:styleId="291">
    <w:name w:val="Char Char6"/>
    <w:qFormat/>
    <w:locked/>
    <w:uiPriority w:val="0"/>
    <w:rPr>
      <w:rFonts w:ascii="Calibri" w:hAnsi="Calibri" w:eastAsia="宋体"/>
      <w:b/>
      <w:bCs/>
      <w:kern w:val="2"/>
      <w:sz w:val="32"/>
      <w:szCs w:val="32"/>
      <w:lang w:val="en-US" w:eastAsia="zh-CN" w:bidi="ar-SA"/>
    </w:rPr>
  </w:style>
  <w:style w:type="character" w:customStyle="1" w:styleId="292">
    <w:name w:val="Comment Subject Char"/>
    <w:qFormat/>
    <w:locked/>
    <w:uiPriority w:val="0"/>
    <w:rPr>
      <w:rFonts w:ascii="Times New Roman" w:hAnsi="Times New Roman" w:eastAsia="宋体" w:cs="Times New Roman"/>
      <w:b/>
      <w:bCs/>
      <w:sz w:val="24"/>
      <w:szCs w:val="24"/>
    </w:rPr>
  </w:style>
  <w:style w:type="character" w:customStyle="1" w:styleId="293">
    <w:name w:val="批注文字 Char2"/>
    <w:qFormat/>
    <w:uiPriority w:val="99"/>
    <w:rPr>
      <w:rFonts w:ascii="Times New Roman" w:hAnsi="Times New Roman"/>
      <w:szCs w:val="24"/>
    </w:rPr>
  </w:style>
  <w:style w:type="character" w:customStyle="1" w:styleId="294">
    <w:name w:val="文档结构图 Char5"/>
    <w:semiHidden/>
    <w:qFormat/>
    <w:uiPriority w:val="99"/>
    <w:rPr>
      <w:rFonts w:ascii="宋体" w:eastAsia="宋体"/>
      <w:sz w:val="18"/>
      <w:szCs w:val="18"/>
    </w:rPr>
  </w:style>
  <w:style w:type="character" w:customStyle="1" w:styleId="295">
    <w:name w:val="Char Char141"/>
    <w:qFormat/>
    <w:uiPriority w:val="0"/>
    <w:rPr>
      <w:sz w:val="18"/>
      <w:lang w:eastAsia="en-US" w:bidi="en-US"/>
    </w:rPr>
  </w:style>
  <w:style w:type="character" w:customStyle="1" w:styleId="296">
    <w:name w:val="页脚 字符1"/>
    <w:qFormat/>
    <w:uiPriority w:val="99"/>
    <w:rPr>
      <w:sz w:val="18"/>
      <w:szCs w:val="18"/>
    </w:rPr>
  </w:style>
  <w:style w:type="character" w:customStyle="1" w:styleId="297">
    <w:name w:val="yinying"/>
    <w:qFormat/>
    <w:uiPriority w:val="0"/>
    <w:rPr>
      <w:rFonts w:ascii="Tahoma" w:hAnsi="Tahoma"/>
      <w:sz w:val="24"/>
      <w:szCs w:val="20"/>
    </w:rPr>
  </w:style>
  <w:style w:type="character" w:customStyle="1" w:styleId="298">
    <w:name w:val="font21"/>
    <w:qFormat/>
    <w:uiPriority w:val="0"/>
    <w:rPr>
      <w:rFonts w:hint="eastAsia" w:ascii="宋体" w:hAnsi="宋体" w:eastAsia="宋体"/>
      <w:color w:val="000000"/>
      <w:sz w:val="22"/>
      <w:szCs w:val="22"/>
    </w:rPr>
  </w:style>
  <w:style w:type="character" w:customStyle="1" w:styleId="299">
    <w:name w:val="Char Char41"/>
    <w:qFormat/>
    <w:locked/>
    <w:uiPriority w:val="0"/>
    <w:rPr>
      <w:rFonts w:ascii="Calibri" w:hAnsi="Calibri" w:eastAsia="宋体"/>
      <w:b/>
      <w:bCs/>
      <w:kern w:val="2"/>
      <w:sz w:val="28"/>
      <w:szCs w:val="28"/>
      <w:lang w:val="en-US" w:eastAsia="zh-CN" w:bidi="ar-SA"/>
    </w:rPr>
  </w:style>
  <w:style w:type="character" w:customStyle="1" w:styleId="300">
    <w:name w:val="批注主题 Char3"/>
    <w:semiHidden/>
    <w:qFormat/>
    <w:uiPriority w:val="99"/>
    <w:rPr>
      <w:rFonts w:ascii="Times New Roman" w:hAnsi="Times New Roman"/>
      <w:b/>
      <w:bCs/>
      <w:kern w:val="2"/>
      <w:sz w:val="21"/>
      <w:szCs w:val="24"/>
    </w:rPr>
  </w:style>
  <w:style w:type="character" w:customStyle="1" w:styleId="301">
    <w:name w:val="正文文本 3 Char4"/>
    <w:semiHidden/>
    <w:qFormat/>
    <w:uiPriority w:val="99"/>
    <w:rPr>
      <w:sz w:val="16"/>
      <w:szCs w:val="16"/>
    </w:rPr>
  </w:style>
  <w:style w:type="character" w:customStyle="1" w:styleId="302">
    <w:name w:val="信息标题 Char"/>
    <w:semiHidden/>
    <w:qFormat/>
    <w:uiPriority w:val="99"/>
    <w:rPr>
      <w:rFonts w:ascii="Cambria" w:hAnsi="Cambria" w:eastAsia="宋体" w:cs="Times New Roman"/>
      <w:kern w:val="0"/>
      <w:sz w:val="24"/>
      <w:szCs w:val="24"/>
      <w:shd w:val="pct20" w:color="auto" w:fill="auto"/>
    </w:rPr>
  </w:style>
  <w:style w:type="character" w:customStyle="1" w:styleId="303">
    <w:name w:val="HTML 预设格式 Char2"/>
    <w:qFormat/>
    <w:uiPriority w:val="99"/>
    <w:rPr>
      <w:rFonts w:ascii="Courier New" w:hAnsi="Courier New" w:cs="Courier New"/>
    </w:rPr>
  </w:style>
  <w:style w:type="character" w:customStyle="1" w:styleId="304">
    <w:name w:val="纯文本 Char1"/>
    <w:qFormat/>
    <w:uiPriority w:val="0"/>
    <w:rPr>
      <w:rFonts w:ascii="宋体" w:hAnsi="Courier New" w:eastAsia="宋体" w:cs="Courier New"/>
      <w:szCs w:val="21"/>
    </w:rPr>
  </w:style>
  <w:style w:type="character" w:customStyle="1" w:styleId="305">
    <w:name w:val="标题 2XW Char"/>
    <w:qFormat/>
    <w:uiPriority w:val="0"/>
    <w:rPr>
      <w:rFonts w:ascii="Arial" w:hAnsi="Arial" w:eastAsia="黑体"/>
      <w:b/>
      <w:bCs/>
      <w:sz w:val="32"/>
      <w:szCs w:val="32"/>
    </w:rPr>
  </w:style>
  <w:style w:type="character" w:customStyle="1" w:styleId="306">
    <w:name w:val="Char Char1"/>
    <w:qFormat/>
    <w:uiPriority w:val="0"/>
    <w:rPr>
      <w:rFonts w:eastAsia="宋体"/>
      <w:sz w:val="18"/>
      <w:szCs w:val="18"/>
      <w:lang w:val="en-US" w:eastAsia="zh-CN" w:bidi="ar-SA"/>
    </w:rPr>
  </w:style>
  <w:style w:type="character" w:customStyle="1" w:styleId="307">
    <w:name w:val="正文文本 Char"/>
    <w:qFormat/>
    <w:uiPriority w:val="0"/>
    <w:rPr>
      <w:rFonts w:ascii="Times New Roman" w:hAnsi="Times New Roman" w:eastAsia="宋体" w:cs="Times New Roman"/>
      <w:szCs w:val="24"/>
    </w:rPr>
  </w:style>
  <w:style w:type="character" w:customStyle="1" w:styleId="308">
    <w:name w:val="页眉 字符1"/>
    <w:semiHidden/>
    <w:qFormat/>
    <w:uiPriority w:val="99"/>
    <w:rPr>
      <w:sz w:val="18"/>
      <w:szCs w:val="18"/>
    </w:rPr>
  </w:style>
  <w:style w:type="character" w:customStyle="1" w:styleId="309">
    <w:name w:val="报告表标题 Char Char"/>
    <w:link w:val="310"/>
    <w:qFormat/>
    <w:uiPriority w:val="0"/>
    <w:rPr>
      <w:rFonts w:ascii="宋体" w:hAnsi="宋体"/>
      <w:sz w:val="24"/>
      <w:szCs w:val="24"/>
    </w:rPr>
  </w:style>
  <w:style w:type="paragraph" w:customStyle="1" w:styleId="310">
    <w:name w:val="报告表标题"/>
    <w:basedOn w:val="1"/>
    <w:link w:val="309"/>
    <w:qFormat/>
    <w:uiPriority w:val="0"/>
    <w:pPr>
      <w:widowControl/>
      <w:tabs>
        <w:tab w:val="left" w:pos="900"/>
        <w:tab w:val="left" w:pos="1455"/>
      </w:tabs>
      <w:ind w:left="1455" w:hanging="1455"/>
      <w:jc w:val="left"/>
    </w:pPr>
    <w:rPr>
      <w:rFonts w:ascii="宋体" w:hAnsi="宋体"/>
      <w:kern w:val="0"/>
      <w:sz w:val="24"/>
    </w:rPr>
  </w:style>
  <w:style w:type="character" w:customStyle="1" w:styleId="311">
    <w:name w:val="标题 2 Char1"/>
    <w:qFormat/>
    <w:uiPriority w:val="0"/>
    <w:rPr>
      <w:rFonts w:ascii="Cambria" w:hAnsi="Cambria" w:eastAsia="宋体" w:cs="Times New Roman"/>
      <w:b/>
      <w:bCs/>
      <w:color w:val="4F81BD"/>
      <w:sz w:val="26"/>
      <w:szCs w:val="26"/>
    </w:rPr>
  </w:style>
  <w:style w:type="character" w:customStyle="1" w:styleId="312">
    <w:name w:val="Char Char12"/>
    <w:qFormat/>
    <w:uiPriority w:val="0"/>
    <w:rPr>
      <w:rFonts w:eastAsia="宋体"/>
      <w:sz w:val="18"/>
      <w:szCs w:val="18"/>
      <w:lang w:val="en-US" w:eastAsia="zh-CN" w:bidi="ar-SA"/>
    </w:rPr>
  </w:style>
  <w:style w:type="character" w:customStyle="1" w:styleId="313">
    <w:name w:val="明显引用 Char4"/>
    <w:qFormat/>
    <w:uiPriority w:val="60"/>
    <w:rPr>
      <w:i/>
      <w:iCs/>
      <w:color w:val="5B9BD5"/>
    </w:rPr>
  </w:style>
  <w:style w:type="character" w:customStyle="1" w:styleId="314">
    <w:name w:val="表号 Char"/>
    <w:link w:val="315"/>
    <w:qFormat/>
    <w:uiPriority w:val="0"/>
    <w:rPr>
      <w:sz w:val="22"/>
      <w:szCs w:val="28"/>
      <w:lang w:eastAsia="en-US" w:bidi="en-US"/>
    </w:rPr>
  </w:style>
  <w:style w:type="paragraph" w:customStyle="1" w:styleId="315">
    <w:name w:val="表号"/>
    <w:basedOn w:val="1"/>
    <w:link w:val="314"/>
    <w:qFormat/>
    <w:uiPriority w:val="0"/>
    <w:pPr>
      <w:keepNext/>
      <w:widowControl/>
      <w:adjustRightInd w:val="0"/>
      <w:snapToGrid w:val="0"/>
      <w:spacing w:after="200" w:line="276" w:lineRule="auto"/>
      <w:ind w:firstLine="200" w:firstLineChars="200"/>
      <w:jc w:val="right"/>
    </w:pPr>
    <w:rPr>
      <w:kern w:val="0"/>
      <w:sz w:val="22"/>
      <w:szCs w:val="28"/>
      <w:lang w:eastAsia="en-US" w:bidi="en-US"/>
    </w:rPr>
  </w:style>
  <w:style w:type="character" w:customStyle="1" w:styleId="316">
    <w:name w:val="明显参考1"/>
    <w:qFormat/>
    <w:uiPriority w:val="0"/>
    <w:rPr>
      <w:b/>
      <w:bCs/>
      <w:smallCaps/>
      <w:color w:val="C0504D"/>
      <w:spacing w:val="5"/>
      <w:u w:val="single"/>
    </w:rPr>
  </w:style>
  <w:style w:type="character" w:customStyle="1" w:styleId="317">
    <w:name w:val="正文缩进 Char1"/>
    <w:qFormat/>
    <w:uiPriority w:val="0"/>
  </w:style>
  <w:style w:type="character" w:customStyle="1" w:styleId="318">
    <w:name w:val="Title Header2 Char"/>
    <w:qFormat/>
    <w:uiPriority w:val="0"/>
    <w:rPr>
      <w:rFonts w:ascii="Arial" w:hAnsi="Arial" w:eastAsia="黑体"/>
      <w:b/>
      <w:bCs/>
      <w:sz w:val="32"/>
      <w:szCs w:val="32"/>
    </w:rPr>
  </w:style>
  <w:style w:type="character" w:customStyle="1" w:styleId="319">
    <w:name w:val="Title Char"/>
    <w:qFormat/>
    <w:locked/>
    <w:uiPriority w:val="99"/>
    <w:rPr>
      <w:rFonts w:ascii="Arial" w:hAnsi="Arial"/>
      <w:b/>
      <w:sz w:val="32"/>
    </w:rPr>
  </w:style>
  <w:style w:type="character" w:customStyle="1" w:styleId="320">
    <w:name w:val="标题 2 Char3"/>
    <w:qFormat/>
    <w:uiPriority w:val="9"/>
    <w:rPr>
      <w:rFonts w:ascii="Arial" w:hAnsi="Arial" w:eastAsia="黑体" w:cs="Times New Roman"/>
      <w:b/>
      <w:bCs/>
      <w:kern w:val="0"/>
      <w:sz w:val="32"/>
      <w:szCs w:val="32"/>
    </w:rPr>
  </w:style>
  <w:style w:type="character" w:customStyle="1" w:styleId="321">
    <w:name w:val="批注框文本 Char4"/>
    <w:qFormat/>
    <w:uiPriority w:val="99"/>
    <w:rPr>
      <w:rFonts w:ascii="Times New Roman" w:hAnsi="Times New Roman" w:eastAsia="宋体" w:cs="Times New Roman"/>
      <w:sz w:val="18"/>
      <w:szCs w:val="18"/>
    </w:rPr>
  </w:style>
  <w:style w:type="character" w:customStyle="1" w:styleId="322">
    <w:name w:val="正文文本首行缩进 字符1"/>
    <w:semiHidden/>
    <w:qFormat/>
    <w:uiPriority w:val="99"/>
  </w:style>
  <w:style w:type="character" w:customStyle="1" w:styleId="323">
    <w:name w:val="Char Char3"/>
    <w:qFormat/>
    <w:uiPriority w:val="0"/>
    <w:rPr>
      <w:kern w:val="2"/>
      <w:sz w:val="18"/>
      <w:szCs w:val="18"/>
      <w:lang w:bidi="ar-SA"/>
    </w:rPr>
  </w:style>
  <w:style w:type="character" w:customStyle="1" w:styleId="324">
    <w:name w:val="批注框文本 Char3"/>
    <w:qFormat/>
    <w:uiPriority w:val="99"/>
    <w:rPr>
      <w:rFonts w:ascii="Times New Roman" w:hAnsi="Times New Roman"/>
      <w:sz w:val="18"/>
      <w:szCs w:val="18"/>
    </w:rPr>
  </w:style>
  <w:style w:type="character" w:customStyle="1" w:styleId="325">
    <w:name w:val="Body Text Indent Char"/>
    <w:qFormat/>
    <w:locked/>
    <w:uiPriority w:val="0"/>
    <w:rPr>
      <w:rFonts w:ascii="Times New Roman" w:hAnsi="Times New Roman" w:eastAsia="宋体" w:cs="Times New Roman"/>
      <w:sz w:val="24"/>
      <w:szCs w:val="24"/>
    </w:rPr>
  </w:style>
  <w:style w:type="character" w:customStyle="1" w:styleId="326">
    <w:name w:val="标题 7 Char1"/>
    <w:qFormat/>
    <w:uiPriority w:val="9"/>
    <w:rPr>
      <w:rFonts w:ascii="Times New Roman" w:hAnsi="Times New Roman" w:eastAsia="宋体" w:cs="Times New Roman"/>
      <w:b/>
      <w:bCs/>
      <w:kern w:val="0"/>
      <w:sz w:val="24"/>
      <w:szCs w:val="24"/>
    </w:rPr>
  </w:style>
  <w:style w:type="character" w:customStyle="1" w:styleId="327">
    <w:name w:val="msobodytext"/>
    <w:qFormat/>
    <w:uiPriority w:val="0"/>
    <w:rPr>
      <w:rFonts w:ascii="宋体" w:hAnsi="宋体"/>
      <w:spacing w:val="4"/>
      <w:sz w:val="24"/>
      <w:szCs w:val="24"/>
      <w:lang w:eastAsia="en-US"/>
    </w:rPr>
  </w:style>
  <w:style w:type="character" w:customStyle="1" w:styleId="328">
    <w:name w:val="Typewriter"/>
    <w:qFormat/>
    <w:uiPriority w:val="0"/>
    <w:rPr>
      <w:rFonts w:ascii="Courier New" w:hAnsi="Courier New"/>
      <w:sz w:val="20"/>
    </w:rPr>
  </w:style>
  <w:style w:type="character" w:customStyle="1" w:styleId="329">
    <w:name w:val="批注文字 字符1"/>
    <w:semiHidden/>
    <w:qFormat/>
    <w:uiPriority w:val="99"/>
  </w:style>
  <w:style w:type="character" w:customStyle="1" w:styleId="330">
    <w:name w:val="正文文本缩进 字符2"/>
    <w:qFormat/>
    <w:uiPriority w:val="0"/>
    <w:rPr>
      <w:rFonts w:ascii="Times New Roman" w:hAnsi="Times New Roman" w:eastAsia="宋体" w:cs="Times New Roman"/>
      <w:kern w:val="0"/>
      <w:sz w:val="20"/>
      <w:szCs w:val="20"/>
    </w:rPr>
  </w:style>
  <w:style w:type="character" w:customStyle="1" w:styleId="331">
    <w:name w:val="批注文字 Char Char"/>
    <w:qFormat/>
    <w:uiPriority w:val="0"/>
    <w:rPr>
      <w:rFonts w:ascii="宋体" w:hAnsi="Times New Roman" w:eastAsia="宋体" w:cs="Times New Roman"/>
      <w:sz w:val="28"/>
      <w:szCs w:val="20"/>
    </w:rPr>
  </w:style>
  <w:style w:type="character" w:customStyle="1" w:styleId="332">
    <w:name w:val="明显引用 Char3"/>
    <w:qFormat/>
    <w:uiPriority w:val="30"/>
    <w:rPr>
      <w:rFonts w:ascii="Times New Roman" w:hAnsi="Times New Roman" w:eastAsia="宋体" w:cs="Times New Roman"/>
      <w:b/>
      <w:bCs/>
      <w:i/>
      <w:iCs/>
      <w:color w:val="4F81BD"/>
      <w:szCs w:val="20"/>
    </w:rPr>
  </w:style>
  <w:style w:type="character" w:customStyle="1" w:styleId="333">
    <w:name w:val="myfont11"/>
    <w:qFormat/>
    <w:uiPriority w:val="0"/>
    <w:rPr>
      <w:rFonts w:hint="default" w:ascii="TYPE" w:hAnsi="TYPE"/>
      <w:color w:val="000000"/>
      <w:sz w:val="18"/>
      <w:szCs w:val="18"/>
      <w:u w:val="none"/>
    </w:rPr>
  </w:style>
  <w:style w:type="character" w:customStyle="1" w:styleId="334">
    <w:name w:val="表标题 Char Char"/>
    <w:link w:val="335"/>
    <w:qFormat/>
    <w:uiPriority w:val="0"/>
    <w:rPr>
      <w:sz w:val="24"/>
      <w:szCs w:val="24"/>
      <w:lang w:val="zh-CN"/>
    </w:rPr>
  </w:style>
  <w:style w:type="paragraph" w:customStyle="1" w:styleId="335">
    <w:name w:val="表标题"/>
    <w:basedOn w:val="1"/>
    <w:link w:val="334"/>
    <w:qFormat/>
    <w:uiPriority w:val="0"/>
    <w:pPr>
      <w:widowControl/>
      <w:tabs>
        <w:tab w:val="left" w:pos="750"/>
        <w:tab w:val="left" w:pos="1140"/>
      </w:tabs>
      <w:spacing w:beforeLines="50"/>
      <w:ind w:left="750" w:hanging="750"/>
      <w:jc w:val="center"/>
    </w:pPr>
    <w:rPr>
      <w:kern w:val="0"/>
      <w:sz w:val="24"/>
      <w:lang w:val="zh-CN"/>
    </w:rPr>
  </w:style>
  <w:style w:type="character" w:customStyle="1" w:styleId="336">
    <w:name w:val="标题 6 Char Char"/>
    <w:qFormat/>
    <w:uiPriority w:val="0"/>
    <w:rPr>
      <w:rFonts w:ascii="Cambria" w:hAnsi="Cambria" w:eastAsia="宋体" w:cs="Times New Roman"/>
      <w:b/>
      <w:bCs/>
      <w:kern w:val="2"/>
      <w:sz w:val="24"/>
      <w:szCs w:val="24"/>
    </w:rPr>
  </w:style>
  <w:style w:type="character" w:customStyle="1" w:styleId="337">
    <w:name w:val="图标题 Char"/>
    <w:link w:val="338"/>
    <w:qFormat/>
    <w:uiPriority w:val="0"/>
    <w:rPr>
      <w:b/>
      <w:sz w:val="24"/>
      <w:szCs w:val="28"/>
      <w:lang w:eastAsia="en-US" w:bidi="en-US"/>
    </w:rPr>
  </w:style>
  <w:style w:type="paragraph" w:customStyle="1" w:styleId="338">
    <w:name w:val="图标题"/>
    <w:basedOn w:val="1"/>
    <w:link w:val="337"/>
    <w:qFormat/>
    <w:uiPriority w:val="0"/>
    <w:pPr>
      <w:keepNext/>
      <w:widowControl/>
      <w:spacing w:after="200" w:line="276" w:lineRule="auto"/>
      <w:ind w:firstLine="200" w:firstLineChars="200"/>
      <w:jc w:val="center"/>
      <w:textAlignment w:val="baseline"/>
    </w:pPr>
    <w:rPr>
      <w:b/>
      <w:kern w:val="0"/>
      <w:sz w:val="24"/>
      <w:szCs w:val="28"/>
      <w:lang w:eastAsia="en-US" w:bidi="en-US"/>
    </w:rPr>
  </w:style>
  <w:style w:type="character" w:customStyle="1" w:styleId="339">
    <w:name w:val="引用 字符1"/>
    <w:qFormat/>
    <w:locked/>
    <w:uiPriority w:val="0"/>
    <w:rPr>
      <w:rFonts w:ascii="Calibri" w:hAnsi="Calibri"/>
      <w:i/>
      <w:sz w:val="24"/>
      <w:szCs w:val="24"/>
      <w:lang w:eastAsia="en-US" w:bidi="en-US"/>
    </w:rPr>
  </w:style>
  <w:style w:type="character" w:customStyle="1" w:styleId="340">
    <w:name w:val="Subtitle Char1"/>
    <w:qFormat/>
    <w:uiPriority w:val="0"/>
    <w:rPr>
      <w:rFonts w:ascii="Cambria" w:hAnsi="Cambria" w:cs="Times New Roman"/>
      <w:b/>
      <w:bCs/>
      <w:kern w:val="28"/>
      <w:sz w:val="32"/>
      <w:szCs w:val="32"/>
    </w:rPr>
  </w:style>
  <w:style w:type="character" w:customStyle="1" w:styleId="341">
    <w:name w:val="样式4-1 Char Char"/>
    <w:qFormat/>
    <w:locked/>
    <w:uiPriority w:val="99"/>
    <w:rPr>
      <w:rFonts w:ascii="宋体"/>
      <w:b/>
    </w:rPr>
  </w:style>
  <w:style w:type="character" w:customStyle="1" w:styleId="342">
    <w:name w:val="正文首行缩进 2 Char2"/>
    <w:semiHidden/>
    <w:qFormat/>
    <w:uiPriority w:val="99"/>
    <w:rPr>
      <w:rFonts w:ascii="Times New Roman" w:hAnsi="Times New Roman" w:eastAsia="宋体" w:cs="Times New Roman"/>
      <w:szCs w:val="24"/>
    </w:rPr>
  </w:style>
  <w:style w:type="character" w:customStyle="1" w:styleId="343">
    <w:name w:val="正文文本缩进 Char3"/>
    <w:semiHidden/>
    <w:qFormat/>
    <w:uiPriority w:val="99"/>
    <w:rPr>
      <w:rFonts w:ascii="Times New Roman" w:hAnsi="Times New Roman" w:eastAsia="宋体" w:cs="Times New Roman"/>
      <w:szCs w:val="24"/>
    </w:rPr>
  </w:style>
  <w:style w:type="character" w:customStyle="1" w:styleId="344">
    <w:name w:val="批注主题 Char Char"/>
    <w:qFormat/>
    <w:uiPriority w:val="0"/>
    <w:rPr>
      <w:rFonts w:ascii="宋体" w:hAnsi="Times New Roman"/>
      <w:b/>
      <w:bCs/>
      <w:sz w:val="28"/>
    </w:rPr>
  </w:style>
  <w:style w:type="character" w:customStyle="1" w:styleId="345">
    <w:name w:val="正文首行缩进 2 Char1"/>
    <w:qFormat/>
    <w:uiPriority w:val="99"/>
  </w:style>
  <w:style w:type="character" w:customStyle="1" w:styleId="346">
    <w:name w:val="Body Text First Indent 2 Char1"/>
    <w:semiHidden/>
    <w:qFormat/>
    <w:uiPriority w:val="99"/>
    <w:rPr>
      <w:rFonts w:ascii="Times New Roman" w:hAnsi="Times New Roman" w:eastAsia="宋体" w:cs="Times New Roman"/>
      <w:spacing w:val="4"/>
      <w:kern w:val="2"/>
      <w:sz w:val="24"/>
      <w:szCs w:val="24"/>
      <w:lang w:eastAsia="en-US"/>
    </w:rPr>
  </w:style>
  <w:style w:type="character" w:customStyle="1" w:styleId="347">
    <w:name w:val="不明显参考11"/>
    <w:qFormat/>
    <w:uiPriority w:val="0"/>
    <w:rPr>
      <w:smallCaps/>
      <w:color w:val="C0504D"/>
      <w:u w:val="single"/>
    </w:rPr>
  </w:style>
  <w:style w:type="character" w:customStyle="1" w:styleId="348">
    <w:name w:val="彩色网格 - 强调文字颜色 1 Char"/>
    <w:link w:val="349"/>
    <w:qFormat/>
    <w:uiPriority w:val="0"/>
    <w:rPr>
      <w:i/>
      <w:iCs/>
      <w:color w:val="000000"/>
    </w:rPr>
  </w:style>
  <w:style w:type="paragraph" w:customStyle="1" w:styleId="349">
    <w:name w:val="彩色网格 - 强调文字颜色 11"/>
    <w:basedOn w:val="1"/>
    <w:next w:val="1"/>
    <w:link w:val="348"/>
    <w:qFormat/>
    <w:uiPriority w:val="0"/>
    <w:rPr>
      <w:i/>
      <w:iCs/>
      <w:color w:val="000000"/>
      <w:kern w:val="0"/>
      <w:sz w:val="20"/>
      <w:szCs w:val="20"/>
    </w:rPr>
  </w:style>
  <w:style w:type="character" w:customStyle="1" w:styleId="350">
    <w:name w:val="Date Char1"/>
    <w:semiHidden/>
    <w:qFormat/>
    <w:uiPriority w:val="99"/>
    <w:rPr>
      <w:rFonts w:ascii="Times New Roman" w:hAnsi="Times New Roman"/>
      <w:spacing w:val="4"/>
      <w:sz w:val="24"/>
      <w:szCs w:val="24"/>
      <w:lang w:eastAsia="en-US"/>
    </w:rPr>
  </w:style>
  <w:style w:type="character" w:customStyle="1" w:styleId="351">
    <w:name w:val="批注主题 Char4"/>
    <w:qFormat/>
    <w:uiPriority w:val="99"/>
    <w:rPr>
      <w:b/>
      <w:bCs/>
    </w:rPr>
  </w:style>
  <w:style w:type="character" w:customStyle="1" w:styleId="352">
    <w:name w:val="Variable"/>
    <w:qFormat/>
    <w:uiPriority w:val="0"/>
    <w:rPr>
      <w:i/>
    </w:rPr>
  </w:style>
  <w:style w:type="character" w:customStyle="1" w:styleId="353">
    <w:name w:val="正文首行缩进 Char4"/>
    <w:semiHidden/>
    <w:qFormat/>
    <w:uiPriority w:val="99"/>
    <w:rPr>
      <w:rFonts w:ascii="Times New Roman" w:hAnsi="Times New Roman"/>
      <w:szCs w:val="24"/>
    </w:rPr>
  </w:style>
  <w:style w:type="character" w:customStyle="1" w:styleId="354">
    <w:name w:val="正文文本 Char3"/>
    <w:qFormat/>
    <w:uiPriority w:val="99"/>
    <w:rPr>
      <w:rFonts w:ascii="Times New Roman" w:hAnsi="Times New Roman"/>
      <w:szCs w:val="24"/>
    </w:rPr>
  </w:style>
  <w:style w:type="character" w:customStyle="1" w:styleId="355">
    <w:name w:val="批注主题 Char2"/>
    <w:qFormat/>
    <w:uiPriority w:val="99"/>
    <w:rPr>
      <w:rFonts w:ascii="Times New Roman" w:hAnsi="Times New Roman"/>
      <w:b/>
      <w:bCs/>
      <w:szCs w:val="24"/>
    </w:rPr>
  </w:style>
  <w:style w:type="character" w:customStyle="1" w:styleId="356">
    <w:name w:val="明显参考11"/>
    <w:qFormat/>
    <w:uiPriority w:val="0"/>
    <w:rPr>
      <w:b/>
      <w:bCs/>
      <w:smallCaps/>
      <w:color w:val="C0504D"/>
      <w:spacing w:val="5"/>
      <w:u w:val="single"/>
    </w:rPr>
  </w:style>
  <w:style w:type="character" w:customStyle="1" w:styleId="357">
    <w:name w:val="standdate1"/>
    <w:qFormat/>
    <w:uiPriority w:val="0"/>
    <w:rPr>
      <w:rFonts w:ascii="黑体" w:hAnsi="Times New Roman" w:eastAsia="黑体"/>
      <w:color w:val="auto"/>
      <w:sz w:val="24"/>
      <w:u w:val="none"/>
    </w:rPr>
  </w:style>
  <w:style w:type="character" w:customStyle="1" w:styleId="358">
    <w:name w:val="Char Char71"/>
    <w:qFormat/>
    <w:locked/>
    <w:uiPriority w:val="0"/>
    <w:rPr>
      <w:rFonts w:ascii="Cambria" w:hAnsi="Cambria" w:eastAsia="宋体"/>
      <w:b/>
      <w:bCs/>
      <w:kern w:val="2"/>
      <w:sz w:val="32"/>
      <w:szCs w:val="32"/>
      <w:lang w:val="en-US" w:eastAsia="zh-CN" w:bidi="ar-SA"/>
    </w:rPr>
  </w:style>
  <w:style w:type="character" w:customStyle="1" w:styleId="359">
    <w:name w:val="正文文本缩进 2 字符1"/>
    <w:semiHidden/>
    <w:qFormat/>
    <w:uiPriority w:val="99"/>
  </w:style>
  <w:style w:type="character" w:customStyle="1" w:styleId="360">
    <w:name w:val="正文文本缩进 3 Char4"/>
    <w:semiHidden/>
    <w:qFormat/>
    <w:uiPriority w:val="99"/>
    <w:rPr>
      <w:sz w:val="16"/>
      <w:szCs w:val="16"/>
    </w:rPr>
  </w:style>
  <w:style w:type="character" w:customStyle="1" w:styleId="361">
    <w:name w:val="标题 1 Char1"/>
    <w:qFormat/>
    <w:uiPriority w:val="9"/>
    <w:rPr>
      <w:b/>
      <w:bCs/>
      <w:kern w:val="44"/>
      <w:sz w:val="32"/>
      <w:szCs w:val="44"/>
    </w:rPr>
  </w:style>
  <w:style w:type="character" w:customStyle="1" w:styleId="362">
    <w:name w:val="标题5 Char Char"/>
    <w:link w:val="363"/>
    <w:qFormat/>
    <w:uiPriority w:val="0"/>
    <w:rPr>
      <w:rFonts w:ascii="Arial" w:hAnsi="Arial"/>
      <w:b/>
      <w:bCs/>
      <w:sz w:val="24"/>
      <w:szCs w:val="32"/>
    </w:rPr>
  </w:style>
  <w:style w:type="paragraph" w:customStyle="1" w:styleId="363">
    <w:name w:val="标题5"/>
    <w:basedOn w:val="6"/>
    <w:link w:val="362"/>
    <w:qFormat/>
    <w:uiPriority w:val="0"/>
    <w:pPr>
      <w:spacing w:before="260" w:after="260" w:line="413" w:lineRule="auto"/>
    </w:pPr>
    <w:rPr>
      <w:rFonts w:ascii="Arial" w:hAnsi="Arial"/>
      <w:kern w:val="0"/>
    </w:rPr>
  </w:style>
  <w:style w:type="character" w:customStyle="1" w:styleId="364">
    <w:name w:val="样式1 Char Char"/>
    <w:qFormat/>
    <w:uiPriority w:val="99"/>
    <w:rPr>
      <w:rFonts w:ascii="黑体" w:hAnsi="Arial" w:eastAsia="黑体"/>
      <w:b/>
      <w:bCs/>
      <w:sz w:val="24"/>
      <w:szCs w:val="30"/>
    </w:rPr>
  </w:style>
  <w:style w:type="character" w:customStyle="1" w:styleId="365">
    <w:name w:val="正文文本 2 Char2"/>
    <w:semiHidden/>
    <w:qFormat/>
    <w:uiPriority w:val="99"/>
    <w:rPr>
      <w:rFonts w:ascii="Times New Roman" w:hAnsi="Times New Roman" w:eastAsia="宋体" w:cs="Times New Roman"/>
      <w:szCs w:val="24"/>
    </w:rPr>
  </w:style>
  <w:style w:type="character" w:customStyle="1" w:styleId="366">
    <w:name w:val="日期 Char Char"/>
    <w:qFormat/>
    <w:uiPriority w:val="0"/>
    <w:rPr>
      <w:rFonts w:ascii="宋体" w:hAnsi="Times New Roman"/>
      <w:sz w:val="28"/>
    </w:rPr>
  </w:style>
  <w:style w:type="character" w:customStyle="1" w:styleId="367">
    <w:name w:val="江建权 Char1"/>
    <w:link w:val="368"/>
    <w:qFormat/>
    <w:uiPriority w:val="0"/>
    <w:rPr>
      <w:sz w:val="24"/>
    </w:rPr>
  </w:style>
  <w:style w:type="paragraph" w:customStyle="1" w:styleId="368">
    <w:name w:val="江建权"/>
    <w:basedOn w:val="1"/>
    <w:link w:val="367"/>
    <w:qFormat/>
    <w:uiPriority w:val="0"/>
    <w:pPr>
      <w:spacing w:line="360" w:lineRule="auto"/>
      <w:ind w:firstLine="200" w:firstLineChars="200"/>
    </w:pPr>
    <w:rPr>
      <w:kern w:val="0"/>
      <w:sz w:val="24"/>
      <w:szCs w:val="20"/>
    </w:rPr>
  </w:style>
  <w:style w:type="character" w:customStyle="1" w:styleId="369">
    <w:name w:val="Char Char181"/>
    <w:qFormat/>
    <w:uiPriority w:val="0"/>
    <w:rPr>
      <w:rFonts w:eastAsia="宋体"/>
      <w:b/>
      <w:sz w:val="28"/>
      <w:lang w:val="en-US" w:eastAsia="zh-CN" w:bidi="ar-SA"/>
    </w:rPr>
  </w:style>
  <w:style w:type="character" w:customStyle="1" w:styleId="370">
    <w:name w:val="文档结构图 字符1"/>
    <w:semiHidden/>
    <w:qFormat/>
    <w:uiPriority w:val="99"/>
    <w:rPr>
      <w:rFonts w:ascii="Microsoft YaHei UI" w:eastAsia="Microsoft YaHei UI"/>
      <w:sz w:val="18"/>
      <w:szCs w:val="18"/>
    </w:rPr>
  </w:style>
  <w:style w:type="character" w:customStyle="1" w:styleId="371">
    <w:name w:val="rxcss1"/>
    <w:qFormat/>
    <w:uiPriority w:val="0"/>
    <w:rPr>
      <w:rFonts w:hint="default"/>
      <w:spacing w:val="284"/>
      <w:sz w:val="26"/>
      <w:szCs w:val="26"/>
      <w:u w:val="none"/>
    </w:rPr>
  </w:style>
  <w:style w:type="character" w:customStyle="1" w:styleId="372">
    <w:name w:val="Char Char18"/>
    <w:qFormat/>
    <w:uiPriority w:val="0"/>
    <w:rPr>
      <w:rFonts w:eastAsia="宋体"/>
      <w:b/>
      <w:spacing w:val="20"/>
      <w:kern w:val="44"/>
      <w:sz w:val="32"/>
      <w:lang w:val="en-US" w:eastAsia="zh-CN" w:bidi="ar-SA"/>
    </w:rPr>
  </w:style>
  <w:style w:type="character" w:customStyle="1" w:styleId="373">
    <w:name w:val="标题 3 Char1"/>
    <w:qFormat/>
    <w:uiPriority w:val="9"/>
    <w:rPr>
      <w:rFonts w:ascii="Times New Roman" w:hAnsi="Times New Roman" w:eastAsia="宋体" w:cs="Times New Roman"/>
      <w:b/>
      <w:bCs/>
      <w:kern w:val="0"/>
      <w:sz w:val="32"/>
      <w:szCs w:val="32"/>
    </w:rPr>
  </w:style>
  <w:style w:type="character" w:customStyle="1" w:styleId="374">
    <w:name w:val="正文文本 Char Char"/>
    <w:qFormat/>
    <w:uiPriority w:val="0"/>
    <w:rPr>
      <w:rFonts w:ascii="Times New Roman" w:hAnsi="Times New Roman"/>
    </w:rPr>
  </w:style>
  <w:style w:type="character" w:customStyle="1" w:styleId="375">
    <w:name w:val="标题 Char3"/>
    <w:qFormat/>
    <w:uiPriority w:val="10"/>
    <w:rPr>
      <w:rFonts w:ascii="Cambria" w:hAnsi="Cambria"/>
      <w:b/>
      <w:bCs/>
      <w:sz w:val="32"/>
      <w:szCs w:val="32"/>
    </w:rPr>
  </w:style>
  <w:style w:type="character" w:customStyle="1" w:styleId="376">
    <w:name w:val="不明显强调1"/>
    <w:qFormat/>
    <w:uiPriority w:val="0"/>
    <w:rPr>
      <w:i/>
      <w:iCs/>
      <w:color w:val="808080"/>
    </w:rPr>
  </w:style>
  <w:style w:type="character" w:customStyle="1" w:styleId="377">
    <w:name w:val="HTML 预设格式 Char4"/>
    <w:semiHidden/>
    <w:qFormat/>
    <w:uiPriority w:val="99"/>
    <w:rPr>
      <w:rFonts w:ascii="Courier New" w:hAnsi="Courier New" w:cs="Courier New"/>
      <w:sz w:val="20"/>
      <w:szCs w:val="20"/>
    </w:rPr>
  </w:style>
  <w:style w:type="character" w:customStyle="1" w:styleId="378">
    <w:name w:val="批注主题 Char1"/>
    <w:qFormat/>
    <w:uiPriority w:val="0"/>
    <w:rPr>
      <w:b/>
      <w:bCs/>
      <w:kern w:val="2"/>
      <w:sz w:val="21"/>
      <w:szCs w:val="22"/>
    </w:rPr>
  </w:style>
  <w:style w:type="character" w:customStyle="1" w:styleId="379">
    <w:name w:val="标题 字符1"/>
    <w:qFormat/>
    <w:uiPriority w:val="10"/>
    <w:rPr>
      <w:rFonts w:ascii="等线 Light" w:hAnsi="等线 Light" w:eastAsia="等线 Light" w:cs="Times New Roman"/>
      <w:b/>
      <w:bCs/>
      <w:sz w:val="32"/>
      <w:szCs w:val="32"/>
    </w:rPr>
  </w:style>
  <w:style w:type="character" w:customStyle="1" w:styleId="380">
    <w:name w:val="正文首行缩进 Char"/>
    <w:qFormat/>
    <w:uiPriority w:val="99"/>
  </w:style>
  <w:style w:type="character" w:customStyle="1" w:styleId="381">
    <w:name w:val="批注文字 字符2"/>
    <w:qFormat/>
    <w:uiPriority w:val="0"/>
    <w:rPr>
      <w:rFonts w:eastAsia="宋体"/>
      <w:kern w:val="2"/>
      <w:sz w:val="21"/>
      <w:szCs w:val="24"/>
      <w:lang w:val="en-US" w:eastAsia="zh-CN" w:bidi="ar-SA"/>
    </w:rPr>
  </w:style>
  <w:style w:type="character" w:customStyle="1" w:styleId="382">
    <w:name w:val="Plain Text Char"/>
    <w:qFormat/>
    <w:locked/>
    <w:uiPriority w:val="99"/>
    <w:rPr>
      <w:rFonts w:ascii="宋体" w:hAnsi="Courier New"/>
    </w:rPr>
  </w:style>
  <w:style w:type="character" w:customStyle="1" w:styleId="383">
    <w:name w:val="Body Text 3 Char"/>
    <w:qFormat/>
    <w:locked/>
    <w:uiPriority w:val="0"/>
    <w:rPr>
      <w:rFonts w:ascii="宋体" w:hAnsi="Times New Roman" w:eastAsia="宋体" w:cs="Times New Roman"/>
      <w:sz w:val="20"/>
      <w:szCs w:val="20"/>
    </w:rPr>
  </w:style>
  <w:style w:type="character" w:customStyle="1" w:styleId="384">
    <w:name w:val="批注文字 Char3"/>
    <w:semiHidden/>
    <w:qFormat/>
    <w:uiPriority w:val="99"/>
    <w:rPr>
      <w:rFonts w:ascii="Times New Roman" w:hAnsi="Times New Roman" w:eastAsia="宋体" w:cs="Times New Roman"/>
      <w:szCs w:val="24"/>
    </w:rPr>
  </w:style>
  <w:style w:type="character" w:customStyle="1" w:styleId="385">
    <w:name w:val="无格式表格 41"/>
    <w:qFormat/>
    <w:uiPriority w:val="0"/>
    <w:rPr>
      <w:b/>
      <w:bCs/>
      <w:i/>
      <w:iCs/>
      <w:color w:val="4F81BD"/>
    </w:rPr>
  </w:style>
  <w:style w:type="character" w:customStyle="1" w:styleId="386">
    <w:name w:val="Char Char9"/>
    <w:qFormat/>
    <w:locked/>
    <w:uiPriority w:val="0"/>
    <w:rPr>
      <w:kern w:val="2"/>
      <w:sz w:val="22"/>
    </w:rPr>
  </w:style>
  <w:style w:type="character" w:customStyle="1" w:styleId="387">
    <w:name w:val="明显引用 字符3"/>
    <w:qFormat/>
    <w:uiPriority w:val="0"/>
    <w:rPr>
      <w:i/>
      <w:iCs/>
      <w:color w:val="4472C4"/>
      <w:kern w:val="2"/>
      <w:sz w:val="21"/>
      <w:szCs w:val="22"/>
    </w:rPr>
  </w:style>
  <w:style w:type="character" w:customStyle="1" w:styleId="388">
    <w:name w:val="标题 7 Char Char"/>
    <w:qFormat/>
    <w:uiPriority w:val="0"/>
    <w:rPr>
      <w:b/>
      <w:bCs/>
      <w:kern w:val="2"/>
      <w:sz w:val="24"/>
      <w:szCs w:val="24"/>
    </w:rPr>
  </w:style>
  <w:style w:type="character" w:customStyle="1" w:styleId="389">
    <w:name w:val="正文文本缩进 Char1"/>
    <w:qFormat/>
    <w:locked/>
    <w:uiPriority w:val="99"/>
  </w:style>
  <w:style w:type="character" w:customStyle="1" w:styleId="390">
    <w:name w:val="页脚 Char2"/>
    <w:qFormat/>
    <w:uiPriority w:val="99"/>
    <w:rPr>
      <w:sz w:val="18"/>
      <w:szCs w:val="18"/>
    </w:rPr>
  </w:style>
  <w:style w:type="character" w:customStyle="1" w:styleId="391">
    <w:name w:val="样式2 Char Char"/>
    <w:link w:val="392"/>
    <w:qFormat/>
    <w:uiPriority w:val="0"/>
    <w:rPr>
      <w:rFonts w:ascii="黑体" w:hAnsi="Arial" w:eastAsia="黑体"/>
      <w:b/>
      <w:bCs/>
      <w:sz w:val="24"/>
      <w:szCs w:val="30"/>
    </w:rPr>
  </w:style>
  <w:style w:type="paragraph" w:customStyle="1" w:styleId="392">
    <w:name w:val="样式2"/>
    <w:basedOn w:val="7"/>
    <w:next w:val="7"/>
    <w:link w:val="391"/>
    <w:qFormat/>
    <w:uiPriority w:val="0"/>
    <w:pPr>
      <w:widowControl/>
      <w:spacing w:before="280" w:after="290" w:line="372" w:lineRule="auto"/>
      <w:jc w:val="left"/>
    </w:pPr>
    <w:rPr>
      <w:rFonts w:ascii="黑体" w:eastAsia="黑体"/>
      <w:kern w:val="0"/>
      <w:sz w:val="24"/>
      <w:szCs w:val="30"/>
    </w:rPr>
  </w:style>
  <w:style w:type="character" w:customStyle="1" w:styleId="393">
    <w:name w:val="脚注文本 Char"/>
    <w:qFormat/>
    <w:uiPriority w:val="0"/>
    <w:rPr>
      <w:rFonts w:ascii="Times New Roman" w:hAnsi="Times New Roman" w:eastAsia="宋体" w:cs="Times New Roman"/>
      <w:sz w:val="18"/>
      <w:szCs w:val="18"/>
    </w:rPr>
  </w:style>
  <w:style w:type="character" w:customStyle="1" w:styleId="394">
    <w:name w:val="Heading 2 Char"/>
    <w:qFormat/>
    <w:locked/>
    <w:uiPriority w:val="0"/>
    <w:rPr>
      <w:rFonts w:ascii="Cambria" w:hAnsi="Cambria" w:eastAsia="宋体" w:cs="Times New Roman"/>
      <w:b/>
      <w:bCs/>
      <w:sz w:val="32"/>
      <w:szCs w:val="32"/>
    </w:rPr>
  </w:style>
  <w:style w:type="character" w:customStyle="1" w:styleId="395">
    <w:name w:val="标题 Char Char"/>
    <w:qFormat/>
    <w:uiPriority w:val="0"/>
    <w:rPr>
      <w:rFonts w:ascii="Cambria" w:hAnsi="Cambria" w:cs="Times New Roman"/>
      <w:b/>
      <w:bCs/>
      <w:kern w:val="2"/>
      <w:sz w:val="32"/>
      <w:szCs w:val="32"/>
    </w:rPr>
  </w:style>
  <w:style w:type="character" w:customStyle="1" w:styleId="396">
    <w:name w:val="22"/>
    <w:qFormat/>
    <w:uiPriority w:val="0"/>
    <w:rPr>
      <w:rFonts w:hint="eastAsia" w:ascii="宋体" w:hAnsi="宋体" w:eastAsia="宋体"/>
      <w:b/>
      <w:bCs/>
      <w:color w:val="000000"/>
      <w:spacing w:val="0"/>
      <w:sz w:val="20"/>
      <w:szCs w:val="20"/>
    </w:rPr>
  </w:style>
  <w:style w:type="character" w:customStyle="1" w:styleId="397">
    <w:name w:val="彩色网格 - 着色 1 字符"/>
    <w:link w:val="398"/>
    <w:qFormat/>
    <w:uiPriority w:val="0"/>
    <w:rPr>
      <w:i/>
      <w:iCs/>
      <w:color w:val="000000"/>
    </w:rPr>
  </w:style>
  <w:style w:type="paragraph" w:customStyle="1" w:styleId="398">
    <w:name w:val="彩色网格 - 着色 11"/>
    <w:basedOn w:val="1"/>
    <w:next w:val="1"/>
    <w:link w:val="397"/>
    <w:qFormat/>
    <w:uiPriority w:val="0"/>
    <w:rPr>
      <w:i/>
      <w:iCs/>
      <w:color w:val="000000"/>
      <w:kern w:val="0"/>
      <w:sz w:val="20"/>
      <w:szCs w:val="20"/>
    </w:rPr>
  </w:style>
  <w:style w:type="character" w:customStyle="1" w:styleId="399">
    <w:name w:val="zbggmain style9"/>
    <w:qFormat/>
    <w:uiPriority w:val="0"/>
    <w:rPr>
      <w:rFonts w:ascii="宋体" w:hAnsi="宋体"/>
      <w:spacing w:val="4"/>
      <w:sz w:val="24"/>
      <w:szCs w:val="24"/>
      <w:lang w:eastAsia="en-US"/>
    </w:rPr>
  </w:style>
  <w:style w:type="character" w:customStyle="1" w:styleId="400">
    <w:name w:val="标题 7 Char"/>
    <w:qFormat/>
    <w:uiPriority w:val="0"/>
    <w:rPr>
      <w:rFonts w:ascii="Times New Roman" w:hAnsi="Times New Roman" w:eastAsia="宋体" w:cs="Times New Roman"/>
      <w:b/>
      <w:bCs/>
      <w:kern w:val="0"/>
      <w:sz w:val="24"/>
      <w:szCs w:val="24"/>
    </w:rPr>
  </w:style>
  <w:style w:type="character" w:customStyle="1" w:styleId="401">
    <w:name w:val="Date Char"/>
    <w:qFormat/>
    <w:locked/>
    <w:uiPriority w:val="0"/>
    <w:rPr>
      <w:rFonts w:ascii="Times New Roman" w:hAnsi="Times New Roman" w:eastAsia="宋体" w:cs="Times New Roman"/>
      <w:color w:val="FF0000"/>
      <w:sz w:val="24"/>
      <w:szCs w:val="24"/>
    </w:rPr>
  </w:style>
  <w:style w:type="character" w:customStyle="1" w:styleId="402">
    <w:name w:val="副标题 Char Char"/>
    <w:qFormat/>
    <w:uiPriority w:val="0"/>
    <w:rPr>
      <w:rFonts w:ascii="Cambria" w:hAnsi="Cambria" w:cs="Times New Roman"/>
      <w:b/>
      <w:bCs/>
      <w:kern w:val="28"/>
      <w:sz w:val="32"/>
      <w:szCs w:val="32"/>
    </w:rPr>
  </w:style>
  <w:style w:type="character" w:customStyle="1" w:styleId="403">
    <w:name w:val="日期 Char5"/>
    <w:semiHidden/>
    <w:qFormat/>
    <w:uiPriority w:val="99"/>
  </w:style>
  <w:style w:type="character" w:customStyle="1" w:styleId="404">
    <w:name w:val="Quote Char2"/>
    <w:qFormat/>
    <w:locked/>
    <w:uiPriority w:val="0"/>
    <w:rPr>
      <w:rFonts w:ascii="Calibri" w:hAnsi="Calibri"/>
      <w:i/>
      <w:color w:val="000000"/>
    </w:rPr>
  </w:style>
  <w:style w:type="character" w:customStyle="1" w:styleId="405">
    <w:name w:val="正文文本 字符1"/>
    <w:semiHidden/>
    <w:qFormat/>
    <w:uiPriority w:val="99"/>
  </w:style>
  <w:style w:type="character" w:customStyle="1" w:styleId="406">
    <w:name w:val="标题 4 Char"/>
    <w:qFormat/>
    <w:uiPriority w:val="9"/>
    <w:rPr>
      <w:rFonts w:ascii="Cambria" w:hAnsi="Cambria" w:eastAsia="宋体" w:cs="Times New Roman"/>
      <w:b/>
      <w:bCs/>
      <w:kern w:val="0"/>
      <w:sz w:val="28"/>
      <w:szCs w:val="28"/>
    </w:rPr>
  </w:style>
  <w:style w:type="character" w:customStyle="1" w:styleId="407">
    <w:name w:val="批注框文本 字符1"/>
    <w:semiHidden/>
    <w:qFormat/>
    <w:uiPriority w:val="99"/>
    <w:rPr>
      <w:sz w:val="18"/>
      <w:szCs w:val="18"/>
    </w:rPr>
  </w:style>
  <w:style w:type="character" w:customStyle="1" w:styleId="408">
    <w:name w:val="Document Map Char1"/>
    <w:semiHidden/>
    <w:qFormat/>
    <w:uiPriority w:val="99"/>
    <w:rPr>
      <w:rFonts w:ascii="Times New Roman" w:hAnsi="Times New Roman"/>
      <w:spacing w:val="4"/>
      <w:sz w:val="16"/>
      <w:szCs w:val="16"/>
      <w:lang w:eastAsia="en-US"/>
    </w:rPr>
  </w:style>
  <w:style w:type="character" w:customStyle="1" w:styleId="409">
    <w:name w:val="标题 9 Char Char"/>
    <w:qFormat/>
    <w:uiPriority w:val="0"/>
    <w:rPr>
      <w:rFonts w:ascii="Cambria" w:hAnsi="Cambria" w:eastAsia="宋体" w:cs="Times New Roman"/>
      <w:kern w:val="2"/>
      <w:sz w:val="21"/>
      <w:szCs w:val="21"/>
    </w:rPr>
  </w:style>
  <w:style w:type="character" w:customStyle="1" w:styleId="410">
    <w:name w:val="明显引用 字符2"/>
    <w:qFormat/>
    <w:locked/>
    <w:uiPriority w:val="0"/>
    <w:rPr>
      <w:rFonts w:ascii="Calibri" w:hAnsi="Calibri"/>
      <w:b/>
      <w:i/>
      <w:sz w:val="24"/>
      <w:lang w:eastAsia="en-US" w:bidi="en-US"/>
    </w:rPr>
  </w:style>
  <w:style w:type="character" w:customStyle="1" w:styleId="411">
    <w:name w:val="页脚 Char3"/>
    <w:semiHidden/>
    <w:qFormat/>
    <w:uiPriority w:val="99"/>
    <w:rPr>
      <w:sz w:val="18"/>
      <w:szCs w:val="18"/>
    </w:rPr>
  </w:style>
  <w:style w:type="character" w:customStyle="1" w:styleId="412">
    <w:name w:val="正文文本 字符2"/>
    <w:qFormat/>
    <w:uiPriority w:val="0"/>
    <w:rPr>
      <w:rFonts w:ascii="Times New Roman" w:hAnsi="Times New Roman" w:eastAsia="宋体" w:cs="Times New Roman"/>
      <w:kern w:val="0"/>
      <w:sz w:val="20"/>
      <w:szCs w:val="20"/>
    </w:rPr>
  </w:style>
  <w:style w:type="character" w:customStyle="1" w:styleId="413">
    <w:name w:val="Footnote Text Char1"/>
    <w:semiHidden/>
    <w:qFormat/>
    <w:uiPriority w:val="99"/>
    <w:rPr>
      <w:rFonts w:ascii="Times New Roman" w:hAnsi="Times New Roman"/>
      <w:spacing w:val="4"/>
      <w:sz w:val="18"/>
      <w:szCs w:val="18"/>
      <w:lang w:eastAsia="en-US"/>
    </w:rPr>
  </w:style>
  <w:style w:type="character" w:customStyle="1" w:styleId="414">
    <w:name w:val="Body Text Indent 3 Char"/>
    <w:qFormat/>
    <w:locked/>
    <w:uiPriority w:val="0"/>
    <w:rPr>
      <w:rFonts w:ascii="Times New Roman" w:hAnsi="Times New Roman" w:eastAsia="宋体" w:cs="Times New Roman"/>
      <w:color w:val="FF0000"/>
      <w:sz w:val="24"/>
      <w:szCs w:val="24"/>
    </w:rPr>
  </w:style>
  <w:style w:type="character" w:customStyle="1" w:styleId="415">
    <w:name w:val="批注文字 字符4"/>
    <w:qFormat/>
    <w:uiPriority w:val="0"/>
    <w:rPr>
      <w:kern w:val="2"/>
      <w:sz w:val="21"/>
      <w:szCs w:val="22"/>
    </w:rPr>
  </w:style>
  <w:style w:type="character" w:customStyle="1" w:styleId="416">
    <w:name w:val="批注文字 Char1"/>
    <w:qFormat/>
    <w:uiPriority w:val="0"/>
    <w:rPr>
      <w:rFonts w:ascii="Times New Roman" w:hAnsi="Times New Roman" w:eastAsia="宋体" w:cs="Times New Roman"/>
      <w:szCs w:val="20"/>
    </w:rPr>
  </w:style>
  <w:style w:type="character" w:customStyle="1" w:styleId="417">
    <w:name w:val="信息标题 字符1"/>
    <w:semiHidden/>
    <w:qFormat/>
    <w:uiPriority w:val="99"/>
    <w:rPr>
      <w:rFonts w:ascii="等线 Light" w:hAnsi="等线 Light" w:eastAsia="等线 Light" w:cs="Times New Roman"/>
      <w:sz w:val="24"/>
      <w:szCs w:val="24"/>
      <w:shd w:val="pct20" w:color="auto" w:fill="auto"/>
    </w:rPr>
  </w:style>
  <w:style w:type="character" w:customStyle="1" w:styleId="418">
    <w:name w:val="浅色底纹 - 强调文字颜色 2 Char"/>
    <w:link w:val="419"/>
    <w:qFormat/>
    <w:uiPriority w:val="0"/>
    <w:rPr>
      <w:b/>
      <w:bCs/>
      <w:i/>
      <w:iCs/>
      <w:color w:val="4F81BD"/>
    </w:rPr>
  </w:style>
  <w:style w:type="paragraph" w:customStyle="1" w:styleId="419">
    <w:name w:val="浅色底纹 - 强调文字颜色 21"/>
    <w:basedOn w:val="1"/>
    <w:next w:val="1"/>
    <w:link w:val="418"/>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420">
    <w:name w:val="Char Char151"/>
    <w:qFormat/>
    <w:uiPriority w:val="0"/>
    <w:rPr>
      <w:rFonts w:eastAsia="宋体"/>
      <w:b/>
      <w:bCs/>
      <w:kern w:val="2"/>
      <w:sz w:val="32"/>
      <w:szCs w:val="32"/>
      <w:lang w:val="en-US" w:eastAsia="zh-CN" w:bidi="ar-SA"/>
    </w:rPr>
  </w:style>
  <w:style w:type="character" w:customStyle="1" w:styleId="421">
    <w:name w:val="样式 样式 样式 纯文本 + 楷体_GB2312 四号 浅蓝 首行缩进:  1.1 厘米 行距: 1.5 倍行距 + 首行缩进:... Char"/>
    <w:link w:val="422"/>
    <w:qFormat/>
    <w:uiPriority w:val="0"/>
    <w:rPr>
      <w:rFonts w:ascii="宋体" w:hAnsi="宋体" w:eastAsia="宋体" w:cs="宋体"/>
      <w:kern w:val="2"/>
      <w:sz w:val="30"/>
      <w:lang w:val="en-US" w:eastAsia="zh-CN" w:bidi="ar-SA"/>
    </w:rPr>
  </w:style>
  <w:style w:type="paragraph" w:customStyle="1" w:styleId="422">
    <w:name w:val="样式 样式 样式 纯文本 + 楷体_GB2312 四号 浅蓝 首行缩进:  1.1 厘米 行距: 1.5 倍行距 + 首行缩进:..."/>
    <w:basedOn w:val="184"/>
    <w:link w:val="421"/>
    <w:qFormat/>
    <w:uiPriority w:val="99"/>
    <w:pPr>
      <w:ind w:firstLine="607" w:firstLineChars="200"/>
      <w:jc w:val="left"/>
    </w:pPr>
    <w:rPr>
      <w:bCs w:val="0"/>
    </w:rPr>
  </w:style>
  <w:style w:type="character" w:customStyle="1" w:styleId="423">
    <w:name w:val="HTML Preformatted Char1"/>
    <w:semiHidden/>
    <w:qFormat/>
    <w:uiPriority w:val="99"/>
    <w:rPr>
      <w:rFonts w:ascii="Courier New" w:hAnsi="Courier New" w:cs="Courier New"/>
      <w:spacing w:val="4"/>
      <w:sz w:val="20"/>
      <w:szCs w:val="20"/>
      <w:lang w:eastAsia="en-US"/>
    </w:rPr>
  </w:style>
  <w:style w:type="character" w:customStyle="1" w:styleId="424">
    <w:name w:val="样式4-1 Char"/>
    <w:link w:val="425"/>
    <w:qFormat/>
    <w:uiPriority w:val="0"/>
    <w:rPr>
      <w:rFonts w:ascii="宋体" w:hAnsi="宋体" w:eastAsia="宋体"/>
      <w:b/>
      <w:kern w:val="2"/>
      <w:sz w:val="21"/>
      <w:szCs w:val="21"/>
      <w:lang w:bidi="ar-SA"/>
    </w:rPr>
  </w:style>
  <w:style w:type="paragraph" w:customStyle="1" w:styleId="425">
    <w:name w:val="样式4-1"/>
    <w:basedOn w:val="1"/>
    <w:link w:val="424"/>
    <w:qFormat/>
    <w:uiPriority w:val="99"/>
    <w:pPr>
      <w:spacing w:line="360" w:lineRule="auto"/>
      <w:ind w:firstLine="420" w:firstLineChars="200"/>
      <w:outlineLvl w:val="3"/>
    </w:pPr>
    <w:rPr>
      <w:rFonts w:ascii="宋体" w:hAnsi="宋体"/>
      <w:b/>
      <w:szCs w:val="21"/>
    </w:rPr>
  </w:style>
  <w:style w:type="character" w:customStyle="1" w:styleId="426">
    <w:name w:val="不明显参考3"/>
    <w:qFormat/>
    <w:uiPriority w:val="0"/>
    <w:rPr>
      <w:smallCaps/>
      <w:color w:val="C0504D"/>
      <w:u w:val="single"/>
    </w:rPr>
  </w:style>
  <w:style w:type="character" w:customStyle="1" w:styleId="427">
    <w:name w:val="Footnote Text Char"/>
    <w:qFormat/>
    <w:locked/>
    <w:uiPriority w:val="99"/>
    <w:rPr>
      <w:sz w:val="18"/>
    </w:rPr>
  </w:style>
  <w:style w:type="character" w:customStyle="1" w:styleId="428">
    <w:name w:val="引用 Char2"/>
    <w:qFormat/>
    <w:uiPriority w:val="29"/>
    <w:rPr>
      <w:rFonts w:ascii="Tahoma" w:hAnsi="Tahoma"/>
      <w:i/>
      <w:iCs/>
      <w:color w:val="000000"/>
      <w:kern w:val="2"/>
      <w:sz w:val="21"/>
      <w:szCs w:val="22"/>
    </w:rPr>
  </w:style>
  <w:style w:type="character" w:customStyle="1" w:styleId="429">
    <w:name w:val="正文文本缩进 3 Char"/>
    <w:qFormat/>
    <w:uiPriority w:val="0"/>
    <w:rPr>
      <w:rFonts w:ascii="Times New Roman" w:hAnsi="Times New Roman" w:eastAsia="宋体" w:cs="Times New Roman"/>
      <w:color w:val="FF0000"/>
      <w:sz w:val="24"/>
      <w:szCs w:val="24"/>
    </w:rPr>
  </w:style>
  <w:style w:type="character" w:customStyle="1" w:styleId="430">
    <w:name w:val="样式3-1 Char Char"/>
    <w:qFormat/>
    <w:locked/>
    <w:uiPriority w:val="99"/>
    <w:rPr>
      <w:rFonts w:ascii="宋体"/>
      <w:b/>
      <w:sz w:val="24"/>
    </w:rPr>
  </w:style>
  <w:style w:type="character" w:customStyle="1" w:styleId="431">
    <w:name w:val="Intense Quote Char1"/>
    <w:qFormat/>
    <w:uiPriority w:val="0"/>
    <w:rPr>
      <w:b/>
      <w:bCs/>
      <w:i/>
      <w:iCs/>
      <w:color w:val="4F81BD"/>
    </w:rPr>
  </w:style>
  <w:style w:type="character" w:customStyle="1" w:styleId="432">
    <w:name w:val="正文文本缩进 2 Char4"/>
    <w:semiHidden/>
    <w:qFormat/>
    <w:uiPriority w:val="99"/>
  </w:style>
  <w:style w:type="character" w:customStyle="1" w:styleId="433">
    <w:name w:val="标题 9 Char1"/>
    <w:qFormat/>
    <w:uiPriority w:val="9"/>
    <w:rPr>
      <w:rFonts w:ascii="Arial" w:hAnsi="Arial" w:eastAsia="黑体" w:cs="Times New Roman"/>
      <w:kern w:val="0"/>
      <w:szCs w:val="21"/>
    </w:rPr>
  </w:style>
  <w:style w:type="character" w:customStyle="1" w:styleId="434">
    <w:name w:val="书籍标题11"/>
    <w:qFormat/>
    <w:uiPriority w:val="0"/>
    <w:rPr>
      <w:b/>
      <w:bCs/>
      <w:smallCaps/>
      <w:spacing w:val="5"/>
    </w:rPr>
  </w:style>
  <w:style w:type="character" w:customStyle="1" w:styleId="435">
    <w:name w:val="标题 2XW Char2"/>
    <w:qFormat/>
    <w:uiPriority w:val="0"/>
    <w:rPr>
      <w:rFonts w:ascii="Arial" w:hAnsi="Arial" w:eastAsia="黑体"/>
      <w:b/>
      <w:bCs/>
      <w:sz w:val="32"/>
      <w:szCs w:val="32"/>
      <w:lang w:val="en-US" w:eastAsia="zh-CN" w:bidi="ar-SA"/>
    </w:rPr>
  </w:style>
  <w:style w:type="character" w:customStyle="1" w:styleId="436">
    <w:name w:val="g Char Char"/>
    <w:qFormat/>
    <w:uiPriority w:val="0"/>
    <w:rPr>
      <w:sz w:val="18"/>
    </w:rPr>
  </w:style>
  <w:style w:type="character" w:customStyle="1" w:styleId="437">
    <w:name w:val="标题 5 Char Char"/>
    <w:qFormat/>
    <w:uiPriority w:val="0"/>
    <w:rPr>
      <w:b/>
      <w:bCs/>
      <w:kern w:val="2"/>
      <w:sz w:val="28"/>
      <w:szCs w:val="28"/>
    </w:rPr>
  </w:style>
  <w:style w:type="character" w:customStyle="1" w:styleId="438">
    <w:name w:val="Char Char17"/>
    <w:qFormat/>
    <w:uiPriority w:val="0"/>
    <w:rPr>
      <w:rFonts w:ascii="Cambria" w:hAnsi="Cambria" w:eastAsia="宋体"/>
      <w:b/>
      <w:bCs/>
      <w:kern w:val="2"/>
      <w:sz w:val="32"/>
      <w:szCs w:val="32"/>
      <w:lang w:val="en-US" w:eastAsia="zh-CN" w:bidi="ar-SA"/>
    </w:rPr>
  </w:style>
  <w:style w:type="character" w:customStyle="1" w:styleId="439">
    <w:name w:val="页眉 Char3"/>
    <w:semiHidden/>
    <w:qFormat/>
    <w:uiPriority w:val="99"/>
    <w:rPr>
      <w:sz w:val="18"/>
      <w:szCs w:val="18"/>
    </w:rPr>
  </w:style>
  <w:style w:type="character" w:customStyle="1" w:styleId="440">
    <w:name w:val="Comment Subject Char1"/>
    <w:semiHidden/>
    <w:qFormat/>
    <w:uiPriority w:val="99"/>
    <w:rPr>
      <w:rFonts w:ascii="Times New Roman" w:hAnsi="Times New Roman" w:cs="Times New Roman"/>
      <w:b/>
      <w:bCs/>
      <w:spacing w:val="4"/>
      <w:kern w:val="2"/>
      <w:sz w:val="24"/>
      <w:szCs w:val="24"/>
      <w:lang w:eastAsia="en-US"/>
    </w:rPr>
  </w:style>
  <w:style w:type="character" w:customStyle="1" w:styleId="441">
    <w:name w:val="批注框文本 Char2"/>
    <w:semiHidden/>
    <w:qFormat/>
    <w:uiPriority w:val="99"/>
    <w:rPr>
      <w:rFonts w:ascii="Times New Roman" w:hAnsi="Times New Roman"/>
      <w:kern w:val="2"/>
      <w:sz w:val="18"/>
      <w:szCs w:val="18"/>
    </w:rPr>
  </w:style>
  <w:style w:type="character" w:customStyle="1" w:styleId="442">
    <w:name w:val="Sample"/>
    <w:qFormat/>
    <w:uiPriority w:val="0"/>
    <w:rPr>
      <w:rFonts w:ascii="Courier New" w:hAnsi="Courier New"/>
    </w:rPr>
  </w:style>
  <w:style w:type="character" w:customStyle="1" w:styleId="443">
    <w:name w:val="纯文本 字符1"/>
    <w:semiHidden/>
    <w:qFormat/>
    <w:uiPriority w:val="99"/>
    <w:rPr>
      <w:rFonts w:ascii="等线" w:hAnsi="Courier New" w:eastAsia="等线" w:cs="Courier New"/>
    </w:rPr>
  </w:style>
  <w:style w:type="character" w:customStyle="1" w:styleId="444">
    <w:name w:val="文档结构图 Char4"/>
    <w:qFormat/>
    <w:uiPriority w:val="99"/>
    <w:rPr>
      <w:shd w:val="clear" w:color="auto" w:fill="000080"/>
    </w:rPr>
  </w:style>
  <w:style w:type="character" w:customStyle="1" w:styleId="445">
    <w:name w:val="尾注文本 Char"/>
    <w:qFormat/>
    <w:uiPriority w:val="0"/>
    <w:rPr>
      <w:rFonts w:ascii="Tahoma" w:hAnsi="Tahoma" w:eastAsia="宋体" w:cs="Times New Roman"/>
      <w:szCs w:val="24"/>
    </w:rPr>
  </w:style>
  <w:style w:type="character" w:customStyle="1" w:styleId="446">
    <w:name w:val="文档结构图 Char Char"/>
    <w:qFormat/>
    <w:uiPriority w:val="0"/>
    <w:rPr>
      <w:rFonts w:ascii="Times New Roman" w:hAnsi="Times New Roman"/>
      <w:szCs w:val="24"/>
      <w:shd w:val="clear" w:color="auto" w:fill="000080"/>
    </w:rPr>
  </w:style>
  <w:style w:type="character" w:customStyle="1" w:styleId="447">
    <w:name w:val="正文文本 3 Char3"/>
    <w:qFormat/>
    <w:uiPriority w:val="99"/>
    <w:rPr>
      <w:rFonts w:ascii="Times New Roman" w:hAnsi="Times New Roman" w:eastAsia="宋体" w:cs="Times New Roman"/>
      <w:sz w:val="16"/>
      <w:szCs w:val="16"/>
    </w:rPr>
  </w:style>
  <w:style w:type="character" w:customStyle="1" w:styleId="448">
    <w:name w:val="通用web正文1"/>
    <w:qFormat/>
    <w:uiPriority w:val="0"/>
    <w:rPr>
      <w:rFonts w:hint="eastAsia" w:ascii="宋体" w:hAnsi="宋体" w:eastAsia="宋体"/>
      <w:sz w:val="18"/>
    </w:rPr>
  </w:style>
  <w:style w:type="character" w:customStyle="1" w:styleId="449">
    <w:name w:val="尾注文本 Char1"/>
    <w:qFormat/>
    <w:uiPriority w:val="0"/>
    <w:rPr>
      <w:kern w:val="2"/>
      <w:sz w:val="21"/>
    </w:rPr>
  </w:style>
  <w:style w:type="character" w:customStyle="1" w:styleId="450">
    <w:name w:val="不明显强调3"/>
    <w:qFormat/>
    <w:uiPriority w:val="0"/>
    <w:rPr>
      <w:i/>
      <w:iCs/>
      <w:color w:val="808080"/>
    </w:rPr>
  </w:style>
  <w:style w:type="character" w:customStyle="1" w:styleId="451">
    <w:name w:val="页脚 字符2"/>
    <w:semiHidden/>
    <w:qFormat/>
    <w:uiPriority w:val="99"/>
    <w:rPr>
      <w:sz w:val="18"/>
      <w:szCs w:val="18"/>
    </w:rPr>
  </w:style>
  <w:style w:type="character" w:customStyle="1" w:styleId="452">
    <w:name w:val="信息标题 Char3"/>
    <w:semiHidden/>
    <w:qFormat/>
    <w:uiPriority w:val="99"/>
    <w:rPr>
      <w:rFonts w:ascii="Cambria" w:hAnsi="Cambria" w:eastAsia="宋体" w:cs="Times New Roman"/>
      <w:sz w:val="24"/>
      <w:szCs w:val="24"/>
      <w:shd w:val="pct20" w:color="auto" w:fill="auto"/>
    </w:rPr>
  </w:style>
  <w:style w:type="character" w:customStyle="1" w:styleId="453">
    <w:name w:val="脚注文本 Char4"/>
    <w:semiHidden/>
    <w:qFormat/>
    <w:uiPriority w:val="99"/>
    <w:rPr>
      <w:sz w:val="18"/>
      <w:szCs w:val="18"/>
    </w:rPr>
  </w:style>
  <w:style w:type="character" w:customStyle="1" w:styleId="454">
    <w:name w:val="样式 样式 纯文本 + 楷体_GB2312 四号 浅蓝 首行缩进:  1.1 厘米 行距: 1.5 倍行距 + 首行缩进:  4... Char Char"/>
    <w:qFormat/>
    <w:locked/>
    <w:uiPriority w:val="99"/>
    <w:rPr>
      <w:rFonts w:ascii="宋体"/>
      <w:sz w:val="30"/>
    </w:rPr>
  </w:style>
  <w:style w:type="character" w:customStyle="1" w:styleId="455">
    <w:name w:val="页脚 Char"/>
    <w:qFormat/>
    <w:uiPriority w:val="99"/>
    <w:rPr>
      <w:sz w:val="18"/>
      <w:szCs w:val="18"/>
    </w:rPr>
  </w:style>
  <w:style w:type="character" w:customStyle="1" w:styleId="456">
    <w:name w:val="批注主题 Char5"/>
    <w:semiHidden/>
    <w:qFormat/>
    <w:uiPriority w:val="99"/>
    <w:rPr>
      <w:b/>
      <w:bCs/>
    </w:rPr>
  </w:style>
  <w:style w:type="character" w:customStyle="1" w:styleId="457">
    <w:name w:val="Intense Quote Char2"/>
    <w:qFormat/>
    <w:locked/>
    <w:uiPriority w:val="0"/>
    <w:rPr>
      <w:rFonts w:ascii="Calibri" w:hAnsi="Calibri"/>
      <w:b/>
      <w:i/>
      <w:color w:val="4F81BD"/>
    </w:rPr>
  </w:style>
  <w:style w:type="character" w:customStyle="1" w:styleId="458">
    <w:name w:val="正文文本缩进 2 Char2"/>
    <w:qFormat/>
    <w:uiPriority w:val="99"/>
    <w:rPr>
      <w:rFonts w:ascii="Times New Roman" w:hAnsi="Times New Roman"/>
      <w:szCs w:val="24"/>
    </w:rPr>
  </w:style>
  <w:style w:type="character" w:customStyle="1" w:styleId="459">
    <w:name w:val="尾注文本 Char2"/>
    <w:qFormat/>
    <w:uiPriority w:val="99"/>
    <w:rPr>
      <w:rFonts w:ascii="Times New Roman" w:hAnsi="Times New Roman" w:eastAsia="宋体" w:cs="Times New Roman"/>
      <w:szCs w:val="24"/>
    </w:rPr>
  </w:style>
  <w:style w:type="character" w:customStyle="1" w:styleId="460">
    <w:name w:val="副标题 Char5"/>
    <w:qFormat/>
    <w:uiPriority w:val="11"/>
    <w:rPr>
      <w:rFonts w:ascii="Cambria" w:hAnsi="Cambria" w:eastAsia="宋体" w:cs="Times New Roman"/>
      <w:b/>
      <w:bCs/>
      <w:kern w:val="28"/>
      <w:sz w:val="32"/>
      <w:szCs w:val="32"/>
    </w:rPr>
  </w:style>
  <w:style w:type="character" w:customStyle="1" w:styleId="461">
    <w:name w:val="HTML 预设格式 Char"/>
    <w:qFormat/>
    <w:uiPriority w:val="0"/>
    <w:rPr>
      <w:rFonts w:ascii="Courier New" w:hAnsi="Courier New" w:eastAsia="宋体" w:cs="Courier New"/>
      <w:sz w:val="20"/>
      <w:szCs w:val="20"/>
    </w:rPr>
  </w:style>
  <w:style w:type="character" w:customStyle="1" w:styleId="462">
    <w:name w:val="日期 字符1"/>
    <w:semiHidden/>
    <w:qFormat/>
    <w:uiPriority w:val="99"/>
  </w:style>
  <w:style w:type="character" w:customStyle="1" w:styleId="463">
    <w:name w:val="Plain Text Char1"/>
    <w:semiHidden/>
    <w:qFormat/>
    <w:uiPriority w:val="99"/>
    <w:rPr>
      <w:rFonts w:ascii="宋体" w:hAnsi="Courier New" w:cs="Courier New"/>
      <w:spacing w:val="4"/>
      <w:sz w:val="24"/>
      <w:szCs w:val="21"/>
      <w:lang w:eastAsia="en-US"/>
    </w:rPr>
  </w:style>
  <w:style w:type="character" w:customStyle="1" w:styleId="464">
    <w:name w:val="正文首行缩进 Char3"/>
    <w:semiHidden/>
    <w:qFormat/>
    <w:uiPriority w:val="99"/>
  </w:style>
  <w:style w:type="character" w:customStyle="1" w:styleId="465">
    <w:name w:val="页眉 Char1"/>
    <w:semiHidden/>
    <w:qFormat/>
    <w:uiPriority w:val="99"/>
    <w:rPr>
      <w:rFonts w:ascii="Times New Roman" w:hAnsi="Times New Roman"/>
      <w:kern w:val="2"/>
      <w:sz w:val="18"/>
      <w:szCs w:val="18"/>
    </w:rPr>
  </w:style>
  <w:style w:type="character" w:customStyle="1" w:styleId="466">
    <w:name w:val="批注文字 字符3"/>
    <w:qFormat/>
    <w:uiPriority w:val="0"/>
    <w:rPr>
      <w:rFonts w:ascii="Times New Roman" w:hAnsi="Times New Roman" w:eastAsia="宋体" w:cs="Times New Roman"/>
      <w:kern w:val="0"/>
      <w:sz w:val="20"/>
      <w:szCs w:val="20"/>
    </w:rPr>
  </w:style>
  <w:style w:type="character" w:customStyle="1" w:styleId="467">
    <w:name w:val="Body Text First Indent 2 Char"/>
    <w:qFormat/>
    <w:locked/>
    <w:uiPriority w:val="99"/>
    <w:rPr>
      <w:rFonts w:ascii="Times New Roman" w:hAnsi="Times New Roman" w:eastAsia="宋体" w:cs="Times New Roman"/>
      <w:sz w:val="24"/>
      <w:szCs w:val="24"/>
    </w:rPr>
  </w:style>
  <w:style w:type="character" w:customStyle="1" w:styleId="468">
    <w:name w:val="标题 6 Char1"/>
    <w:qFormat/>
    <w:uiPriority w:val="9"/>
    <w:rPr>
      <w:rFonts w:ascii="Arial" w:hAnsi="Arial" w:eastAsia="黑体" w:cs="Times New Roman"/>
      <w:b/>
      <w:bCs/>
      <w:kern w:val="0"/>
      <w:sz w:val="24"/>
      <w:szCs w:val="24"/>
    </w:rPr>
  </w:style>
  <w:style w:type="character" w:customStyle="1" w:styleId="469">
    <w:name w:val="无格式表格 31"/>
    <w:qFormat/>
    <w:uiPriority w:val="0"/>
    <w:rPr>
      <w:i/>
      <w:iCs/>
      <w:color w:val="808080"/>
    </w:rPr>
  </w:style>
  <w:style w:type="character" w:customStyle="1" w:styleId="470">
    <w:name w:val="正文文本 3 Char2"/>
    <w:qFormat/>
    <w:uiPriority w:val="99"/>
    <w:rPr>
      <w:rFonts w:ascii="Times New Roman" w:hAnsi="Times New Roman"/>
      <w:sz w:val="16"/>
      <w:szCs w:val="16"/>
    </w:rPr>
  </w:style>
  <w:style w:type="character" w:customStyle="1" w:styleId="471">
    <w:name w:val="标题 8 Char Char"/>
    <w:qFormat/>
    <w:uiPriority w:val="0"/>
    <w:rPr>
      <w:rFonts w:ascii="Cambria" w:hAnsi="Cambria" w:eastAsia="宋体" w:cs="Times New Roman"/>
      <w:kern w:val="2"/>
      <w:sz w:val="24"/>
      <w:szCs w:val="24"/>
    </w:rPr>
  </w:style>
  <w:style w:type="character" w:customStyle="1" w:styleId="472">
    <w:name w:val="明显强调3"/>
    <w:qFormat/>
    <w:uiPriority w:val="0"/>
    <w:rPr>
      <w:b/>
      <w:bCs/>
      <w:i/>
      <w:iCs/>
      <w:color w:val="4F81BD"/>
    </w:rPr>
  </w:style>
  <w:style w:type="character" w:customStyle="1" w:styleId="473">
    <w:name w:val="明显参考2"/>
    <w:qFormat/>
    <w:uiPriority w:val="32"/>
    <w:rPr>
      <w:b/>
      <w:bCs/>
      <w:smallCaps/>
      <w:color w:val="C0504D"/>
      <w:spacing w:val="5"/>
      <w:u w:val="single"/>
    </w:rPr>
  </w:style>
  <w:style w:type="character" w:customStyle="1" w:styleId="474">
    <w:name w:val="Char Char15"/>
    <w:qFormat/>
    <w:uiPriority w:val="0"/>
    <w:rPr>
      <w:rFonts w:hint="default" w:ascii="Cambria" w:hAnsi="Cambria" w:eastAsia="宋体"/>
    </w:rPr>
  </w:style>
  <w:style w:type="character" w:customStyle="1" w:styleId="475">
    <w:name w:val="纯文本 Char3"/>
    <w:qFormat/>
    <w:uiPriority w:val="99"/>
    <w:rPr>
      <w:rFonts w:ascii="宋体" w:hAnsi="Courier New" w:eastAsia="宋体" w:cs="Courier New"/>
      <w:szCs w:val="21"/>
    </w:rPr>
  </w:style>
  <w:style w:type="character" w:customStyle="1" w:styleId="476">
    <w:name w:val="样式1 Char"/>
    <w:qFormat/>
    <w:uiPriority w:val="0"/>
    <w:rPr>
      <w:rFonts w:ascii="华文仿宋" w:hAnsi="华文仿宋" w:eastAsia="华文仿宋"/>
      <w:b/>
      <w:color w:val="000000"/>
      <w:kern w:val="2"/>
      <w:sz w:val="30"/>
      <w:szCs w:val="30"/>
      <w:u w:val="single"/>
    </w:rPr>
  </w:style>
  <w:style w:type="character" w:customStyle="1" w:styleId="477">
    <w:name w:val="luoyong"/>
    <w:semiHidden/>
    <w:qFormat/>
    <w:uiPriority w:val="0"/>
    <w:rPr>
      <w:rFonts w:ascii="Arial" w:hAnsi="Arial" w:eastAsia="宋体" w:cs="Arial"/>
      <w:color w:val="000080"/>
      <w:sz w:val="18"/>
      <w:szCs w:val="20"/>
    </w:rPr>
  </w:style>
  <w:style w:type="character" w:customStyle="1" w:styleId="478">
    <w:name w:val="脚注文本 Char1"/>
    <w:qFormat/>
    <w:uiPriority w:val="0"/>
    <w:rPr>
      <w:rFonts w:ascii="Times New Roman" w:hAnsi="Times New Roman" w:eastAsia="宋体" w:cs="Times New Roman"/>
      <w:sz w:val="18"/>
      <w:szCs w:val="18"/>
    </w:rPr>
  </w:style>
  <w:style w:type="character" w:customStyle="1" w:styleId="479">
    <w:name w:val="批注框文本 Char1"/>
    <w:qFormat/>
    <w:uiPriority w:val="0"/>
    <w:rPr>
      <w:kern w:val="2"/>
      <w:sz w:val="18"/>
      <w:szCs w:val="18"/>
    </w:rPr>
  </w:style>
  <w:style w:type="character" w:customStyle="1" w:styleId="480">
    <w:name w:val="脚注文本 Char2"/>
    <w:qFormat/>
    <w:uiPriority w:val="99"/>
    <w:rPr>
      <w:rFonts w:ascii="Times New Roman" w:hAnsi="Times New Roman"/>
      <w:sz w:val="18"/>
      <w:szCs w:val="18"/>
    </w:rPr>
  </w:style>
  <w:style w:type="character" w:customStyle="1" w:styleId="481">
    <w:name w:val="正文文本 2 Char3"/>
    <w:qFormat/>
    <w:uiPriority w:val="99"/>
    <w:rPr>
      <w:rFonts w:ascii="Times New Roman" w:hAnsi="Times New Roman"/>
      <w:szCs w:val="24"/>
    </w:rPr>
  </w:style>
  <w:style w:type="character" w:customStyle="1" w:styleId="482">
    <w:name w:val="无间隔 Char"/>
    <w:link w:val="483"/>
    <w:qFormat/>
    <w:uiPriority w:val="1"/>
    <w:rPr>
      <w:kern w:val="2"/>
      <w:sz w:val="22"/>
      <w:szCs w:val="22"/>
      <w:lang w:val="en-US" w:eastAsia="en-US" w:bidi="en-US"/>
    </w:rPr>
  </w:style>
  <w:style w:type="paragraph" w:customStyle="1" w:styleId="483">
    <w:name w:val="无间隔2"/>
    <w:link w:val="482"/>
    <w:qFormat/>
    <w:uiPriority w:val="1"/>
    <w:pPr>
      <w:spacing w:line="360" w:lineRule="auto"/>
      <w:ind w:firstLine="200" w:firstLineChars="200"/>
      <w:jc w:val="both"/>
    </w:pPr>
    <w:rPr>
      <w:rFonts w:ascii="Calibri" w:hAnsi="Calibri" w:eastAsia="宋体" w:cs="Times New Roman"/>
      <w:kern w:val="2"/>
      <w:sz w:val="22"/>
      <w:szCs w:val="22"/>
      <w:lang w:val="en-US" w:eastAsia="en-US" w:bidi="en-US"/>
    </w:rPr>
  </w:style>
  <w:style w:type="character" w:customStyle="1" w:styleId="484">
    <w:name w:val="文档结构图 Char2"/>
    <w:qFormat/>
    <w:uiPriority w:val="99"/>
    <w:rPr>
      <w:rFonts w:ascii="宋体" w:hAnsi="Times New Roman"/>
      <w:sz w:val="18"/>
      <w:szCs w:val="18"/>
      <w:shd w:val="clear" w:color="auto" w:fill="000080"/>
    </w:rPr>
  </w:style>
  <w:style w:type="character" w:customStyle="1" w:styleId="485">
    <w:name w:val="style11"/>
    <w:qFormat/>
    <w:uiPriority w:val="0"/>
    <w:rPr>
      <w:b/>
      <w:bCs/>
    </w:rPr>
  </w:style>
  <w:style w:type="character" w:customStyle="1" w:styleId="486">
    <w:name w:val="正文首行缩进 Char1"/>
    <w:qFormat/>
    <w:uiPriority w:val="0"/>
    <w:rPr>
      <w:rFonts w:ascii="Times New Roman" w:hAnsi="Times New Roman" w:eastAsia="宋体" w:cs="Times New Roman"/>
      <w:szCs w:val="20"/>
    </w:rPr>
  </w:style>
  <w:style w:type="character" w:customStyle="1" w:styleId="487">
    <w:name w:val="明显引用 Char1"/>
    <w:qFormat/>
    <w:uiPriority w:val="99"/>
    <w:rPr>
      <w:b/>
      <w:bCs/>
      <w:i/>
      <w:iCs/>
      <w:color w:val="4F81BD"/>
      <w:kern w:val="2"/>
      <w:sz w:val="21"/>
      <w:szCs w:val="24"/>
    </w:rPr>
  </w:style>
  <w:style w:type="character" w:customStyle="1" w:styleId="488">
    <w:name w:val="Heading 3 Char"/>
    <w:qFormat/>
    <w:locked/>
    <w:uiPriority w:val="0"/>
    <w:rPr>
      <w:rFonts w:ascii="Times New Roman" w:hAnsi="Times New Roman" w:eastAsia="宋体" w:cs="Times New Roman"/>
      <w:b/>
      <w:bCs/>
      <w:sz w:val="32"/>
      <w:szCs w:val="32"/>
    </w:rPr>
  </w:style>
  <w:style w:type="character" w:customStyle="1" w:styleId="489">
    <w:name w:val="正文文本缩进 2 Char1"/>
    <w:semiHidden/>
    <w:qFormat/>
    <w:uiPriority w:val="99"/>
    <w:rPr>
      <w:rFonts w:ascii="Times New Roman" w:hAnsi="Times New Roman" w:eastAsia="宋体" w:cs="Times New Roman"/>
      <w:szCs w:val="24"/>
    </w:rPr>
  </w:style>
  <w:style w:type="character" w:customStyle="1" w:styleId="490">
    <w:name w:val="方案正文 Char"/>
    <w:link w:val="491"/>
    <w:qFormat/>
    <w:locked/>
    <w:uiPriority w:val="0"/>
    <w:rPr>
      <w:rFonts w:ascii="宋体" w:hAnsi="Arial"/>
      <w:szCs w:val="21"/>
    </w:rPr>
  </w:style>
  <w:style w:type="paragraph" w:customStyle="1" w:styleId="491">
    <w:name w:val="方案正文"/>
    <w:basedOn w:val="1"/>
    <w:link w:val="490"/>
    <w:qFormat/>
    <w:uiPriority w:val="0"/>
    <w:pPr>
      <w:spacing w:beforeLines="50" w:afterLines="50" w:line="360" w:lineRule="auto"/>
      <w:ind w:firstLine="420" w:firstLineChars="200"/>
    </w:pPr>
    <w:rPr>
      <w:rFonts w:ascii="宋体" w:hAnsi="Arial"/>
      <w:kern w:val="0"/>
      <w:sz w:val="20"/>
      <w:szCs w:val="21"/>
    </w:rPr>
  </w:style>
  <w:style w:type="character" w:customStyle="1" w:styleId="492">
    <w:name w:val="普通文字1 Char1"/>
    <w:qFormat/>
    <w:uiPriority w:val="99"/>
    <w:rPr>
      <w:rFonts w:ascii="宋体" w:hAnsi="Courier New" w:eastAsia="宋体"/>
      <w:kern w:val="2"/>
      <w:sz w:val="21"/>
      <w:lang w:val="en-US" w:eastAsia="zh-CN" w:bidi="ar-SA"/>
    </w:rPr>
  </w:style>
  <w:style w:type="character" w:customStyle="1" w:styleId="493">
    <w:name w:val="标题 8 Char1"/>
    <w:qFormat/>
    <w:uiPriority w:val="9"/>
    <w:rPr>
      <w:rFonts w:ascii="Arial" w:hAnsi="Arial" w:eastAsia="黑体" w:cs="Times New Roman"/>
      <w:kern w:val="0"/>
      <w:sz w:val="24"/>
      <w:szCs w:val="24"/>
    </w:rPr>
  </w:style>
  <w:style w:type="character" w:customStyle="1" w:styleId="494">
    <w:name w:val="浅色底纹 - 着色 2 字符"/>
    <w:link w:val="495"/>
    <w:qFormat/>
    <w:uiPriority w:val="0"/>
    <w:rPr>
      <w:b/>
      <w:bCs/>
      <w:i/>
      <w:iCs/>
      <w:color w:val="4F81BD"/>
    </w:rPr>
  </w:style>
  <w:style w:type="paragraph" w:customStyle="1" w:styleId="495">
    <w:name w:val="浅色底纹 - 着色 21"/>
    <w:basedOn w:val="1"/>
    <w:next w:val="1"/>
    <w:link w:val="494"/>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496">
    <w:name w:val="未处理的提及1"/>
    <w:unhideWhenUsed/>
    <w:qFormat/>
    <w:uiPriority w:val="99"/>
    <w:rPr>
      <w:color w:val="605E5C"/>
      <w:shd w:val="clear" w:color="auto" w:fill="E1DFDD"/>
    </w:rPr>
  </w:style>
  <w:style w:type="character" w:customStyle="1" w:styleId="497">
    <w:name w:val="未处理的提及2"/>
    <w:unhideWhenUsed/>
    <w:qFormat/>
    <w:uiPriority w:val="99"/>
    <w:rPr>
      <w:color w:val="605E5C"/>
      <w:shd w:val="clear" w:color="auto" w:fill="E1DFDD"/>
    </w:rPr>
  </w:style>
  <w:style w:type="character" w:customStyle="1" w:styleId="498">
    <w:name w:val="font31"/>
    <w:qFormat/>
    <w:uiPriority w:val="0"/>
    <w:rPr>
      <w:rFonts w:hint="eastAsia" w:ascii="宋体" w:hAnsi="宋体" w:eastAsia="宋体" w:cs="宋体"/>
      <w:color w:val="000000"/>
      <w:sz w:val="22"/>
      <w:szCs w:val="22"/>
      <w:u w:val="none"/>
    </w:rPr>
  </w:style>
  <w:style w:type="character" w:customStyle="1" w:styleId="499">
    <w:name w:val="font61"/>
    <w:qFormat/>
    <w:uiPriority w:val="0"/>
    <w:rPr>
      <w:rFonts w:hint="eastAsia" w:ascii="宋体" w:hAnsi="宋体" w:eastAsia="宋体" w:cs="宋体"/>
      <w:color w:val="FF0000"/>
      <w:sz w:val="22"/>
      <w:szCs w:val="22"/>
      <w:u w:val="none"/>
    </w:rPr>
  </w:style>
  <w:style w:type="character" w:customStyle="1" w:styleId="500">
    <w:name w:val="font01"/>
    <w:qFormat/>
    <w:uiPriority w:val="0"/>
    <w:rPr>
      <w:rFonts w:hint="eastAsia" w:ascii="宋体" w:hAnsi="宋体" w:eastAsia="宋体" w:cs="宋体"/>
      <w:color w:val="FF0000"/>
      <w:sz w:val="20"/>
      <w:szCs w:val="20"/>
      <w:u w:val="none"/>
    </w:rPr>
  </w:style>
  <w:style w:type="character" w:customStyle="1" w:styleId="501">
    <w:name w:val="font41"/>
    <w:qFormat/>
    <w:uiPriority w:val="0"/>
    <w:rPr>
      <w:rFonts w:hint="eastAsia" w:ascii="宋体" w:hAnsi="宋体" w:eastAsia="宋体" w:cs="宋体"/>
      <w:color w:val="FF0000"/>
      <w:sz w:val="22"/>
      <w:szCs w:val="22"/>
      <w:u w:val="none"/>
    </w:rPr>
  </w:style>
  <w:style w:type="paragraph" w:customStyle="1" w:styleId="502">
    <w:name w:val="访问过的超链接1"/>
    <w:qFormat/>
    <w:uiPriority w:val="99"/>
    <w:rPr>
      <w:rFonts w:ascii="Times New Roman" w:hAnsi="Times New Roman" w:eastAsia="宋体" w:cs="Times New Roman"/>
      <w:lang w:val="en-US" w:eastAsia="zh-CN" w:bidi="ar-SA"/>
    </w:rPr>
  </w:style>
  <w:style w:type="paragraph" w:customStyle="1" w:styleId="503">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504">
    <w:name w:val="Char Char Char Char Char Char Char Char Char Char Char Char1"/>
    <w:basedOn w:val="1"/>
    <w:qFormat/>
    <w:uiPriority w:val="0"/>
    <w:pPr>
      <w:spacing w:line="240" w:lineRule="atLeast"/>
      <w:ind w:left="420" w:firstLine="420"/>
    </w:pPr>
    <w:rPr>
      <w:rFonts w:ascii="Times New Roman" w:hAnsi="Times New Roman"/>
      <w:kern w:val="0"/>
      <w:szCs w:val="21"/>
    </w:rPr>
  </w:style>
  <w:style w:type="paragraph" w:customStyle="1" w:styleId="5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kern w:val="0"/>
      <w:sz w:val="20"/>
      <w:lang w:eastAsia="en-US" w:bidi="en-US"/>
    </w:rPr>
  </w:style>
  <w:style w:type="paragraph" w:customStyle="1" w:styleId="506">
    <w:name w:val="xl12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507">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08">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09">
    <w:name w:val="CM116"/>
    <w:basedOn w:val="114"/>
    <w:next w:val="114"/>
    <w:qFormat/>
    <w:uiPriority w:val="0"/>
    <w:rPr>
      <w:rFonts w:hAnsi="Times New Roman"/>
      <w:color w:val="auto"/>
      <w:kern w:val="2"/>
      <w:szCs w:val="24"/>
    </w:rPr>
  </w:style>
  <w:style w:type="paragraph" w:customStyle="1" w:styleId="510">
    <w:name w:val="表格1"/>
    <w:basedOn w:val="1"/>
    <w:qFormat/>
    <w:uiPriority w:val="0"/>
    <w:pPr>
      <w:widowControl/>
      <w:tabs>
        <w:tab w:val="left" w:pos="203"/>
      </w:tabs>
      <w:spacing w:before="40" w:after="40" w:line="276" w:lineRule="auto"/>
      <w:ind w:firstLine="200" w:firstLineChars="200"/>
      <w:jc w:val="center"/>
    </w:pPr>
    <w:rPr>
      <w:b/>
      <w:bCs/>
      <w:kern w:val="0"/>
      <w:sz w:val="28"/>
      <w:lang w:eastAsia="en-US" w:bidi="en-US"/>
    </w:rPr>
  </w:style>
  <w:style w:type="paragraph" w:customStyle="1" w:styleId="511">
    <w:name w:val="CM88"/>
    <w:basedOn w:val="114"/>
    <w:next w:val="114"/>
    <w:qFormat/>
    <w:uiPriority w:val="0"/>
    <w:pPr>
      <w:spacing w:line="551" w:lineRule="atLeast"/>
    </w:pPr>
    <w:rPr>
      <w:rFonts w:hAnsi="Times New Roman"/>
      <w:color w:val="auto"/>
      <w:kern w:val="2"/>
      <w:szCs w:val="24"/>
    </w:rPr>
  </w:style>
  <w:style w:type="paragraph" w:customStyle="1" w:styleId="512">
    <w:name w:val="CM213"/>
    <w:basedOn w:val="114"/>
    <w:next w:val="114"/>
    <w:qFormat/>
    <w:uiPriority w:val="0"/>
    <w:rPr>
      <w:rFonts w:hAnsi="Times New Roman"/>
      <w:color w:val="auto"/>
      <w:kern w:val="2"/>
      <w:szCs w:val="24"/>
    </w:rPr>
  </w:style>
  <w:style w:type="paragraph" w:customStyle="1" w:styleId="513">
    <w:name w:val="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4">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76" w:lineRule="auto"/>
      <w:ind w:firstLine="200" w:firstLineChars="200"/>
      <w:jc w:val="center"/>
    </w:pPr>
    <w:rPr>
      <w:rFonts w:ascii="宋体" w:hAnsi="宋体"/>
      <w:kern w:val="0"/>
      <w:sz w:val="22"/>
      <w:szCs w:val="22"/>
      <w:lang w:eastAsia="en-US" w:bidi="en-US"/>
    </w:rPr>
  </w:style>
  <w:style w:type="paragraph" w:customStyle="1" w:styleId="515">
    <w:name w:val="xl96"/>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b/>
      <w:bCs/>
      <w:kern w:val="0"/>
      <w:sz w:val="24"/>
      <w:szCs w:val="22"/>
      <w:lang w:eastAsia="en-US" w:bidi="en-US"/>
    </w:rPr>
  </w:style>
  <w:style w:type="paragraph" w:customStyle="1" w:styleId="516">
    <w:name w:val="修订1"/>
    <w:qFormat/>
    <w:uiPriority w:val="0"/>
    <w:rPr>
      <w:rFonts w:ascii="Calibri" w:hAnsi="Calibri" w:eastAsia="宋体" w:cs="Times New Roman"/>
      <w:kern w:val="2"/>
      <w:sz w:val="21"/>
      <w:szCs w:val="24"/>
      <w:lang w:val="en-US" w:eastAsia="zh-CN" w:bidi="ar-SA"/>
    </w:rPr>
  </w:style>
  <w:style w:type="paragraph" w:customStyle="1" w:styleId="517">
    <w:name w:val="正文文本 22"/>
    <w:basedOn w:val="1"/>
    <w:qFormat/>
    <w:uiPriority w:val="0"/>
    <w:pPr>
      <w:widowControl/>
      <w:adjustRightInd w:val="0"/>
      <w:spacing w:after="200" w:line="276" w:lineRule="auto"/>
      <w:ind w:left="360" w:hanging="360" w:firstLineChars="200"/>
      <w:jc w:val="left"/>
      <w:textAlignment w:val="baseline"/>
    </w:pPr>
    <w:rPr>
      <w:kern w:val="0"/>
      <w:sz w:val="24"/>
      <w:lang w:eastAsia="en-US" w:bidi="en-US"/>
    </w:rPr>
  </w:style>
  <w:style w:type="paragraph" w:styleId="518">
    <w:name w:val="List Paragraph"/>
    <w:basedOn w:val="1"/>
    <w:qFormat/>
    <w:uiPriority w:val="34"/>
    <w:pPr>
      <w:ind w:firstLine="420" w:firstLineChars="200"/>
    </w:pPr>
    <w:rPr>
      <w:szCs w:val="22"/>
    </w:rPr>
  </w:style>
  <w:style w:type="paragraph" w:customStyle="1" w:styleId="519">
    <w:name w:val="Char11"/>
    <w:basedOn w:val="1"/>
    <w:qFormat/>
    <w:uiPriority w:val="0"/>
    <w:pPr>
      <w:spacing w:line="240" w:lineRule="atLeast"/>
      <w:ind w:left="420" w:firstLine="420"/>
    </w:pPr>
    <w:rPr>
      <w:rFonts w:ascii="Times New Roman" w:hAnsi="Times New Roman"/>
      <w:kern w:val="0"/>
      <w:szCs w:val="21"/>
    </w:rPr>
  </w:style>
  <w:style w:type="paragraph" w:customStyle="1" w:styleId="520">
    <w:name w:val="样式 标题 1刘兵12标题 1    第一章H1自标题 1技术标题1Section Head标题 1 1标书1..."/>
    <w:basedOn w:val="4"/>
    <w:qFormat/>
    <w:uiPriority w:val="0"/>
    <w:pPr>
      <w:keepNext w:val="0"/>
      <w:keepLines w:val="0"/>
      <w:tabs>
        <w:tab w:val="left" w:pos="360"/>
      </w:tabs>
      <w:spacing w:before="120" w:after="240"/>
      <w:jc w:val="center"/>
    </w:pPr>
    <w:rPr>
      <w:rFonts w:ascii="黑体" w:hAnsi="Arial" w:eastAsia="黑体" w:cs="宋体"/>
      <w:sz w:val="24"/>
      <w:szCs w:val="20"/>
    </w:rPr>
  </w:style>
  <w:style w:type="paragraph" w:customStyle="1" w:styleId="521">
    <w:name w:val="样式3"/>
    <w:basedOn w:val="6"/>
    <w:qFormat/>
    <w:uiPriority w:val="0"/>
    <w:pPr>
      <w:spacing w:before="260" w:after="260" w:line="415" w:lineRule="auto"/>
    </w:pPr>
    <w:rPr>
      <w:rFonts w:ascii="Times New Roman" w:hAnsi="Times New Roman" w:eastAsia="Arial"/>
      <w:sz w:val="32"/>
    </w:rPr>
  </w:style>
  <w:style w:type="paragraph" w:customStyle="1" w:styleId="522">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3">
    <w:name w:val="AOHead2"/>
    <w:basedOn w:val="1"/>
    <w:next w:val="1"/>
    <w:qFormat/>
    <w:uiPriority w:val="0"/>
    <w:pPr>
      <w:keepNext/>
      <w:widowControl/>
      <w:spacing w:before="300" w:after="100" w:afterAutospacing="1" w:line="400" w:lineRule="exact"/>
      <w:outlineLvl w:val="1"/>
    </w:pPr>
    <w:rPr>
      <w:rFonts w:ascii="黑体" w:hAnsi="宋体" w:eastAsia="黑体"/>
      <w:b/>
      <w:bCs/>
      <w:color w:val="0000FF"/>
      <w:kern w:val="28"/>
      <w:sz w:val="28"/>
      <w:szCs w:val="20"/>
      <w:lang w:val="en-GB"/>
    </w:rPr>
  </w:style>
  <w:style w:type="paragraph" w:customStyle="1" w:styleId="524">
    <w:name w:val="Char1 Char Char Char Char Char Char1"/>
    <w:basedOn w:val="1"/>
    <w:qFormat/>
    <w:uiPriority w:val="0"/>
  </w:style>
  <w:style w:type="paragraph" w:customStyle="1" w:styleId="525">
    <w:name w:val="CM181"/>
    <w:basedOn w:val="114"/>
    <w:next w:val="114"/>
    <w:qFormat/>
    <w:uiPriority w:val="0"/>
    <w:rPr>
      <w:rFonts w:hAnsi="Times New Roman"/>
      <w:color w:val="auto"/>
      <w:kern w:val="2"/>
      <w:szCs w:val="24"/>
    </w:rPr>
  </w:style>
  <w:style w:type="paragraph" w:customStyle="1" w:styleId="526">
    <w:name w:val="表格文字"/>
    <w:next w:val="23"/>
    <w:qFormat/>
    <w:uiPriority w:val="0"/>
    <w:pPr>
      <w:spacing w:after="200" w:line="276" w:lineRule="auto"/>
      <w:ind w:firstLine="200" w:firstLineChars="200"/>
      <w:jc w:val="center"/>
    </w:pPr>
    <w:rPr>
      <w:rFonts w:ascii="Calibri" w:hAnsi="Calibri" w:eastAsia="楷体_GB2312" w:cs="Times New Roman"/>
      <w:sz w:val="24"/>
      <w:szCs w:val="22"/>
      <w:lang w:val="en-US" w:eastAsia="en-US" w:bidi="en-US"/>
    </w:rPr>
  </w:style>
  <w:style w:type="paragraph" w:customStyle="1" w:styleId="527">
    <w:name w:val="Agreement Section"/>
    <w:basedOn w:val="1"/>
    <w:qFormat/>
    <w:uiPriority w:val="99"/>
    <w:pPr>
      <w:tabs>
        <w:tab w:val="left" w:pos="750"/>
      </w:tabs>
      <w:spacing w:line="460" w:lineRule="exact"/>
      <w:ind w:left="750" w:hanging="750"/>
      <w:jc w:val="left"/>
    </w:pPr>
    <w:rPr>
      <w:rFonts w:ascii="黑体" w:hAnsi="微软雅黑" w:eastAsia="黑体" w:cs="宋体"/>
      <w:color w:val="000000"/>
      <w:kern w:val="0"/>
      <w:szCs w:val="21"/>
    </w:rPr>
  </w:style>
  <w:style w:type="paragraph" w:customStyle="1" w:styleId="528">
    <w:name w:val="CM191"/>
    <w:basedOn w:val="114"/>
    <w:next w:val="114"/>
    <w:qFormat/>
    <w:uiPriority w:val="0"/>
    <w:rPr>
      <w:rFonts w:hAnsi="Times New Roman"/>
      <w:color w:val="auto"/>
      <w:kern w:val="2"/>
      <w:szCs w:val="24"/>
    </w:rPr>
  </w:style>
  <w:style w:type="paragraph" w:customStyle="1" w:styleId="52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0">
    <w:name w:val="正文 + 宋体"/>
    <w:basedOn w:val="1"/>
    <w:qFormat/>
    <w:uiPriority w:val="0"/>
    <w:pPr>
      <w:widowControl/>
      <w:spacing w:line="324" w:lineRule="auto"/>
      <w:ind w:firstLine="480" w:firstLineChars="200"/>
      <w:jc w:val="left"/>
    </w:pPr>
    <w:rPr>
      <w:rFonts w:ascii="Times New Roman" w:hAnsi="Times New Roman"/>
      <w:kern w:val="0"/>
      <w:sz w:val="20"/>
      <w:szCs w:val="20"/>
    </w:rPr>
  </w:style>
  <w:style w:type="paragraph" w:customStyle="1" w:styleId="531">
    <w:name w:val="Char1"/>
    <w:basedOn w:val="19"/>
    <w:qFormat/>
    <w:uiPriority w:val="0"/>
    <w:rPr>
      <w:rFonts w:ascii="Tahoma" w:hAnsi="Tahoma"/>
      <w:sz w:val="24"/>
    </w:rPr>
  </w:style>
  <w:style w:type="paragraph" w:customStyle="1" w:styleId="532">
    <w:name w:val="Revision_0"/>
    <w:qFormat/>
    <w:uiPriority w:val="0"/>
    <w:rPr>
      <w:rFonts w:ascii="Calibri" w:hAnsi="Calibri" w:eastAsia="宋体" w:cs="Times New Roman"/>
      <w:kern w:val="2"/>
      <w:sz w:val="21"/>
      <w:szCs w:val="24"/>
      <w:lang w:val="en-US" w:eastAsia="zh-CN" w:bidi="ar-SA"/>
    </w:rPr>
  </w:style>
  <w:style w:type="paragraph" w:customStyle="1" w:styleId="533">
    <w:name w:val="CM52"/>
    <w:basedOn w:val="114"/>
    <w:next w:val="114"/>
    <w:qFormat/>
    <w:uiPriority w:val="0"/>
    <w:pPr>
      <w:spacing w:line="398" w:lineRule="atLeast"/>
    </w:pPr>
    <w:rPr>
      <w:rFonts w:hAnsi="Times New Roman"/>
      <w:color w:val="auto"/>
      <w:kern w:val="2"/>
      <w:szCs w:val="24"/>
    </w:rPr>
  </w:style>
  <w:style w:type="paragraph" w:customStyle="1" w:styleId="534">
    <w:name w:val="CM202"/>
    <w:basedOn w:val="114"/>
    <w:next w:val="114"/>
    <w:qFormat/>
    <w:uiPriority w:val="0"/>
    <w:rPr>
      <w:rFonts w:hAnsi="Times New Roman"/>
      <w:color w:val="auto"/>
      <w:kern w:val="2"/>
      <w:szCs w:val="24"/>
    </w:rPr>
  </w:style>
  <w:style w:type="paragraph" w:customStyle="1" w:styleId="535">
    <w:name w:val="不缩进"/>
    <w:basedOn w:val="1"/>
    <w:qFormat/>
    <w:uiPriority w:val="0"/>
    <w:pPr>
      <w:widowControl/>
      <w:spacing w:after="200" w:line="276" w:lineRule="auto"/>
      <w:ind w:firstLine="200" w:firstLineChars="200"/>
      <w:jc w:val="center"/>
    </w:pPr>
    <w:rPr>
      <w:rFonts w:ascii="楷体_GB2312" w:eastAsia="楷体_GB2312"/>
      <w:spacing w:val="-8"/>
      <w:kern w:val="0"/>
      <w:sz w:val="24"/>
      <w:lang w:eastAsia="en-US" w:bidi="en-US"/>
    </w:rPr>
  </w:style>
  <w:style w:type="paragraph" w:customStyle="1" w:styleId="536">
    <w:name w:val="表格内容"/>
    <w:basedOn w:val="1"/>
    <w:qFormat/>
    <w:uiPriority w:val="0"/>
    <w:pPr>
      <w:widowControl/>
      <w:overflowPunct w:val="0"/>
      <w:adjustRightInd w:val="0"/>
      <w:spacing w:before="40" w:after="60" w:line="200" w:lineRule="atLeast"/>
      <w:ind w:firstLine="200" w:firstLineChars="200"/>
      <w:jc w:val="left"/>
      <w:textAlignment w:val="baseline"/>
    </w:pPr>
    <w:rPr>
      <w:rFonts w:ascii="Arial" w:hAnsi="Arial" w:eastAsia="仿宋_GB2312"/>
      <w:kern w:val="0"/>
      <w:sz w:val="24"/>
      <w:lang w:eastAsia="en-US" w:bidi="en-US"/>
    </w:rPr>
  </w:style>
  <w:style w:type="paragraph" w:customStyle="1" w:styleId="537">
    <w:name w:val="_Style 27"/>
    <w:basedOn w:val="1"/>
    <w:next w:val="518"/>
    <w:qFormat/>
    <w:uiPriority w:val="99"/>
    <w:pPr>
      <w:ind w:firstLine="420" w:firstLineChars="200"/>
    </w:pPr>
    <w:rPr>
      <w:rFonts w:ascii="Times New Roman" w:hAnsi="Times New Roman"/>
    </w:rPr>
  </w:style>
  <w:style w:type="paragraph" w:customStyle="1" w:styleId="538">
    <w:name w:val="font6"/>
    <w:basedOn w:val="1"/>
    <w:qFormat/>
    <w:uiPriority w:val="0"/>
    <w:pPr>
      <w:widowControl/>
      <w:spacing w:before="100" w:beforeAutospacing="1" w:after="100" w:afterAutospacing="1" w:line="276" w:lineRule="auto"/>
      <w:ind w:firstLine="200" w:firstLineChars="200"/>
      <w:jc w:val="left"/>
    </w:pPr>
    <w:rPr>
      <w:rFonts w:hint="eastAsia" w:ascii="宋体" w:hAnsi="宋体"/>
      <w:kern w:val="0"/>
      <w:sz w:val="20"/>
      <w:lang w:eastAsia="en-US" w:bidi="en-US"/>
    </w:rPr>
  </w:style>
  <w:style w:type="paragraph" w:customStyle="1" w:styleId="539">
    <w:name w:val="列出段落1"/>
    <w:basedOn w:val="1"/>
    <w:qFormat/>
    <w:uiPriority w:val="0"/>
    <w:pPr>
      <w:widowControl/>
      <w:ind w:left="720"/>
      <w:jc w:val="left"/>
    </w:pPr>
    <w:rPr>
      <w:kern w:val="0"/>
      <w:sz w:val="24"/>
      <w:lang w:eastAsia="en-US"/>
    </w:rPr>
  </w:style>
  <w:style w:type="paragraph" w:customStyle="1" w:styleId="540">
    <w:name w:val="Char1 Char Char Char1"/>
    <w:basedOn w:val="1"/>
    <w:qFormat/>
    <w:uiPriority w:val="0"/>
    <w:pPr>
      <w:widowControl/>
      <w:spacing w:after="200" w:line="276" w:lineRule="auto"/>
      <w:ind w:firstLine="200" w:firstLineChars="200"/>
      <w:jc w:val="left"/>
    </w:pPr>
    <w:rPr>
      <w:kern w:val="0"/>
      <w:sz w:val="22"/>
      <w:szCs w:val="22"/>
      <w:lang w:eastAsia="en-US" w:bidi="en-US"/>
    </w:rPr>
  </w:style>
  <w:style w:type="paragraph" w:customStyle="1" w:styleId="541">
    <w:name w:val="Char Char Char Char"/>
    <w:basedOn w:val="1"/>
    <w:qFormat/>
    <w:uiPriority w:val="0"/>
    <w:rPr>
      <w:rFonts w:ascii="Tahoma" w:hAnsi="Tahoma"/>
      <w:sz w:val="24"/>
      <w:szCs w:val="20"/>
    </w:rPr>
  </w:style>
  <w:style w:type="paragraph" w:customStyle="1" w:styleId="542">
    <w:name w:val="CM94"/>
    <w:basedOn w:val="114"/>
    <w:next w:val="114"/>
    <w:qFormat/>
    <w:uiPriority w:val="0"/>
    <w:rPr>
      <w:rFonts w:hAnsi="Times New Roman"/>
      <w:color w:val="auto"/>
      <w:kern w:val="2"/>
      <w:szCs w:val="24"/>
    </w:rPr>
  </w:style>
  <w:style w:type="paragraph" w:customStyle="1" w:styleId="543">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kern w:val="0"/>
      <w:sz w:val="22"/>
      <w:szCs w:val="22"/>
      <w:lang w:eastAsia="en-US" w:bidi="en-US"/>
    </w:rPr>
  </w:style>
  <w:style w:type="paragraph" w:customStyle="1" w:styleId="544">
    <w:name w:val="样式 宋体 小四 首行缩进:  0.93 厘米 段前: 11.15 磅 段后: 11.15 磅1"/>
    <w:basedOn w:val="1"/>
    <w:qFormat/>
    <w:uiPriority w:val="0"/>
    <w:pPr>
      <w:adjustRightInd w:val="0"/>
      <w:snapToGrid w:val="0"/>
      <w:ind w:left="200" w:leftChars="200"/>
    </w:pPr>
    <w:rPr>
      <w:rFonts w:ascii="宋体" w:hAnsi="Times New Roman" w:cs="宋体"/>
      <w:sz w:val="24"/>
      <w:szCs w:val="20"/>
    </w:rPr>
  </w:style>
  <w:style w:type="paragraph" w:customStyle="1" w:styleId="545">
    <w:name w:val="+正文"/>
    <w:basedOn w:val="1"/>
    <w:qFormat/>
    <w:uiPriority w:val="0"/>
    <w:pPr>
      <w:spacing w:line="360" w:lineRule="auto"/>
      <w:ind w:firstLine="200" w:firstLineChars="200"/>
    </w:pPr>
    <w:rPr>
      <w:rFonts w:ascii="Times New Roman" w:hAnsi="Times New Roman"/>
      <w:sz w:val="24"/>
      <w:szCs w:val="28"/>
    </w:rPr>
  </w:style>
  <w:style w:type="paragraph" w:customStyle="1" w:styleId="546">
    <w:name w:val="P7"/>
    <w:qFormat/>
    <w:uiPriority w:val="0"/>
    <w:pPr>
      <w:widowControl w:val="0"/>
      <w:tabs>
        <w:tab w:val="left" w:pos="576"/>
      </w:tabs>
      <w:adjustRightInd w:val="0"/>
      <w:spacing w:after="240" w:line="240" w:lineRule="atLeast"/>
      <w:ind w:left="1728" w:hanging="1728"/>
      <w:jc w:val="both"/>
      <w:textAlignment w:val="baseline"/>
    </w:pPr>
    <w:rPr>
      <w:rFonts w:ascii="Times New Roman" w:hAnsi="Times New Roman" w:eastAsia="全真中明體" w:cs="Times New Roman"/>
      <w:spacing w:val="30"/>
      <w:sz w:val="24"/>
      <w:lang w:val="en-GB" w:eastAsia="zh-TW" w:bidi="ar-SA"/>
    </w:rPr>
  </w:style>
  <w:style w:type="paragraph" w:customStyle="1" w:styleId="547">
    <w:name w:val="CM106"/>
    <w:basedOn w:val="114"/>
    <w:next w:val="114"/>
    <w:qFormat/>
    <w:uiPriority w:val="0"/>
    <w:pPr>
      <w:spacing w:line="391" w:lineRule="atLeast"/>
    </w:pPr>
    <w:rPr>
      <w:rFonts w:hAnsi="Times New Roman"/>
      <w:color w:val="auto"/>
      <w:kern w:val="2"/>
      <w:szCs w:val="24"/>
    </w:rPr>
  </w:style>
  <w:style w:type="paragraph" w:customStyle="1" w:styleId="548">
    <w:name w:val="CM81"/>
    <w:basedOn w:val="114"/>
    <w:next w:val="114"/>
    <w:qFormat/>
    <w:uiPriority w:val="0"/>
    <w:rPr>
      <w:rFonts w:hAnsi="Times New Roman"/>
      <w:color w:val="auto"/>
      <w:kern w:val="2"/>
      <w:szCs w:val="24"/>
    </w:rPr>
  </w:style>
  <w:style w:type="paragraph" w:customStyle="1" w:styleId="549">
    <w:name w:val="Char Char Char Char Char Char Char Char Char1"/>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550">
    <w:name w:val="CM135"/>
    <w:basedOn w:val="114"/>
    <w:next w:val="114"/>
    <w:qFormat/>
    <w:uiPriority w:val="0"/>
    <w:pPr>
      <w:spacing w:line="273" w:lineRule="atLeast"/>
    </w:pPr>
    <w:rPr>
      <w:rFonts w:hAnsi="Times New Roman"/>
      <w:color w:val="auto"/>
      <w:kern w:val="2"/>
      <w:szCs w:val="24"/>
    </w:rPr>
  </w:style>
  <w:style w:type="paragraph" w:customStyle="1" w:styleId="551">
    <w:name w:val="样式 标题 3 + 首行缩进:  2 字符 行距: 1.5 倍行距"/>
    <w:basedOn w:val="6"/>
    <w:qFormat/>
    <w:uiPriority w:val="0"/>
    <w:pPr>
      <w:widowControl/>
      <w:spacing w:before="120" w:after="120"/>
      <w:ind w:firstLine="200" w:firstLineChars="200"/>
      <w:jc w:val="left"/>
    </w:pPr>
    <w:rPr>
      <w:rFonts w:ascii="宋体" w:hAnsi="宋体" w:cs="宋体"/>
      <w:color w:val="4F81BD"/>
      <w:kern w:val="0"/>
      <w:sz w:val="22"/>
      <w:szCs w:val="20"/>
      <w:lang w:eastAsia="en-US" w:bidi="en-US"/>
    </w:rPr>
  </w:style>
  <w:style w:type="paragraph" w:customStyle="1" w:styleId="552">
    <w:name w:val="CM130"/>
    <w:basedOn w:val="114"/>
    <w:next w:val="114"/>
    <w:qFormat/>
    <w:uiPriority w:val="0"/>
    <w:pPr>
      <w:spacing w:line="273" w:lineRule="atLeast"/>
    </w:pPr>
    <w:rPr>
      <w:rFonts w:hAnsi="Times New Roman"/>
      <w:color w:val="auto"/>
      <w:kern w:val="2"/>
      <w:szCs w:val="24"/>
    </w:rPr>
  </w:style>
  <w:style w:type="paragraph" w:customStyle="1" w:styleId="553">
    <w:name w:val="表格内文字"/>
    <w:basedOn w:val="1"/>
    <w:qFormat/>
    <w:uiPriority w:val="0"/>
    <w:pPr>
      <w:adjustRightInd w:val="0"/>
      <w:snapToGrid w:val="0"/>
      <w:spacing w:line="240" w:lineRule="atLeast"/>
      <w:jc w:val="center"/>
    </w:pPr>
    <w:rPr>
      <w:kern w:val="28"/>
      <w:sz w:val="24"/>
    </w:rPr>
  </w:style>
  <w:style w:type="paragraph" w:customStyle="1" w:styleId="554">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1)"/>
    <w:basedOn w:val="1"/>
    <w:qFormat/>
    <w:uiPriority w:val="0"/>
    <w:pPr>
      <w:widowControl/>
      <w:tabs>
        <w:tab w:val="left" w:pos="573"/>
      </w:tabs>
      <w:adjustRightInd w:val="0"/>
      <w:snapToGrid w:val="0"/>
      <w:spacing w:before="80" w:after="100" w:line="240" w:lineRule="atLeast"/>
      <w:ind w:firstLine="200" w:firstLineChars="200"/>
      <w:jc w:val="left"/>
      <w:textAlignment w:val="baseline"/>
    </w:pPr>
    <w:rPr>
      <w:rFonts w:ascii="Arial" w:hAnsi="Arial"/>
      <w:kern w:val="44"/>
      <w:sz w:val="24"/>
      <w:szCs w:val="22"/>
      <w:lang w:eastAsia="en-US" w:bidi="en-US"/>
    </w:rPr>
  </w:style>
  <w:style w:type="paragraph" w:customStyle="1" w:styleId="556">
    <w:name w:val="P3"/>
    <w:qFormat/>
    <w:uiPriority w:val="0"/>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557">
    <w:name w:val="CM57"/>
    <w:basedOn w:val="114"/>
    <w:next w:val="114"/>
    <w:qFormat/>
    <w:uiPriority w:val="99"/>
    <w:rPr>
      <w:rFonts w:ascii="Times New Roman"/>
      <w:color w:val="auto"/>
      <w:szCs w:val="24"/>
    </w:rPr>
  </w:style>
  <w:style w:type="paragraph" w:customStyle="1" w:styleId="558">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559">
    <w:name w:val="CM180"/>
    <w:basedOn w:val="114"/>
    <w:next w:val="114"/>
    <w:qFormat/>
    <w:uiPriority w:val="0"/>
    <w:rPr>
      <w:rFonts w:hAnsi="Times New Roman"/>
      <w:color w:val="auto"/>
      <w:kern w:val="2"/>
      <w:szCs w:val="24"/>
    </w:rPr>
  </w:style>
  <w:style w:type="paragraph" w:customStyle="1" w:styleId="560">
    <w:name w:val="赵国俊表栏"/>
    <w:basedOn w:val="1"/>
    <w:next w:val="1"/>
    <w:qFormat/>
    <w:uiPriority w:val="0"/>
    <w:pPr>
      <w:jc w:val="center"/>
    </w:pPr>
    <w:rPr>
      <w:rFonts w:ascii="黑体" w:eastAsia="黑体"/>
      <w:b/>
      <w:sz w:val="28"/>
    </w:rPr>
  </w:style>
  <w:style w:type="paragraph" w:customStyle="1" w:styleId="56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kern w:val="0"/>
      <w:sz w:val="20"/>
      <w:lang w:eastAsia="en-US" w:bidi="en-US"/>
    </w:rPr>
  </w:style>
  <w:style w:type="paragraph" w:customStyle="1" w:styleId="56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563">
    <w:name w:val="CM160"/>
    <w:basedOn w:val="114"/>
    <w:next w:val="114"/>
    <w:qFormat/>
    <w:uiPriority w:val="0"/>
    <w:rPr>
      <w:rFonts w:hAnsi="Times New Roman"/>
      <w:color w:val="auto"/>
      <w:kern w:val="2"/>
      <w:szCs w:val="24"/>
    </w:rPr>
  </w:style>
  <w:style w:type="paragraph" w:customStyle="1" w:styleId="564">
    <w:name w:val="Char61"/>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565">
    <w:name w:val="CM103"/>
    <w:basedOn w:val="114"/>
    <w:next w:val="114"/>
    <w:qFormat/>
    <w:uiPriority w:val="0"/>
    <w:rPr>
      <w:rFonts w:hAnsi="Times New Roman"/>
      <w:color w:val="auto"/>
      <w:kern w:val="2"/>
      <w:szCs w:val="24"/>
    </w:rPr>
  </w:style>
  <w:style w:type="paragraph" w:customStyle="1" w:styleId="56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right"/>
    </w:pPr>
    <w:rPr>
      <w:rFonts w:ascii="宋体" w:hAnsi="宋体"/>
      <w:kern w:val="0"/>
      <w:sz w:val="22"/>
      <w:szCs w:val="22"/>
      <w:lang w:eastAsia="en-US" w:bidi="en-US"/>
    </w:rPr>
  </w:style>
  <w:style w:type="paragraph" w:customStyle="1" w:styleId="567">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8">
    <w:name w:val="CM155"/>
    <w:basedOn w:val="114"/>
    <w:next w:val="114"/>
    <w:qFormat/>
    <w:uiPriority w:val="0"/>
    <w:pPr>
      <w:spacing w:line="343" w:lineRule="atLeast"/>
    </w:pPr>
    <w:rPr>
      <w:rFonts w:hAnsi="Times New Roman"/>
      <w:color w:val="auto"/>
      <w:kern w:val="2"/>
      <w:szCs w:val="24"/>
    </w:rPr>
  </w:style>
  <w:style w:type="paragraph" w:customStyle="1" w:styleId="569">
    <w:name w:val="xl53"/>
    <w:basedOn w:val="1"/>
    <w:qFormat/>
    <w:uiPriority w:val="0"/>
    <w:pPr>
      <w:widowControl/>
      <w:pBdr>
        <w:top w:val="single" w:color="auto" w:sz="4" w:space="0"/>
        <w:left w:val="single" w:color="auto" w:sz="4" w:space="0"/>
        <w:right w:val="single" w:color="auto" w:sz="8" w:space="0"/>
      </w:pBdr>
      <w:shd w:val="clear" w:color="auto" w:fill="FFFFFF"/>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570">
    <w:name w:val="CM40"/>
    <w:basedOn w:val="114"/>
    <w:next w:val="114"/>
    <w:qFormat/>
    <w:uiPriority w:val="0"/>
    <w:pPr>
      <w:spacing w:line="440" w:lineRule="atLeast"/>
    </w:pPr>
    <w:rPr>
      <w:rFonts w:hAnsi="Times New Roman"/>
      <w:color w:val="auto"/>
      <w:kern w:val="2"/>
      <w:szCs w:val="24"/>
    </w:rPr>
  </w:style>
  <w:style w:type="paragraph" w:customStyle="1" w:styleId="571">
    <w:name w:val="CM146"/>
    <w:basedOn w:val="114"/>
    <w:next w:val="114"/>
    <w:qFormat/>
    <w:uiPriority w:val="0"/>
    <w:rPr>
      <w:rFonts w:hAnsi="Times New Roman"/>
      <w:color w:val="auto"/>
      <w:kern w:val="2"/>
      <w:szCs w:val="24"/>
    </w:rPr>
  </w:style>
  <w:style w:type="paragraph" w:customStyle="1" w:styleId="572">
    <w:name w:val="CM47"/>
    <w:basedOn w:val="114"/>
    <w:next w:val="114"/>
    <w:qFormat/>
    <w:uiPriority w:val="0"/>
    <w:pPr>
      <w:spacing w:line="400" w:lineRule="atLeast"/>
    </w:pPr>
    <w:rPr>
      <w:rFonts w:hAnsi="Times New Roman"/>
      <w:color w:val="auto"/>
      <w:kern w:val="2"/>
      <w:szCs w:val="24"/>
    </w:rPr>
  </w:style>
  <w:style w:type="paragraph" w:customStyle="1" w:styleId="573">
    <w:name w:val="ÑùÊ½2"/>
    <w:basedOn w:val="1"/>
    <w:qFormat/>
    <w:uiPriority w:val="0"/>
    <w:pPr>
      <w:widowControl/>
      <w:overflowPunct w:val="0"/>
      <w:autoSpaceDE w:val="0"/>
      <w:autoSpaceDN w:val="0"/>
      <w:adjustRightInd w:val="0"/>
      <w:spacing w:after="200" w:line="410" w:lineRule="atLeast"/>
      <w:ind w:left="480" w:leftChars="200" w:firstLine="200" w:firstLineChars="200"/>
      <w:jc w:val="left"/>
    </w:pPr>
    <w:rPr>
      <w:rFonts w:ascii="宋体" w:hAnsi="宋体" w:eastAsia="楷体_GB2312"/>
      <w:kern w:val="0"/>
      <w:sz w:val="24"/>
      <w:lang w:eastAsia="en-US" w:bidi="en-US"/>
    </w:rPr>
  </w:style>
  <w:style w:type="paragraph" w:customStyle="1" w:styleId="574">
    <w:name w:val="font5"/>
    <w:basedOn w:val="1"/>
    <w:qFormat/>
    <w:uiPriority w:val="0"/>
    <w:pPr>
      <w:widowControl/>
      <w:spacing w:before="100" w:beforeAutospacing="1" w:after="100" w:afterAutospacing="1" w:line="276" w:lineRule="auto"/>
      <w:ind w:firstLine="200" w:firstLineChars="200"/>
      <w:jc w:val="left"/>
    </w:pPr>
    <w:rPr>
      <w:rFonts w:hint="eastAsia" w:ascii="宋体" w:hAnsi="宋体"/>
      <w:kern w:val="0"/>
      <w:sz w:val="18"/>
      <w:szCs w:val="18"/>
      <w:lang w:eastAsia="en-US" w:bidi="en-US"/>
    </w:rPr>
  </w:style>
  <w:style w:type="paragraph" w:customStyle="1" w:styleId="575">
    <w:name w:val="_Style 387"/>
    <w:next w:val="1"/>
    <w:qFormat/>
    <w:uiPriority w:val="0"/>
    <w:rPr>
      <w:rFonts w:ascii="Calibri" w:hAnsi="Calibri" w:eastAsia="宋体" w:cs="Times New Roman"/>
      <w:lang w:val="en-US" w:eastAsia="zh-CN" w:bidi="ar-SA"/>
    </w:rPr>
  </w:style>
  <w:style w:type="paragraph" w:customStyle="1" w:styleId="576">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7">
    <w:name w:val="CM37"/>
    <w:basedOn w:val="114"/>
    <w:next w:val="114"/>
    <w:qFormat/>
    <w:uiPriority w:val="99"/>
    <w:rPr>
      <w:rFonts w:ascii="Times New Roman"/>
      <w:color w:val="auto"/>
      <w:szCs w:val="24"/>
    </w:rPr>
  </w:style>
  <w:style w:type="paragraph" w:customStyle="1" w:styleId="578">
    <w:name w:val="AOHead3"/>
    <w:basedOn w:val="1"/>
    <w:next w:val="1"/>
    <w:qFormat/>
    <w:uiPriority w:val="0"/>
    <w:pPr>
      <w:widowControl/>
      <w:snapToGrid w:val="0"/>
      <w:spacing w:line="360" w:lineRule="auto"/>
      <w:ind w:left="1260" w:leftChars="600"/>
      <w:outlineLvl w:val="2"/>
    </w:pPr>
    <w:rPr>
      <w:rFonts w:ascii="宋体" w:hAnsi="宋体"/>
      <w:color w:val="0000FF"/>
      <w:kern w:val="0"/>
      <w:sz w:val="24"/>
      <w:szCs w:val="20"/>
    </w:rPr>
  </w:style>
  <w:style w:type="paragraph" w:customStyle="1" w:styleId="579">
    <w:name w:val="CM137"/>
    <w:basedOn w:val="114"/>
    <w:next w:val="114"/>
    <w:qFormat/>
    <w:uiPriority w:val="0"/>
    <w:pPr>
      <w:spacing w:line="273" w:lineRule="atLeast"/>
    </w:pPr>
    <w:rPr>
      <w:rFonts w:hAnsi="Times New Roman"/>
      <w:color w:val="auto"/>
      <w:kern w:val="2"/>
      <w:szCs w:val="24"/>
    </w:rPr>
  </w:style>
  <w:style w:type="paragraph" w:customStyle="1" w:styleId="580">
    <w:name w:val="xl10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581">
    <w:name w:val="xl8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line="276" w:lineRule="auto"/>
      <w:ind w:firstLine="200" w:firstLineChars="200"/>
      <w:jc w:val="left"/>
    </w:pPr>
    <w:rPr>
      <w:rFonts w:ascii="宋体" w:hAnsi="宋体"/>
      <w:b/>
      <w:bCs/>
      <w:kern w:val="0"/>
      <w:sz w:val="22"/>
      <w:szCs w:val="22"/>
      <w:lang w:eastAsia="en-US" w:bidi="en-US"/>
    </w:rPr>
  </w:style>
  <w:style w:type="paragraph" w:customStyle="1" w:styleId="582">
    <w:name w:val="设备规范标题1"/>
    <w:next w:val="583"/>
    <w:qFormat/>
    <w:uiPriority w:val="0"/>
    <w:pPr>
      <w:keepNext/>
      <w:tabs>
        <w:tab w:val="left" w:pos="425"/>
      </w:tabs>
      <w:spacing w:beforeLines="100" w:afterLines="50" w:line="276" w:lineRule="auto"/>
      <w:ind w:left="425" w:hanging="425" w:firstLineChars="200"/>
      <w:jc w:val="both"/>
    </w:pPr>
    <w:rPr>
      <w:rFonts w:ascii="Calibri" w:hAnsi="Calibri" w:eastAsia="楷体_GB2312" w:cs="Times New Roman"/>
      <w:b/>
      <w:sz w:val="24"/>
      <w:szCs w:val="22"/>
      <w:lang w:val="en-US" w:eastAsia="en-US" w:bidi="en-US"/>
    </w:rPr>
  </w:style>
  <w:style w:type="paragraph" w:customStyle="1" w:styleId="583">
    <w:name w:val="设备规范标题2"/>
    <w:next w:val="1"/>
    <w:qFormat/>
    <w:uiPriority w:val="0"/>
    <w:pPr>
      <w:tabs>
        <w:tab w:val="left" w:pos="0"/>
        <w:tab w:val="left" w:pos="720"/>
      </w:tabs>
      <w:spacing w:beforeLines="100" w:afterLines="50" w:line="276" w:lineRule="auto"/>
      <w:ind w:hanging="510" w:firstLineChars="200"/>
      <w:jc w:val="both"/>
    </w:pPr>
    <w:rPr>
      <w:rFonts w:ascii="Calibri" w:hAnsi="Calibri" w:eastAsia="楷体_GB2312" w:cs="Times New Roman"/>
      <w:b/>
      <w:bCs/>
      <w:sz w:val="24"/>
      <w:szCs w:val="22"/>
      <w:lang w:val="en-US" w:eastAsia="en-US" w:bidi="en-US"/>
    </w:rPr>
  </w:style>
  <w:style w:type="paragraph" w:customStyle="1" w:styleId="584">
    <w:name w:val="CM209"/>
    <w:basedOn w:val="114"/>
    <w:next w:val="114"/>
    <w:qFormat/>
    <w:uiPriority w:val="0"/>
    <w:rPr>
      <w:rFonts w:hAnsi="Times New Roman"/>
      <w:color w:val="auto"/>
      <w:kern w:val="2"/>
      <w:szCs w:val="24"/>
    </w:rPr>
  </w:style>
  <w:style w:type="paragraph" w:customStyle="1" w:styleId="585">
    <w:name w:val="标题4"/>
    <w:basedOn w:val="1"/>
    <w:next w:val="7"/>
    <w:qFormat/>
    <w:uiPriority w:val="0"/>
    <w:pPr>
      <w:widowControl/>
      <w:jc w:val="left"/>
    </w:pPr>
    <w:rPr>
      <w:rFonts w:ascii="黑体" w:eastAsia="黑体"/>
      <w:kern w:val="0"/>
      <w:sz w:val="24"/>
      <w:szCs w:val="30"/>
    </w:rPr>
  </w:style>
  <w:style w:type="paragraph" w:customStyle="1" w:styleId="586">
    <w:name w:val="Normal (Web)_0"/>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587">
    <w:name w:val="Char Char Char1 Char"/>
    <w:basedOn w:val="1"/>
    <w:qFormat/>
    <w:uiPriority w:val="0"/>
    <w:pPr>
      <w:widowControl/>
      <w:spacing w:after="200" w:line="276" w:lineRule="auto"/>
      <w:ind w:firstLine="200" w:firstLineChars="200"/>
      <w:jc w:val="left"/>
    </w:pPr>
    <w:rPr>
      <w:kern w:val="0"/>
      <w:sz w:val="22"/>
      <w:szCs w:val="22"/>
      <w:lang w:eastAsia="en-US" w:bidi="en-US"/>
    </w:rPr>
  </w:style>
  <w:style w:type="paragraph" w:customStyle="1" w:styleId="588">
    <w:name w:val="CM36"/>
    <w:basedOn w:val="114"/>
    <w:next w:val="114"/>
    <w:qFormat/>
    <w:uiPriority w:val="0"/>
    <w:pPr>
      <w:spacing w:line="398" w:lineRule="atLeast"/>
    </w:pPr>
    <w:rPr>
      <w:rFonts w:hAnsi="Times New Roman"/>
      <w:color w:val="auto"/>
      <w:kern w:val="2"/>
      <w:szCs w:val="24"/>
    </w:rPr>
  </w:style>
  <w:style w:type="paragraph" w:customStyle="1" w:styleId="589">
    <w:name w:val="样式 标题 2刘兵2第一节 标题 2标题3技术标题22nd levelh2Header 2l2H2sect ..."/>
    <w:basedOn w:val="5"/>
    <w:qFormat/>
    <w:uiPriority w:val="0"/>
    <w:pPr>
      <w:keepNext w:val="0"/>
      <w:keepLines w:val="0"/>
      <w:widowControl w:val="0"/>
      <w:tabs>
        <w:tab w:val="left" w:pos="360"/>
        <w:tab w:val="left" w:pos="709"/>
      </w:tabs>
      <w:adjustRightInd w:val="0"/>
      <w:spacing w:before="240" w:after="240" w:line="360" w:lineRule="auto"/>
      <w:textAlignment w:val="center"/>
    </w:pPr>
    <w:rPr>
      <w:rFonts w:ascii="黑体" w:cs="宋体"/>
      <w:kern w:val="2"/>
      <w:sz w:val="24"/>
      <w:szCs w:val="20"/>
    </w:rPr>
  </w:style>
  <w:style w:type="paragraph" w:customStyle="1" w:styleId="590">
    <w:name w:val="CM65"/>
    <w:basedOn w:val="114"/>
    <w:next w:val="114"/>
    <w:qFormat/>
    <w:uiPriority w:val="0"/>
    <w:pPr>
      <w:spacing w:line="400" w:lineRule="atLeast"/>
    </w:pPr>
    <w:rPr>
      <w:rFonts w:hAnsi="Times New Roman"/>
      <w:color w:val="auto"/>
      <w:kern w:val="2"/>
      <w:szCs w:val="24"/>
    </w:rPr>
  </w:style>
  <w:style w:type="paragraph" w:customStyle="1" w:styleId="591">
    <w:name w:val="CM32"/>
    <w:basedOn w:val="114"/>
    <w:next w:val="114"/>
    <w:qFormat/>
    <w:uiPriority w:val="0"/>
    <w:pPr>
      <w:spacing w:line="400" w:lineRule="atLeast"/>
    </w:pPr>
    <w:rPr>
      <w:rFonts w:hAnsi="Times New Roman"/>
      <w:color w:val="auto"/>
      <w:kern w:val="2"/>
      <w:szCs w:val="24"/>
    </w:rPr>
  </w:style>
  <w:style w:type="paragraph" w:customStyle="1" w:styleId="592">
    <w:name w:val="样式 标题 3刘兵3章标题1sect1.2.3sect1.2.31sect1.2.32sect1.2.311sec..."/>
    <w:basedOn w:val="6"/>
    <w:qFormat/>
    <w:uiPriority w:val="0"/>
    <w:pPr>
      <w:keepNext w:val="0"/>
      <w:keepLines w:val="0"/>
      <w:tabs>
        <w:tab w:val="left" w:pos="360"/>
        <w:tab w:val="left" w:pos="425"/>
      </w:tabs>
      <w:spacing w:before="120" w:after="120"/>
      <w:jc w:val="left"/>
    </w:pPr>
    <w:rPr>
      <w:rFonts w:ascii="宋体" w:hAnsi="Arial" w:cs="宋体"/>
      <w:sz w:val="21"/>
      <w:szCs w:val="20"/>
    </w:rPr>
  </w:style>
  <w:style w:type="paragraph" w:customStyle="1" w:styleId="593">
    <w:name w:val="Char Char Char Char1 Char Char Char1"/>
    <w:basedOn w:val="1"/>
    <w:qFormat/>
    <w:uiPriority w:val="0"/>
    <w:pPr>
      <w:spacing w:line="240" w:lineRule="atLeast"/>
      <w:ind w:left="420" w:firstLine="420"/>
    </w:pPr>
    <w:rPr>
      <w:kern w:val="0"/>
      <w:szCs w:val="21"/>
    </w:rPr>
  </w:style>
  <w:style w:type="paragraph" w:customStyle="1" w:styleId="594">
    <w:name w:val="xl5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595">
    <w:name w:val="CM93"/>
    <w:basedOn w:val="114"/>
    <w:next w:val="114"/>
    <w:qFormat/>
    <w:uiPriority w:val="0"/>
    <w:pPr>
      <w:spacing w:line="678" w:lineRule="atLeast"/>
    </w:pPr>
    <w:rPr>
      <w:rFonts w:hAnsi="Times New Roman"/>
      <w:color w:val="auto"/>
      <w:kern w:val="2"/>
      <w:szCs w:val="24"/>
    </w:rPr>
  </w:style>
  <w:style w:type="paragraph" w:customStyle="1" w:styleId="596">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right"/>
    </w:pPr>
    <w:rPr>
      <w:color w:val="FF0000"/>
      <w:kern w:val="0"/>
      <w:sz w:val="22"/>
      <w:szCs w:val="22"/>
      <w:lang w:eastAsia="en-US" w:bidi="en-US"/>
    </w:rPr>
  </w:style>
  <w:style w:type="paragraph" w:customStyle="1" w:styleId="597">
    <w:name w:val="修订3"/>
    <w:qFormat/>
    <w:uiPriority w:val="99"/>
    <w:rPr>
      <w:rFonts w:ascii="Times New Roman" w:hAnsi="Times New Roman" w:eastAsia="宋体" w:cs="Times New Roman"/>
      <w:kern w:val="2"/>
      <w:sz w:val="21"/>
      <w:szCs w:val="24"/>
      <w:lang w:val="en-US" w:eastAsia="zh-CN" w:bidi="ar-SA"/>
    </w:rPr>
  </w:style>
  <w:style w:type="paragraph" w:customStyle="1" w:styleId="598">
    <w:name w:val="表"/>
    <w:basedOn w:val="1"/>
    <w:qFormat/>
    <w:uiPriority w:val="0"/>
    <w:pPr>
      <w:tabs>
        <w:tab w:val="left" w:pos="0"/>
      </w:tabs>
      <w:spacing w:line="360" w:lineRule="auto"/>
      <w:ind w:left="5"/>
      <w:jc w:val="center"/>
    </w:pPr>
    <w:rPr>
      <w:rFonts w:ascii="宋体" w:hAnsi="宋体"/>
      <w:color w:val="000000"/>
      <w:kern w:val="0"/>
      <w:szCs w:val="28"/>
    </w:rPr>
  </w:style>
  <w:style w:type="paragraph" w:customStyle="1" w:styleId="599">
    <w:name w:val="自定样式3"/>
    <w:qFormat/>
    <w:uiPriority w:val="0"/>
    <w:pPr>
      <w:jc w:val="center"/>
    </w:pPr>
    <w:rPr>
      <w:rFonts w:ascii="宋体" w:hAnsi="宋体" w:eastAsia="宋体" w:cs="Times New Roman"/>
      <w:b/>
      <w:bCs/>
      <w:kern w:val="2"/>
      <w:sz w:val="24"/>
      <w:szCs w:val="24"/>
      <w:lang w:val="en-US" w:eastAsia="zh-CN" w:bidi="ar-SA"/>
    </w:rPr>
  </w:style>
  <w:style w:type="paragraph" w:customStyle="1" w:styleId="600">
    <w:name w:val="小标题2"/>
    <w:basedOn w:val="1"/>
    <w:qFormat/>
    <w:uiPriority w:val="0"/>
    <w:pPr>
      <w:widowControl/>
      <w:tabs>
        <w:tab w:val="left" w:pos="420"/>
        <w:tab w:val="left" w:pos="980"/>
      </w:tabs>
      <w:overflowPunct w:val="0"/>
      <w:adjustRightInd w:val="0"/>
      <w:snapToGrid w:val="0"/>
      <w:spacing w:beforeLines="50" w:afterLines="50" w:line="300" w:lineRule="auto"/>
      <w:ind w:left="420" w:hanging="420" w:firstLineChars="200"/>
      <w:jc w:val="left"/>
    </w:pPr>
    <w:rPr>
      <w:rFonts w:ascii="Arial" w:hAnsi="Arial" w:eastAsia="仿宋_GB2312"/>
      <w:kern w:val="0"/>
      <w:sz w:val="28"/>
      <w:lang w:eastAsia="en-US" w:bidi="en-US"/>
    </w:rPr>
  </w:style>
  <w:style w:type="paragraph" w:customStyle="1" w:styleId="601">
    <w:name w:val="注1"/>
    <w:basedOn w:val="1"/>
    <w:qFormat/>
    <w:uiPriority w:val="0"/>
    <w:pPr>
      <w:widowControl/>
      <w:spacing w:after="200" w:line="360" w:lineRule="auto"/>
      <w:ind w:left="400" w:leftChars="200" w:hanging="200" w:hangingChars="200"/>
      <w:jc w:val="left"/>
    </w:pPr>
    <w:rPr>
      <w:rFonts w:ascii="宋体"/>
      <w:b/>
      <w:kern w:val="0"/>
      <w:sz w:val="22"/>
      <w:szCs w:val="22"/>
      <w:lang w:eastAsia="en-US" w:bidi="en-US"/>
    </w:rPr>
  </w:style>
  <w:style w:type="paragraph" w:customStyle="1" w:styleId="602">
    <w:name w:val="CM54"/>
    <w:basedOn w:val="114"/>
    <w:next w:val="114"/>
    <w:qFormat/>
    <w:uiPriority w:val="0"/>
    <w:pPr>
      <w:spacing w:line="400" w:lineRule="atLeast"/>
    </w:pPr>
    <w:rPr>
      <w:rFonts w:hAnsi="Times New Roman"/>
      <w:color w:val="auto"/>
      <w:kern w:val="2"/>
      <w:szCs w:val="24"/>
    </w:rPr>
  </w:style>
  <w:style w:type="paragraph" w:customStyle="1" w:styleId="603">
    <w:name w:val="CM105"/>
    <w:basedOn w:val="114"/>
    <w:next w:val="114"/>
    <w:qFormat/>
    <w:uiPriority w:val="0"/>
    <w:rPr>
      <w:rFonts w:hAnsi="Times New Roman"/>
      <w:color w:val="auto"/>
      <w:kern w:val="2"/>
      <w:szCs w:val="24"/>
    </w:rPr>
  </w:style>
  <w:style w:type="paragraph" w:customStyle="1" w:styleId="604">
    <w:name w:val="xl93"/>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line="276" w:lineRule="auto"/>
      <w:ind w:firstLine="200" w:firstLineChars="200"/>
      <w:jc w:val="right"/>
    </w:pPr>
    <w:rPr>
      <w:rFonts w:ascii="宋体" w:hAnsi="宋体"/>
      <w:b/>
      <w:bCs/>
      <w:kern w:val="0"/>
      <w:sz w:val="22"/>
      <w:szCs w:val="22"/>
      <w:lang w:eastAsia="en-US" w:bidi="en-US"/>
    </w:rPr>
  </w:style>
  <w:style w:type="paragraph" w:customStyle="1" w:styleId="605">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right"/>
    </w:pPr>
    <w:rPr>
      <w:b/>
      <w:bCs/>
      <w:color w:val="FF0000"/>
      <w:kern w:val="0"/>
      <w:sz w:val="22"/>
      <w:szCs w:val="22"/>
      <w:lang w:eastAsia="en-US" w:bidi="en-US"/>
    </w:rPr>
  </w:style>
  <w:style w:type="paragraph" w:customStyle="1" w:styleId="606">
    <w:name w:val="Char Char Char Char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607">
    <w:name w:val="Char"/>
    <w:basedOn w:val="1"/>
    <w:qFormat/>
    <w:uiPriority w:val="0"/>
    <w:pPr>
      <w:spacing w:line="240" w:lineRule="atLeast"/>
      <w:ind w:left="420" w:firstLine="420"/>
    </w:pPr>
    <w:rPr>
      <w:rFonts w:ascii="Times New Roman" w:hAnsi="Times New Roman"/>
      <w:kern w:val="0"/>
      <w:szCs w:val="21"/>
    </w:rPr>
  </w:style>
  <w:style w:type="paragraph" w:customStyle="1" w:styleId="608">
    <w:name w:val="CM134"/>
    <w:basedOn w:val="114"/>
    <w:next w:val="114"/>
    <w:qFormat/>
    <w:uiPriority w:val="0"/>
    <w:pPr>
      <w:spacing w:line="273" w:lineRule="atLeast"/>
    </w:pPr>
    <w:rPr>
      <w:rFonts w:hAnsi="Times New Roman"/>
      <w:color w:val="auto"/>
      <w:kern w:val="2"/>
      <w:szCs w:val="24"/>
    </w:rPr>
  </w:style>
  <w:style w:type="paragraph" w:customStyle="1" w:styleId="609">
    <w:name w:val="Char Char Char1"/>
    <w:basedOn w:val="1"/>
    <w:qFormat/>
    <w:uiPriority w:val="0"/>
    <w:pPr>
      <w:widowControl/>
      <w:spacing w:after="200" w:line="276" w:lineRule="auto"/>
      <w:ind w:firstLine="200" w:firstLineChars="200"/>
      <w:jc w:val="left"/>
    </w:pPr>
    <w:rPr>
      <w:kern w:val="0"/>
      <w:sz w:val="22"/>
      <w:lang w:eastAsia="en-US" w:bidi="en-US"/>
    </w:rPr>
  </w:style>
  <w:style w:type="paragraph" w:customStyle="1" w:styleId="610">
    <w:name w:val="font1"/>
    <w:basedOn w:val="1"/>
    <w:qFormat/>
    <w:uiPriority w:val="0"/>
    <w:pPr>
      <w:widowControl/>
      <w:spacing w:before="100" w:beforeAutospacing="1" w:after="100" w:afterAutospacing="1" w:line="276" w:lineRule="auto"/>
      <w:ind w:firstLine="200" w:firstLineChars="200"/>
      <w:jc w:val="left"/>
    </w:pPr>
    <w:rPr>
      <w:rFonts w:hint="eastAsia" w:ascii="宋体" w:hAnsi="宋体"/>
      <w:b/>
      <w:bCs/>
      <w:kern w:val="0"/>
      <w:sz w:val="24"/>
      <w:szCs w:val="22"/>
      <w:lang w:eastAsia="en-US" w:bidi="en-US"/>
    </w:rPr>
  </w:style>
  <w:style w:type="paragraph" w:customStyle="1" w:styleId="611">
    <w:name w:val="菲页1"/>
    <w:basedOn w:val="5"/>
    <w:qFormat/>
    <w:uiPriority w:val="0"/>
    <w:pPr>
      <w:keepLines w:val="0"/>
      <w:spacing w:before="120" w:after="120" w:line="240" w:lineRule="auto"/>
      <w:jc w:val="center"/>
    </w:pPr>
    <w:rPr>
      <w:rFonts w:ascii="黑体" w:hAnsi="宋体" w:eastAsia="仿宋"/>
      <w:b w:val="0"/>
      <w:iCs/>
      <w:sz w:val="52"/>
      <w:szCs w:val="48"/>
      <w:lang w:bidi="en-US"/>
    </w:rPr>
  </w:style>
  <w:style w:type="paragraph" w:customStyle="1" w:styleId="61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613">
    <w:name w:val="xl4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kern w:val="0"/>
      <w:sz w:val="22"/>
      <w:szCs w:val="22"/>
      <w:lang w:eastAsia="en-US" w:bidi="en-US"/>
    </w:rPr>
  </w:style>
  <w:style w:type="paragraph" w:customStyle="1" w:styleId="614">
    <w:name w:val="7"/>
    <w:basedOn w:val="1"/>
    <w:qFormat/>
    <w:uiPriority w:val="0"/>
    <w:pPr>
      <w:widowControl/>
      <w:tabs>
        <w:tab w:val="left" w:pos="425"/>
      </w:tabs>
      <w:spacing w:beforeLines="100" w:after="160" w:line="240" w:lineRule="exact"/>
      <w:ind w:left="425" w:hanging="425"/>
      <w:jc w:val="left"/>
    </w:pPr>
    <w:rPr>
      <w:rFonts w:ascii="Verdana" w:hAnsi="Verdana" w:eastAsia="黑体"/>
      <w:kern w:val="0"/>
      <w:sz w:val="20"/>
      <w:lang w:eastAsia="en-US"/>
    </w:rPr>
  </w:style>
  <w:style w:type="paragraph" w:customStyle="1" w:styleId="615">
    <w:name w:val="表文1"/>
    <w:basedOn w:val="1"/>
    <w:qFormat/>
    <w:uiPriority w:val="0"/>
    <w:pPr>
      <w:autoSpaceDE w:val="0"/>
      <w:autoSpaceDN w:val="0"/>
      <w:adjustRightInd w:val="0"/>
      <w:snapToGrid w:val="0"/>
      <w:spacing w:before="120" w:after="60" w:line="312" w:lineRule="auto"/>
      <w:jc w:val="center"/>
      <w:textAlignment w:val="baseline"/>
    </w:pPr>
    <w:rPr>
      <w:rFonts w:ascii="Arial" w:hAnsi="Arial"/>
      <w:kern w:val="0"/>
      <w:sz w:val="24"/>
      <w:szCs w:val="20"/>
    </w:rPr>
  </w:style>
  <w:style w:type="paragraph" w:customStyle="1" w:styleId="616">
    <w:name w:val="CM87"/>
    <w:basedOn w:val="114"/>
    <w:next w:val="114"/>
    <w:qFormat/>
    <w:uiPriority w:val="0"/>
    <w:pPr>
      <w:spacing w:line="391" w:lineRule="atLeast"/>
    </w:pPr>
    <w:rPr>
      <w:rFonts w:hAnsi="Times New Roman"/>
      <w:color w:val="auto"/>
      <w:kern w:val="2"/>
      <w:szCs w:val="24"/>
    </w:rPr>
  </w:style>
  <w:style w:type="paragraph" w:customStyle="1" w:styleId="61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18">
    <w:name w:val="xl8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ind w:firstLine="200" w:firstLineChars="200"/>
      <w:jc w:val="left"/>
    </w:pPr>
    <w:rPr>
      <w:rFonts w:ascii="宋体" w:hAnsi="宋体"/>
      <w:color w:val="FF0000"/>
      <w:kern w:val="0"/>
      <w:sz w:val="22"/>
      <w:szCs w:val="22"/>
      <w:lang w:eastAsia="en-US" w:bidi="en-US"/>
    </w:rPr>
  </w:style>
  <w:style w:type="paragraph" w:customStyle="1" w:styleId="6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620">
    <w:name w:val="CM132"/>
    <w:basedOn w:val="114"/>
    <w:next w:val="114"/>
    <w:qFormat/>
    <w:uiPriority w:val="0"/>
    <w:pPr>
      <w:spacing w:line="273" w:lineRule="atLeast"/>
    </w:pPr>
    <w:rPr>
      <w:rFonts w:hAnsi="Times New Roman"/>
      <w:color w:val="auto"/>
      <w:kern w:val="2"/>
      <w:szCs w:val="24"/>
    </w:rPr>
  </w:style>
  <w:style w:type="paragraph" w:customStyle="1" w:styleId="621">
    <w:name w:val="xl9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b/>
      <w:bCs/>
      <w:kern w:val="0"/>
      <w:sz w:val="22"/>
      <w:szCs w:val="22"/>
      <w:lang w:eastAsia="en-US" w:bidi="en-US"/>
    </w:rPr>
  </w:style>
  <w:style w:type="paragraph" w:customStyle="1" w:styleId="622">
    <w:name w:val="Revision1"/>
    <w:qFormat/>
    <w:uiPriority w:val="99"/>
    <w:rPr>
      <w:rFonts w:ascii="Times New Roman" w:hAnsi="Times New Roman" w:eastAsia="宋体" w:cs="Times New Roman"/>
      <w:kern w:val="2"/>
      <w:sz w:val="21"/>
      <w:szCs w:val="24"/>
      <w:lang w:val="en-US" w:eastAsia="zh-CN" w:bidi="ar-SA"/>
    </w:rPr>
  </w:style>
  <w:style w:type="paragraph" w:customStyle="1" w:styleId="623">
    <w:name w:val="CM7"/>
    <w:basedOn w:val="114"/>
    <w:next w:val="114"/>
    <w:qFormat/>
    <w:uiPriority w:val="99"/>
    <w:pPr>
      <w:spacing w:line="191" w:lineRule="atLeast"/>
    </w:pPr>
    <w:rPr>
      <w:rFonts w:ascii="Times New Roman"/>
      <w:color w:val="auto"/>
      <w:szCs w:val="24"/>
    </w:rPr>
  </w:style>
  <w:style w:type="paragraph" w:customStyle="1" w:styleId="624">
    <w:name w:val="样式 标题 2Underrubrik1prop2Heading 2 HiddenHeading 2 CCBS2nd l..."/>
    <w:basedOn w:val="5"/>
    <w:qFormat/>
    <w:uiPriority w:val="0"/>
    <w:pPr>
      <w:widowControl w:val="0"/>
      <w:spacing w:beforeLines="50" w:afterLines="100" w:line="415" w:lineRule="auto"/>
      <w:ind w:left="100" w:leftChars="100" w:right="100" w:rightChars="100"/>
      <w:jc w:val="both"/>
    </w:pPr>
    <w:rPr>
      <w:rFonts w:ascii="宋体" w:hAnsi="宋体" w:eastAsia="宋体" w:cs="宋体"/>
      <w:kern w:val="2"/>
      <w:sz w:val="24"/>
      <w:szCs w:val="20"/>
    </w:rPr>
  </w:style>
  <w:style w:type="paragraph" w:customStyle="1" w:styleId="625">
    <w:name w:val="Char Char Char1 Char1"/>
    <w:basedOn w:val="1"/>
    <w:qFormat/>
    <w:uiPriority w:val="0"/>
    <w:pPr>
      <w:widowControl/>
      <w:spacing w:after="200" w:line="276" w:lineRule="auto"/>
      <w:ind w:firstLine="200" w:firstLineChars="200"/>
      <w:jc w:val="left"/>
    </w:pPr>
    <w:rPr>
      <w:kern w:val="0"/>
      <w:sz w:val="22"/>
      <w:szCs w:val="22"/>
      <w:lang w:eastAsia="en-US" w:bidi="en-US"/>
    </w:rPr>
  </w:style>
  <w:style w:type="paragraph" w:customStyle="1" w:styleId="626">
    <w:name w:val="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627">
    <w:name w:val="标准"/>
    <w:basedOn w:val="1"/>
    <w:qFormat/>
    <w:uiPriority w:val="0"/>
    <w:pPr>
      <w:widowControl/>
      <w:adjustRightInd w:val="0"/>
      <w:spacing w:after="200" w:line="480" w:lineRule="atLeast"/>
      <w:ind w:firstLine="200" w:firstLineChars="200"/>
      <w:jc w:val="left"/>
    </w:pPr>
    <w:rPr>
      <w:kern w:val="0"/>
      <w:sz w:val="28"/>
      <w:lang w:val="en-GB" w:eastAsia="en-US" w:bidi="en-US"/>
    </w:rPr>
  </w:style>
  <w:style w:type="paragraph" w:customStyle="1" w:styleId="628">
    <w:name w:val="p132"/>
    <w:basedOn w:val="1"/>
    <w:qFormat/>
    <w:uiPriority w:val="0"/>
    <w:pPr>
      <w:widowControl/>
      <w:jc w:val="center"/>
    </w:pPr>
    <w:rPr>
      <w:rFonts w:ascii="黑体" w:hAnsi="黑体" w:eastAsia="黑体" w:cs="宋体"/>
      <w:kern w:val="0"/>
      <w:sz w:val="28"/>
      <w:szCs w:val="28"/>
    </w:rPr>
  </w:style>
  <w:style w:type="paragraph" w:customStyle="1" w:styleId="629">
    <w:name w:val="CM75"/>
    <w:basedOn w:val="114"/>
    <w:next w:val="114"/>
    <w:qFormat/>
    <w:uiPriority w:val="0"/>
    <w:pPr>
      <w:spacing w:line="478" w:lineRule="atLeast"/>
    </w:pPr>
    <w:rPr>
      <w:rFonts w:hAnsi="Times New Roman"/>
      <w:color w:val="auto"/>
      <w:kern w:val="2"/>
      <w:szCs w:val="24"/>
    </w:rPr>
  </w:style>
  <w:style w:type="paragraph" w:customStyle="1" w:styleId="630">
    <w:name w:val="彩色列表 - 强调文字颜色 11"/>
    <w:basedOn w:val="1"/>
    <w:qFormat/>
    <w:uiPriority w:val="0"/>
    <w:pPr>
      <w:spacing w:line="360" w:lineRule="auto"/>
      <w:ind w:firstLine="420" w:firstLineChars="200"/>
    </w:pPr>
  </w:style>
  <w:style w:type="paragraph" w:customStyle="1" w:styleId="631">
    <w:name w:val="CM31"/>
    <w:basedOn w:val="114"/>
    <w:next w:val="114"/>
    <w:qFormat/>
    <w:uiPriority w:val="0"/>
    <w:pPr>
      <w:spacing w:line="400" w:lineRule="atLeast"/>
    </w:pPr>
    <w:rPr>
      <w:rFonts w:hAnsi="Times New Roman"/>
      <w:color w:val="auto"/>
      <w:kern w:val="2"/>
      <w:szCs w:val="24"/>
    </w:rPr>
  </w:style>
  <w:style w:type="paragraph" w:customStyle="1" w:styleId="632">
    <w:name w:val="xl1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3">
    <w:name w:val="CM84"/>
    <w:basedOn w:val="114"/>
    <w:next w:val="114"/>
    <w:qFormat/>
    <w:uiPriority w:val="0"/>
    <w:pPr>
      <w:spacing w:line="396" w:lineRule="atLeast"/>
    </w:pPr>
    <w:rPr>
      <w:rFonts w:hAnsi="Times New Roman"/>
      <w:color w:val="auto"/>
      <w:kern w:val="2"/>
      <w:szCs w:val="24"/>
    </w:rPr>
  </w:style>
  <w:style w:type="paragraph" w:customStyle="1" w:styleId="634">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635">
    <w:name w:val="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style>
  <w:style w:type="paragraph" w:customStyle="1" w:styleId="636">
    <w:name w:val="中文表内容"/>
    <w:basedOn w:val="1"/>
    <w:next w:val="1"/>
    <w:qFormat/>
    <w:uiPriority w:val="0"/>
    <w:pPr>
      <w:widowControl/>
      <w:overflowPunct w:val="0"/>
      <w:adjustRightInd w:val="0"/>
      <w:snapToGrid w:val="0"/>
      <w:spacing w:after="200" w:line="200" w:lineRule="atLeast"/>
      <w:ind w:left="284" w:firstLine="200" w:firstLineChars="200"/>
      <w:jc w:val="left"/>
      <w:textAlignment w:val="baseline"/>
    </w:pPr>
    <w:rPr>
      <w:rFonts w:eastAsia="仿宋_GB2312"/>
      <w:kern w:val="0"/>
      <w:sz w:val="28"/>
      <w:lang w:eastAsia="en-US" w:bidi="en-US"/>
    </w:rPr>
  </w:style>
  <w:style w:type="paragraph" w:customStyle="1" w:styleId="637">
    <w:name w:val="Body"/>
    <w:qFormat/>
    <w:uiPriority w:val="0"/>
    <w:pPr>
      <w:tabs>
        <w:tab w:val="left" w:pos="720"/>
        <w:tab w:val="left" w:pos="1152"/>
        <w:tab w:val="left" w:pos="1584"/>
        <w:tab w:val="left" w:pos="2016"/>
      </w:tabs>
      <w:overflowPunct w:val="0"/>
      <w:autoSpaceDE w:val="0"/>
      <w:autoSpaceDN w:val="0"/>
      <w:adjustRightInd w:val="0"/>
      <w:spacing w:before="180" w:after="200" w:line="276" w:lineRule="auto"/>
      <w:ind w:left="720" w:firstLine="200" w:firstLineChars="200"/>
      <w:jc w:val="both"/>
      <w:textAlignment w:val="baseline"/>
    </w:pPr>
    <w:rPr>
      <w:rFonts w:ascii="Calibri" w:hAnsi="Calibri" w:eastAsia="宋体" w:cs="Times New Roman"/>
      <w:sz w:val="22"/>
      <w:szCs w:val="22"/>
      <w:lang w:val="en-US" w:eastAsia="en-US" w:bidi="en-US"/>
    </w:rPr>
  </w:style>
  <w:style w:type="paragraph" w:customStyle="1" w:styleId="63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3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center"/>
    </w:pPr>
    <w:rPr>
      <w:rFonts w:ascii="宋体" w:hAnsi="宋体"/>
      <w:kern w:val="0"/>
      <w:sz w:val="22"/>
      <w:szCs w:val="22"/>
      <w:lang w:eastAsia="en-US" w:bidi="en-US"/>
    </w:rPr>
  </w:style>
  <w:style w:type="paragraph" w:customStyle="1" w:styleId="640">
    <w:name w:val="Char Char Char Char Char Char Char Char Char Char Char Char Char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641">
    <w:name w:val="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2">
    <w:name w:val="H2"/>
    <w:basedOn w:val="1"/>
    <w:next w:val="1"/>
    <w:qFormat/>
    <w:uiPriority w:val="0"/>
    <w:pPr>
      <w:keepNext/>
      <w:autoSpaceDE w:val="0"/>
      <w:autoSpaceDN w:val="0"/>
      <w:adjustRightInd w:val="0"/>
      <w:spacing w:before="100" w:after="100"/>
      <w:jc w:val="left"/>
      <w:outlineLvl w:val="2"/>
    </w:pPr>
    <w:rPr>
      <w:b/>
      <w:kern w:val="0"/>
      <w:sz w:val="36"/>
    </w:rPr>
  </w:style>
  <w:style w:type="paragraph" w:customStyle="1" w:styleId="643">
    <w:name w:val="p0"/>
    <w:basedOn w:val="1"/>
    <w:qFormat/>
    <w:uiPriority w:val="0"/>
    <w:pPr>
      <w:widowControl/>
    </w:pPr>
    <w:rPr>
      <w:kern w:val="0"/>
      <w:szCs w:val="21"/>
    </w:rPr>
  </w:style>
  <w:style w:type="paragraph" w:customStyle="1" w:styleId="644">
    <w:name w:val="AOHead4"/>
    <w:basedOn w:val="1"/>
    <w:next w:val="1"/>
    <w:qFormat/>
    <w:uiPriority w:val="0"/>
    <w:pPr>
      <w:widowControl/>
      <w:spacing w:before="240" w:line="260" w:lineRule="atLeast"/>
      <w:outlineLvl w:val="3"/>
    </w:pPr>
    <w:rPr>
      <w:rFonts w:ascii="Times New Roman" w:hAnsi="Times New Roman"/>
      <w:kern w:val="0"/>
      <w:sz w:val="22"/>
      <w:szCs w:val="20"/>
      <w:lang w:val="en-GB" w:eastAsia="en-US"/>
    </w:rPr>
  </w:style>
  <w:style w:type="paragraph" w:customStyle="1" w:styleId="645">
    <w:name w:val="p14"/>
    <w:basedOn w:val="1"/>
    <w:qFormat/>
    <w:uiPriority w:val="0"/>
    <w:pPr>
      <w:widowControl/>
      <w:spacing w:line="480" w:lineRule="auto"/>
      <w:jc w:val="left"/>
    </w:pPr>
    <w:rPr>
      <w:rFonts w:ascii="宋体" w:hAnsi="宋体" w:cs="宋体"/>
      <w:kern w:val="0"/>
      <w:szCs w:val="21"/>
    </w:rPr>
  </w:style>
  <w:style w:type="paragraph" w:customStyle="1" w:styleId="646">
    <w:name w:val="文本"/>
    <w:basedOn w:val="23"/>
    <w:qFormat/>
    <w:uiPriority w:val="0"/>
    <w:pPr>
      <w:widowControl w:val="0"/>
      <w:snapToGrid w:val="0"/>
      <w:spacing w:after="0" w:line="360" w:lineRule="auto"/>
      <w:ind w:firstLine="424" w:firstLineChars="202"/>
      <w:jc w:val="both"/>
    </w:pPr>
    <w:rPr>
      <w:rFonts w:ascii="宋体" w:hAnsi="宋体"/>
      <w:kern w:val="2"/>
      <w:sz w:val="24"/>
      <w:szCs w:val="24"/>
    </w:rPr>
  </w:style>
  <w:style w:type="paragraph" w:customStyle="1" w:styleId="647">
    <w:name w:val="已访问的超链接1"/>
    <w:qFormat/>
    <w:uiPriority w:val="99"/>
    <w:rPr>
      <w:rFonts w:ascii="Times New Roman" w:hAnsi="Times New Roman" w:eastAsia="宋体" w:cs="Times New Roman"/>
      <w:lang w:val="en-US" w:eastAsia="zh-CN" w:bidi="ar-SA"/>
    </w:rPr>
  </w:style>
  <w:style w:type="paragraph" w:customStyle="1" w:styleId="64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line="276" w:lineRule="auto"/>
      <w:ind w:firstLine="200" w:firstLineChars="200"/>
      <w:jc w:val="right"/>
    </w:pPr>
    <w:rPr>
      <w:rFonts w:ascii="宋体" w:hAnsi="宋体"/>
      <w:b/>
      <w:bCs/>
      <w:kern w:val="0"/>
      <w:sz w:val="22"/>
      <w:szCs w:val="22"/>
      <w:lang w:eastAsia="en-US" w:bidi="en-US"/>
    </w:rPr>
  </w:style>
  <w:style w:type="paragraph" w:customStyle="1" w:styleId="649">
    <w:name w:val="样式 标题 1 + 宋体 居中 段前: 48 磅 段后: 12 磅 行距: 1.5 倍行距"/>
    <w:basedOn w:val="4"/>
    <w:qFormat/>
    <w:uiPriority w:val="0"/>
    <w:pPr>
      <w:adjustRightInd w:val="0"/>
      <w:spacing w:before="100" w:beforeAutospacing="1"/>
      <w:jc w:val="center"/>
      <w:textAlignment w:val="baseline"/>
    </w:pPr>
    <w:rPr>
      <w:rFonts w:ascii="宋体" w:hAnsi="宋体" w:cs="宋体"/>
      <w:snapToGrid w:val="0"/>
      <w:kern w:val="2"/>
      <w:sz w:val="44"/>
    </w:rPr>
  </w:style>
  <w:style w:type="paragraph" w:customStyle="1" w:styleId="6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b/>
      <w:bCs/>
      <w:kern w:val="0"/>
      <w:sz w:val="22"/>
      <w:szCs w:val="22"/>
      <w:lang w:eastAsia="en-US" w:bidi="en-US"/>
    </w:rPr>
  </w:style>
  <w:style w:type="paragraph" w:customStyle="1" w:styleId="651">
    <w:name w:val="p233"/>
    <w:basedOn w:val="1"/>
    <w:qFormat/>
    <w:uiPriority w:val="0"/>
    <w:pPr>
      <w:widowControl/>
      <w:spacing w:line="480" w:lineRule="auto"/>
      <w:ind w:firstLine="422"/>
      <w:jc w:val="left"/>
    </w:pPr>
    <w:rPr>
      <w:rFonts w:ascii="宋体" w:hAnsi="宋体" w:cs="宋体"/>
      <w:kern w:val="0"/>
      <w:szCs w:val="21"/>
    </w:rPr>
  </w:style>
  <w:style w:type="paragraph" w:customStyle="1" w:styleId="652">
    <w:name w:val="opening2"/>
    <w:basedOn w:val="1"/>
    <w:qFormat/>
    <w:uiPriority w:val="0"/>
    <w:pPr>
      <w:widowControl/>
      <w:spacing w:before="100" w:beforeAutospacing="1" w:after="100" w:afterAutospacing="1"/>
      <w:jc w:val="left"/>
    </w:pPr>
    <w:rPr>
      <w:rFonts w:ascii="宋体" w:hAnsi="宋体" w:cs="宋体"/>
      <w:color w:val="000000"/>
      <w:kern w:val="0"/>
      <w:sz w:val="23"/>
      <w:szCs w:val="23"/>
    </w:rPr>
  </w:style>
  <w:style w:type="paragraph" w:customStyle="1" w:styleId="65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54">
    <w:name w:val="Char Char Char Char Char Char Char Char Char Char11"/>
    <w:basedOn w:val="1"/>
    <w:qFormat/>
    <w:uiPriority w:val="0"/>
    <w:pPr>
      <w:tabs>
        <w:tab w:val="left" w:pos="425"/>
      </w:tabs>
      <w:ind w:left="425" w:hanging="425"/>
    </w:pPr>
    <w:rPr>
      <w:rFonts w:ascii="Arial" w:hAnsi="Arial" w:eastAsia="黑体" w:cs="宋体"/>
      <w:b/>
      <w:bCs/>
      <w:sz w:val="32"/>
      <w:szCs w:val="32"/>
    </w:rPr>
  </w:style>
  <w:style w:type="paragraph" w:customStyle="1" w:styleId="655">
    <w:name w:val="CM107"/>
    <w:basedOn w:val="114"/>
    <w:next w:val="114"/>
    <w:qFormat/>
    <w:uiPriority w:val="0"/>
    <w:rPr>
      <w:rFonts w:hAnsi="Times New Roman"/>
      <w:color w:val="auto"/>
      <w:kern w:val="2"/>
      <w:szCs w:val="24"/>
    </w:rPr>
  </w:style>
  <w:style w:type="paragraph" w:customStyle="1" w:styleId="65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line="276" w:lineRule="auto"/>
      <w:ind w:firstLine="200" w:firstLineChars="200"/>
      <w:jc w:val="right"/>
    </w:pPr>
    <w:rPr>
      <w:rFonts w:ascii="宋体" w:hAnsi="宋体"/>
      <w:kern w:val="0"/>
      <w:sz w:val="22"/>
      <w:szCs w:val="22"/>
      <w:lang w:eastAsia="en-US" w:bidi="en-US"/>
    </w:rPr>
  </w:style>
  <w:style w:type="paragraph" w:customStyle="1" w:styleId="65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color w:val="FF0000"/>
      <w:kern w:val="0"/>
      <w:sz w:val="22"/>
      <w:szCs w:val="22"/>
      <w:lang w:eastAsia="en-US" w:bidi="en-US"/>
    </w:rPr>
  </w:style>
  <w:style w:type="paragraph" w:customStyle="1" w:styleId="658">
    <w:name w:val="Char Char Char Char Char Char Char Char Char Char Char Char Char Char Char Char Char Char Char1"/>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659">
    <w:name w:val="xl57"/>
    <w:basedOn w:val="1"/>
    <w:qFormat/>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b/>
      <w:bCs/>
      <w:color w:val="FF0000"/>
      <w:kern w:val="0"/>
      <w:sz w:val="22"/>
      <w:szCs w:val="22"/>
      <w:lang w:eastAsia="en-US" w:bidi="en-US"/>
    </w:rPr>
  </w:style>
  <w:style w:type="paragraph" w:customStyle="1" w:styleId="660">
    <w:name w:val="样式1"/>
    <w:basedOn w:val="1"/>
    <w:next w:val="7"/>
    <w:qFormat/>
    <w:uiPriority w:val="0"/>
    <w:pPr>
      <w:spacing w:line="360" w:lineRule="auto"/>
      <w:ind w:firstLine="420" w:firstLineChars="200"/>
    </w:pPr>
    <w:rPr>
      <w:rFonts w:ascii="宋体" w:hAnsi="宋体"/>
      <w:szCs w:val="21"/>
    </w:rPr>
  </w:style>
  <w:style w:type="paragraph" w:customStyle="1" w:styleId="661">
    <w:name w:val="CM161"/>
    <w:basedOn w:val="114"/>
    <w:next w:val="114"/>
    <w:qFormat/>
    <w:uiPriority w:val="0"/>
    <w:pPr>
      <w:spacing w:line="340" w:lineRule="atLeast"/>
    </w:pPr>
    <w:rPr>
      <w:rFonts w:hAnsi="Times New Roman"/>
      <w:color w:val="auto"/>
      <w:kern w:val="2"/>
      <w:szCs w:val="24"/>
    </w:rPr>
  </w:style>
  <w:style w:type="paragraph" w:customStyle="1" w:styleId="662">
    <w:name w:val="CM198"/>
    <w:basedOn w:val="114"/>
    <w:next w:val="114"/>
    <w:qFormat/>
    <w:uiPriority w:val="0"/>
    <w:rPr>
      <w:rFonts w:hAnsi="Times New Roman"/>
      <w:color w:val="auto"/>
      <w:kern w:val="2"/>
      <w:szCs w:val="24"/>
    </w:rPr>
  </w:style>
  <w:style w:type="paragraph" w:customStyle="1" w:styleId="663">
    <w:name w:val="xl8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ind w:firstLine="200" w:firstLineChars="200"/>
      <w:jc w:val="left"/>
    </w:pPr>
    <w:rPr>
      <w:kern w:val="0"/>
      <w:sz w:val="22"/>
      <w:szCs w:val="22"/>
      <w:lang w:eastAsia="en-US" w:bidi="en-US"/>
    </w:rPr>
  </w:style>
  <w:style w:type="paragraph" w:customStyle="1" w:styleId="664">
    <w:name w:val="css1"/>
    <w:basedOn w:val="1"/>
    <w:qFormat/>
    <w:uiPriority w:val="0"/>
    <w:pPr>
      <w:widowControl/>
      <w:spacing w:before="100" w:beforeAutospacing="1" w:after="100" w:afterAutospacing="1" w:line="360" w:lineRule="auto"/>
      <w:jc w:val="left"/>
    </w:pPr>
    <w:rPr>
      <w:rFonts w:ascii="宋体" w:hAnsi="宋体"/>
      <w:color w:val="000000"/>
      <w:kern w:val="0"/>
      <w:sz w:val="18"/>
      <w:szCs w:val="18"/>
    </w:rPr>
  </w:style>
  <w:style w:type="paragraph" w:customStyle="1" w:styleId="665">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666">
    <w:name w:val="Char Char Char"/>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667">
    <w:name w:val="CM48"/>
    <w:basedOn w:val="114"/>
    <w:next w:val="114"/>
    <w:qFormat/>
    <w:uiPriority w:val="0"/>
    <w:pPr>
      <w:spacing w:line="400" w:lineRule="atLeast"/>
    </w:pPr>
    <w:rPr>
      <w:rFonts w:hAnsi="Times New Roman"/>
      <w:color w:val="auto"/>
      <w:kern w:val="2"/>
      <w:szCs w:val="24"/>
    </w:rPr>
  </w:style>
  <w:style w:type="paragraph" w:customStyle="1" w:styleId="66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kern w:val="0"/>
      <w:sz w:val="24"/>
      <w:szCs w:val="22"/>
      <w:lang w:eastAsia="en-US" w:bidi="en-US"/>
    </w:rPr>
  </w:style>
  <w:style w:type="paragraph" w:customStyle="1" w:styleId="669">
    <w:name w:val="Char6"/>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670">
    <w:name w:val="Char Char Char Char1 Char Char Char Char Char1 Char1"/>
    <w:basedOn w:val="1"/>
    <w:qFormat/>
    <w:uiPriority w:val="0"/>
    <w:pPr>
      <w:spacing w:line="240" w:lineRule="atLeast"/>
      <w:ind w:left="420" w:firstLine="420"/>
    </w:pPr>
    <w:rPr>
      <w:rFonts w:ascii="Times New Roman" w:hAnsi="Times New Roman"/>
      <w:kern w:val="0"/>
      <w:szCs w:val="21"/>
    </w:rPr>
  </w:style>
  <w:style w:type="paragraph" w:customStyle="1" w:styleId="671">
    <w:name w:val="Char Char Char Char Char Char Char Char Char Char Char Char Char Char Char Char Char Char Char Char Char Char Char Char Char Char Char Char2"/>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672">
    <w:name w:val="注释"/>
    <w:basedOn w:val="3"/>
    <w:qFormat/>
    <w:uiPriority w:val="0"/>
    <w:pPr>
      <w:widowControl w:val="0"/>
      <w:spacing w:beforeLines="100" w:afterLines="100"/>
      <w:ind w:left="0"/>
      <w:jc w:val="center"/>
    </w:pPr>
    <w:rPr>
      <w:rFonts w:ascii="仿宋_GB2312" w:hAnsi="Times New Roman" w:eastAsia="仿宋_GB2312"/>
      <w:kern w:val="2"/>
      <w:sz w:val="36"/>
      <w:szCs w:val="24"/>
    </w:rPr>
  </w:style>
  <w:style w:type="paragraph" w:customStyle="1" w:styleId="673">
    <w:name w:val="Cap_标题_2"/>
    <w:next w:val="1"/>
    <w:qFormat/>
    <w:uiPriority w:val="0"/>
    <w:pPr>
      <w:keepNext/>
      <w:tabs>
        <w:tab w:val="left" w:pos="567"/>
      </w:tabs>
      <w:spacing w:before="180" w:after="120"/>
      <w:ind w:left="576" w:hanging="576"/>
      <w:outlineLvl w:val="1"/>
    </w:pPr>
    <w:rPr>
      <w:rFonts w:ascii="Arial" w:hAnsi="Arial" w:eastAsia="宋体" w:cs="Times New Roman"/>
      <w:b/>
      <w:sz w:val="24"/>
      <w:szCs w:val="24"/>
      <w:lang w:val="en-US" w:eastAsia="en-CA" w:bidi="ar-SA"/>
    </w:rPr>
  </w:style>
  <w:style w:type="paragraph" w:customStyle="1" w:styleId="674">
    <w:name w:val="自定样式2"/>
    <w:qFormat/>
    <w:uiPriority w:val="0"/>
    <w:pPr>
      <w:spacing w:line="480" w:lineRule="auto"/>
      <w:jc w:val="center"/>
    </w:pPr>
    <w:rPr>
      <w:rFonts w:ascii="宋体" w:hAnsi="宋体" w:eastAsia="宋体" w:cs="Times New Roman"/>
      <w:b/>
      <w:bCs/>
      <w:kern w:val="2"/>
      <w:sz w:val="28"/>
      <w:szCs w:val="24"/>
      <w:lang w:val="en-US" w:eastAsia="zh-CN" w:bidi="ar-SA"/>
    </w:rPr>
  </w:style>
  <w:style w:type="paragraph" w:customStyle="1" w:styleId="675">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kern w:val="0"/>
      <w:sz w:val="22"/>
      <w:szCs w:val="22"/>
      <w:lang w:eastAsia="en-US" w:bidi="en-US"/>
    </w:rPr>
  </w:style>
  <w:style w:type="paragraph" w:customStyle="1" w:styleId="676">
    <w:name w:val="表格"/>
    <w:basedOn w:val="1"/>
    <w:qFormat/>
    <w:uiPriority w:val="0"/>
    <w:pPr>
      <w:jc w:val="center"/>
      <w:textAlignment w:val="center"/>
    </w:pPr>
    <w:rPr>
      <w:rFonts w:ascii="华文细黑" w:hAnsi="华文细黑"/>
      <w:kern w:val="0"/>
      <w:szCs w:val="20"/>
    </w:rPr>
  </w:style>
  <w:style w:type="paragraph" w:customStyle="1" w:styleId="677">
    <w:name w:val="标题 0"/>
    <w:basedOn w:val="4"/>
    <w:qFormat/>
    <w:uiPriority w:val="0"/>
    <w:pPr>
      <w:keepNext w:val="0"/>
      <w:widowControl/>
      <w:autoSpaceDE w:val="0"/>
      <w:autoSpaceDN w:val="0"/>
      <w:spacing w:before="480" w:line="276" w:lineRule="auto"/>
      <w:ind w:left="425" w:hanging="425" w:firstLineChars="200"/>
      <w:jc w:val="left"/>
    </w:pPr>
    <w:rPr>
      <w:color w:val="000000"/>
      <w:kern w:val="0"/>
      <w:sz w:val="28"/>
      <w:szCs w:val="20"/>
    </w:rPr>
  </w:style>
  <w:style w:type="paragraph" w:customStyle="1" w:styleId="678">
    <w:name w:val="CM45"/>
    <w:basedOn w:val="114"/>
    <w:next w:val="114"/>
    <w:qFormat/>
    <w:uiPriority w:val="0"/>
    <w:pPr>
      <w:spacing w:line="440" w:lineRule="atLeast"/>
    </w:pPr>
    <w:rPr>
      <w:rFonts w:hAnsi="Times New Roman"/>
      <w:color w:val="auto"/>
      <w:kern w:val="2"/>
      <w:szCs w:val="24"/>
    </w:rPr>
  </w:style>
  <w:style w:type="paragraph" w:customStyle="1" w:styleId="679">
    <w:name w:val="Char2 Char Char Char Char Char Char1"/>
    <w:basedOn w:val="19"/>
    <w:qFormat/>
    <w:uiPriority w:val="0"/>
    <w:rPr>
      <w:rFonts w:ascii="宋体"/>
      <w:kern w:val="0"/>
      <w:sz w:val="18"/>
      <w:szCs w:val="18"/>
    </w:rPr>
  </w:style>
  <w:style w:type="paragraph" w:customStyle="1" w:styleId="680">
    <w:name w:val="Char Char Char Char Char Char Char Char Char Char Char Char Char Char Char Char Char Char Char Char Char Char Char Char Char Char Char Char1"/>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681">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82">
    <w:name w:val="彩色底纹 - 着色 11"/>
    <w:qFormat/>
    <w:uiPriority w:val="0"/>
    <w:rPr>
      <w:rFonts w:ascii="Times New Roman" w:hAnsi="Times New Roman" w:eastAsia="宋体" w:cs="Times New Roman"/>
      <w:kern w:val="2"/>
      <w:sz w:val="21"/>
      <w:szCs w:val="24"/>
      <w:lang w:val="en-US" w:eastAsia="zh-CN" w:bidi="ar-SA"/>
    </w:rPr>
  </w:style>
  <w:style w:type="paragraph" w:customStyle="1" w:styleId="6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84">
    <w:name w:val="TOC 2_0"/>
    <w:basedOn w:val="1"/>
    <w:next w:val="1"/>
    <w:qFormat/>
    <w:uiPriority w:val="39"/>
    <w:pPr>
      <w:widowControl/>
      <w:tabs>
        <w:tab w:val="right" w:leader="dot" w:pos="9530"/>
      </w:tabs>
      <w:spacing w:line="440" w:lineRule="exact"/>
      <w:ind w:left="198"/>
      <w:jc w:val="left"/>
    </w:pPr>
    <w:rPr>
      <w:rFonts w:ascii="宋体" w:hAnsi="宋体"/>
      <w:bCs/>
      <w:smallCaps/>
      <w:kern w:val="0"/>
      <w:szCs w:val="21"/>
    </w:rPr>
  </w:style>
  <w:style w:type="paragraph" w:customStyle="1" w:styleId="685">
    <w:name w:val="Char Char25"/>
    <w:next w:val="1"/>
    <w:qFormat/>
    <w:uiPriority w:val="0"/>
    <w:pPr>
      <w:keepNext/>
      <w:keepLines/>
      <w:spacing w:before="240" w:after="240"/>
      <w:ind w:left="624" w:hanging="624"/>
      <w:outlineLvl w:val="7"/>
    </w:pPr>
    <w:rPr>
      <w:rFonts w:ascii="Arial" w:hAnsi="Arial" w:eastAsia="黑体" w:cs="Arial"/>
      <w:snapToGrid w:val="0"/>
      <w:sz w:val="21"/>
      <w:szCs w:val="21"/>
      <w:lang w:val="en-US" w:eastAsia="zh-CN" w:bidi="ar-SA"/>
    </w:rPr>
  </w:style>
  <w:style w:type="paragraph" w:customStyle="1" w:styleId="686">
    <w:name w:val="CM219"/>
    <w:basedOn w:val="114"/>
    <w:next w:val="114"/>
    <w:qFormat/>
    <w:uiPriority w:val="0"/>
    <w:rPr>
      <w:rFonts w:hAnsi="Times New Roman"/>
      <w:color w:val="auto"/>
      <w:kern w:val="2"/>
      <w:szCs w:val="24"/>
    </w:rPr>
  </w:style>
  <w:style w:type="paragraph" w:customStyle="1" w:styleId="687">
    <w:name w:val="CM71"/>
    <w:basedOn w:val="114"/>
    <w:next w:val="114"/>
    <w:qFormat/>
    <w:uiPriority w:val="0"/>
    <w:pPr>
      <w:spacing w:line="553" w:lineRule="atLeast"/>
    </w:pPr>
    <w:rPr>
      <w:rFonts w:hAnsi="Times New Roman"/>
      <w:color w:val="auto"/>
      <w:kern w:val="2"/>
      <w:szCs w:val="24"/>
    </w:rPr>
  </w:style>
  <w:style w:type="paragraph" w:customStyle="1" w:styleId="688">
    <w:name w:val="p237"/>
    <w:basedOn w:val="1"/>
    <w:qFormat/>
    <w:uiPriority w:val="0"/>
    <w:pPr>
      <w:widowControl/>
      <w:jc w:val="left"/>
    </w:pPr>
    <w:rPr>
      <w:rFonts w:ascii="黑体" w:hAnsi="黑体" w:eastAsia="黑体" w:cs="宋体"/>
      <w:kern w:val="0"/>
      <w:sz w:val="25"/>
      <w:szCs w:val="25"/>
    </w:rPr>
  </w:style>
  <w:style w:type="paragraph" w:customStyle="1" w:styleId="689">
    <w:name w:val="Char Char Char Char1 Char Char Char Char Char1 Char Char Char1 Char"/>
    <w:basedOn w:val="1"/>
    <w:qFormat/>
    <w:uiPriority w:val="0"/>
    <w:pPr>
      <w:spacing w:line="240" w:lineRule="atLeast"/>
      <w:ind w:left="420" w:firstLine="420"/>
    </w:pPr>
    <w:rPr>
      <w:rFonts w:ascii="Times New Roman" w:hAnsi="Times New Roman"/>
    </w:rPr>
  </w:style>
  <w:style w:type="paragraph" w:customStyle="1" w:styleId="690">
    <w:name w:val="Char Char Char Char Char Char Char Char Char Char"/>
    <w:qFormat/>
    <w:uiPriority w:val="0"/>
    <w:pPr>
      <w:spacing w:before="240" w:after="240" w:line="360" w:lineRule="auto"/>
      <w:ind w:firstLine="200" w:firstLineChars="200"/>
      <w:jc w:val="both"/>
    </w:pPr>
    <w:rPr>
      <w:rFonts w:ascii="Calibri" w:hAnsi="Calibri" w:eastAsia="仿宋_GB2312" w:cs="宋体"/>
      <w:kern w:val="2"/>
      <w:sz w:val="24"/>
      <w:szCs w:val="24"/>
      <w:lang w:val="en-US" w:eastAsia="zh-CN" w:bidi="ar-SA"/>
    </w:rPr>
  </w:style>
  <w:style w:type="paragraph" w:customStyle="1" w:styleId="691">
    <w:name w:val="列表段落1"/>
    <w:basedOn w:val="1"/>
    <w:qFormat/>
    <w:uiPriority w:val="34"/>
    <w:pPr>
      <w:ind w:firstLine="420" w:firstLineChars="200"/>
    </w:pPr>
  </w:style>
  <w:style w:type="paragraph" w:customStyle="1" w:styleId="692">
    <w:name w:val="flName"/>
    <w:basedOn w:val="1"/>
    <w:qFormat/>
    <w:uiPriority w:val="0"/>
    <w:pPr>
      <w:widowControl/>
      <w:adjustRightInd w:val="0"/>
      <w:spacing w:before="320" w:after="160" w:line="360" w:lineRule="atLeast"/>
      <w:ind w:firstLine="200" w:firstLineChars="200"/>
      <w:jc w:val="center"/>
      <w:textAlignment w:val="baseline"/>
    </w:pPr>
    <w:rPr>
      <w:rFonts w:ascii="Arial" w:eastAsia="黑体"/>
      <w:kern w:val="0"/>
      <w:sz w:val="32"/>
      <w:lang w:eastAsia="en-US" w:bidi="en-US"/>
    </w:rPr>
  </w:style>
  <w:style w:type="paragraph" w:customStyle="1" w:styleId="693">
    <w:name w:val="Char Char Char Char Char Char Char1"/>
    <w:basedOn w:val="19"/>
    <w:qFormat/>
    <w:uiPriority w:val="0"/>
    <w:pPr>
      <w:adjustRightInd w:val="0"/>
      <w:spacing w:line="436" w:lineRule="exact"/>
      <w:ind w:left="357"/>
      <w:jc w:val="left"/>
      <w:outlineLvl w:val="3"/>
    </w:pPr>
    <w:rPr>
      <w:rFonts w:ascii="Tahoma" w:hAnsi="Tahoma"/>
      <w:b/>
      <w:sz w:val="24"/>
    </w:rPr>
  </w:style>
  <w:style w:type="paragraph" w:customStyle="1" w:styleId="694">
    <w:name w:val="样式 标题 2"/>
    <w:basedOn w:val="1"/>
    <w:next w:val="6"/>
    <w:qFormat/>
    <w:uiPriority w:val="0"/>
    <w:pPr>
      <w:snapToGrid w:val="0"/>
      <w:spacing w:line="360" w:lineRule="auto"/>
      <w:ind w:firstLine="200" w:firstLineChars="200"/>
    </w:pPr>
    <w:rPr>
      <w:rFonts w:ascii="Times New Roman" w:hAnsi="Times New Roman" w:eastAsia="仿宋_GB2312"/>
      <w:sz w:val="32"/>
      <w:szCs w:val="32"/>
    </w:rPr>
  </w:style>
  <w:style w:type="paragraph" w:customStyle="1" w:styleId="695">
    <w:name w:val="xl94"/>
    <w:basedOn w:val="1"/>
    <w:qFormat/>
    <w:uiPriority w:val="0"/>
    <w:pPr>
      <w:widowControl/>
      <w:pBdr>
        <w:bottom w:val="single" w:color="auto" w:sz="8" w:space="0"/>
      </w:pBdr>
      <w:spacing w:before="100" w:beforeAutospacing="1" w:after="100" w:afterAutospacing="1" w:line="276" w:lineRule="auto"/>
      <w:ind w:firstLine="200" w:firstLineChars="200"/>
      <w:jc w:val="left"/>
    </w:pPr>
    <w:rPr>
      <w:rFonts w:ascii="宋体" w:hAnsi="宋体"/>
      <w:kern w:val="0"/>
      <w:sz w:val="18"/>
      <w:szCs w:val="18"/>
      <w:lang w:eastAsia="en-US" w:bidi="en-US"/>
    </w:rPr>
  </w:style>
  <w:style w:type="paragraph" w:customStyle="1" w:styleId="696">
    <w:name w:val="附件标题1"/>
    <w:next w:val="1"/>
    <w:qFormat/>
    <w:uiPriority w:val="0"/>
    <w:pPr>
      <w:tabs>
        <w:tab w:val="left" w:pos="567"/>
      </w:tabs>
      <w:adjustRightInd w:val="0"/>
      <w:snapToGrid w:val="0"/>
      <w:spacing w:afterLines="50" w:line="312" w:lineRule="auto"/>
      <w:ind w:firstLine="400"/>
    </w:pPr>
    <w:rPr>
      <w:rFonts w:ascii="黑体" w:hAnsi="黑体" w:eastAsia="黑体" w:cs="Times New Roman"/>
      <w:b/>
      <w:kern w:val="2"/>
      <w:sz w:val="24"/>
      <w:szCs w:val="24"/>
      <w:lang w:val="en-US" w:eastAsia="zh-CN" w:bidi="ar-SA"/>
    </w:rPr>
  </w:style>
  <w:style w:type="paragraph" w:customStyle="1" w:styleId="697">
    <w:name w:val="Char Char Char Char Char Char Char Char Char Char Char Char Char Char Char1"/>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698">
    <w:name w:val="样式 样式 表格 + 全部大写 + 非全部大写"/>
    <w:basedOn w:val="1"/>
    <w:qFormat/>
    <w:uiPriority w:val="0"/>
    <w:pPr>
      <w:widowControl/>
      <w:topLinePunct/>
      <w:adjustRightInd w:val="0"/>
      <w:spacing w:before="120" w:after="120" w:line="360" w:lineRule="auto"/>
      <w:ind w:firstLine="200" w:firstLineChars="200"/>
      <w:jc w:val="left"/>
      <w:textAlignment w:val="baseline"/>
    </w:pPr>
    <w:rPr>
      <w:rFonts w:ascii="MingLiU" w:hAnsi="Times New Roman" w:eastAsia="MingLiU"/>
      <w:kern w:val="0"/>
      <w:sz w:val="24"/>
      <w:szCs w:val="20"/>
      <w:lang w:val="en-GB" w:eastAsia="zh-TW"/>
    </w:rPr>
  </w:style>
  <w:style w:type="paragraph" w:customStyle="1" w:styleId="699">
    <w:name w:val="TOC 1_0"/>
    <w:basedOn w:val="1"/>
    <w:next w:val="1"/>
    <w:unhideWhenUsed/>
    <w:qFormat/>
    <w:uiPriority w:val="39"/>
  </w:style>
  <w:style w:type="paragraph" w:customStyle="1" w:styleId="700">
    <w:name w:val="纯文本1"/>
    <w:basedOn w:val="1"/>
    <w:qFormat/>
    <w:uiPriority w:val="0"/>
    <w:rPr>
      <w:rFonts w:ascii="宋体" w:hAnsi="Courier New" w:cs="Courier New"/>
      <w:szCs w:val="21"/>
    </w:rPr>
  </w:style>
  <w:style w:type="paragraph" w:customStyle="1" w:styleId="701">
    <w:name w:val="协议书标题2"/>
    <w:basedOn w:val="5"/>
    <w:next w:val="1"/>
    <w:qFormat/>
    <w:uiPriority w:val="0"/>
    <w:pPr>
      <w:keepNext w:val="0"/>
      <w:keepLines w:val="0"/>
      <w:tabs>
        <w:tab w:val="left" w:pos="567"/>
      </w:tabs>
      <w:spacing w:line="360" w:lineRule="auto"/>
      <w:ind w:left="425"/>
    </w:pPr>
    <w:rPr>
      <w:rFonts w:ascii="宋体" w:hAnsi="宋体" w:eastAsia="宋体"/>
      <w:sz w:val="24"/>
    </w:rPr>
  </w:style>
  <w:style w:type="paragraph" w:customStyle="1" w:styleId="702">
    <w:name w:val="Char Char Char Char Char Char Char Char Char Char1"/>
    <w:basedOn w:val="1"/>
    <w:qFormat/>
    <w:uiPriority w:val="0"/>
    <w:pPr>
      <w:tabs>
        <w:tab w:val="left" w:pos="425"/>
      </w:tabs>
      <w:ind w:left="425" w:hanging="425"/>
    </w:pPr>
    <w:rPr>
      <w:rFonts w:ascii="Arial" w:hAnsi="Arial" w:eastAsia="黑体" w:cs="宋体"/>
      <w:b/>
      <w:bCs/>
      <w:sz w:val="32"/>
      <w:szCs w:val="32"/>
    </w:rPr>
  </w:style>
  <w:style w:type="paragraph" w:customStyle="1" w:styleId="703">
    <w:name w:val="CM217"/>
    <w:basedOn w:val="114"/>
    <w:next w:val="114"/>
    <w:qFormat/>
    <w:uiPriority w:val="0"/>
    <w:rPr>
      <w:rFonts w:hAnsi="Times New Roman"/>
      <w:color w:val="auto"/>
      <w:kern w:val="2"/>
      <w:szCs w:val="24"/>
    </w:rPr>
  </w:style>
  <w:style w:type="paragraph" w:customStyle="1" w:styleId="704">
    <w:name w:val="CM5"/>
    <w:basedOn w:val="114"/>
    <w:next w:val="114"/>
    <w:qFormat/>
    <w:uiPriority w:val="99"/>
    <w:pPr>
      <w:spacing w:line="180" w:lineRule="atLeast"/>
    </w:pPr>
    <w:rPr>
      <w:rFonts w:ascii="Times New Roman"/>
      <w:color w:val="auto"/>
      <w:szCs w:val="24"/>
    </w:rPr>
  </w:style>
  <w:style w:type="paragraph" w:customStyle="1" w:styleId="705">
    <w:name w:val="xl40"/>
    <w:basedOn w:val="1"/>
    <w:qFormat/>
    <w:uiPriority w:val="0"/>
    <w:pPr>
      <w:widowControl/>
      <w:pBdr>
        <w:left w:val="single" w:color="auto" w:sz="8"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kern w:val="0"/>
      <w:sz w:val="22"/>
      <w:szCs w:val="22"/>
      <w:lang w:eastAsia="en-US" w:bidi="en-US"/>
    </w:rPr>
  </w:style>
  <w:style w:type="paragraph" w:customStyle="1" w:styleId="706">
    <w:name w:val="日期1"/>
    <w:basedOn w:val="1"/>
    <w:next w:val="1"/>
    <w:qFormat/>
    <w:uiPriority w:val="0"/>
    <w:pPr>
      <w:widowControl/>
      <w:adjustRightInd w:val="0"/>
      <w:spacing w:after="200" w:line="360" w:lineRule="atLeast"/>
      <w:ind w:firstLine="200" w:firstLineChars="200"/>
      <w:jc w:val="left"/>
      <w:textAlignment w:val="baseline"/>
    </w:pPr>
    <w:rPr>
      <w:rFonts w:ascii="宋体"/>
      <w:kern w:val="0"/>
      <w:sz w:val="28"/>
      <w:lang w:eastAsia="en-US" w:bidi="en-US"/>
    </w:rPr>
  </w:style>
  <w:style w:type="paragraph" w:customStyle="1" w:styleId="707">
    <w:name w:val="CM59"/>
    <w:basedOn w:val="114"/>
    <w:next w:val="114"/>
    <w:qFormat/>
    <w:uiPriority w:val="0"/>
    <w:pPr>
      <w:spacing w:line="393" w:lineRule="atLeast"/>
    </w:pPr>
    <w:rPr>
      <w:rFonts w:hAnsi="Times New Roman"/>
      <w:color w:val="auto"/>
      <w:kern w:val="2"/>
      <w:szCs w:val="24"/>
    </w:rPr>
  </w:style>
  <w:style w:type="paragraph" w:customStyle="1" w:styleId="708">
    <w:name w:val="Identation 2"/>
    <w:qFormat/>
    <w:uiPriority w:val="0"/>
    <w:pPr>
      <w:overflowPunct w:val="0"/>
      <w:autoSpaceDE w:val="0"/>
      <w:autoSpaceDN w:val="0"/>
      <w:adjustRightInd w:val="0"/>
      <w:spacing w:before="120" w:after="60" w:line="288" w:lineRule="auto"/>
      <w:ind w:left="432"/>
      <w:jc w:val="both"/>
      <w:textAlignment w:val="baseline"/>
    </w:pPr>
    <w:rPr>
      <w:rFonts w:ascii="Calibri" w:hAnsi="Calibri" w:eastAsia="楷体_GB2312" w:cs="Times New Roman"/>
      <w:color w:val="000000"/>
      <w:sz w:val="24"/>
      <w:szCs w:val="22"/>
      <w:lang w:val="en-US" w:eastAsia="en-US" w:bidi="en-US"/>
    </w:rPr>
  </w:style>
  <w:style w:type="paragraph" w:customStyle="1" w:styleId="709">
    <w:name w:val="xl3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76" w:lineRule="auto"/>
      <w:ind w:firstLine="200" w:firstLineChars="200"/>
      <w:jc w:val="center"/>
    </w:pPr>
    <w:rPr>
      <w:rFonts w:ascii="宋体" w:hAnsi="宋体"/>
      <w:b/>
      <w:bCs/>
      <w:kern w:val="0"/>
      <w:sz w:val="22"/>
      <w:szCs w:val="22"/>
      <w:lang w:eastAsia="en-US" w:bidi="en-US"/>
    </w:rPr>
  </w:style>
  <w:style w:type="paragraph" w:customStyle="1" w:styleId="710">
    <w:name w:val="CM101"/>
    <w:basedOn w:val="114"/>
    <w:next w:val="114"/>
    <w:qFormat/>
    <w:uiPriority w:val="0"/>
    <w:pPr>
      <w:spacing w:line="340" w:lineRule="atLeast"/>
    </w:pPr>
    <w:rPr>
      <w:rFonts w:hAnsi="Times New Roman"/>
      <w:color w:val="auto"/>
      <w:kern w:val="2"/>
      <w:szCs w:val="24"/>
    </w:rPr>
  </w:style>
  <w:style w:type="paragraph" w:customStyle="1" w:styleId="711">
    <w:name w:val="CM73"/>
    <w:basedOn w:val="114"/>
    <w:next w:val="114"/>
    <w:qFormat/>
    <w:uiPriority w:val="0"/>
    <w:pPr>
      <w:spacing w:line="478" w:lineRule="atLeast"/>
    </w:pPr>
    <w:rPr>
      <w:rFonts w:hAnsi="Times New Roman"/>
      <w:color w:val="auto"/>
      <w:kern w:val="2"/>
      <w:szCs w:val="24"/>
    </w:rPr>
  </w:style>
  <w:style w:type="paragraph" w:customStyle="1" w:styleId="712">
    <w:name w:val="CM148"/>
    <w:basedOn w:val="114"/>
    <w:next w:val="114"/>
    <w:qFormat/>
    <w:uiPriority w:val="0"/>
    <w:rPr>
      <w:rFonts w:hAnsi="Times New Roman"/>
      <w:color w:val="auto"/>
      <w:kern w:val="2"/>
      <w:szCs w:val="24"/>
    </w:rPr>
  </w:style>
  <w:style w:type="paragraph" w:customStyle="1" w:styleId="713">
    <w:name w:val="P10"/>
    <w:basedOn w:val="714"/>
    <w:qFormat/>
    <w:uiPriority w:val="0"/>
    <w:pPr>
      <w:ind w:left="3240"/>
    </w:pPr>
    <w:rPr>
      <w:spacing w:val="20"/>
    </w:rPr>
  </w:style>
  <w:style w:type="paragraph" w:customStyle="1" w:styleId="714">
    <w:name w:val="P5"/>
    <w:qFormat/>
    <w:uiPriority w:val="0"/>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7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717">
    <w:name w:val="附表"/>
    <w:basedOn w:val="1"/>
    <w:qFormat/>
    <w:uiPriority w:val="0"/>
    <w:pPr>
      <w:adjustRightInd w:val="0"/>
      <w:snapToGrid w:val="0"/>
    </w:pPr>
    <w:rPr>
      <w:rFonts w:ascii="黑体" w:hAnsi="Times New Roman" w:eastAsia="黑体"/>
    </w:rPr>
  </w:style>
  <w:style w:type="paragraph" w:customStyle="1" w:styleId="718">
    <w:name w:val="通用标题5"/>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719">
    <w:name w:val="Table of Contents"/>
    <w:basedOn w:val="59"/>
    <w:qFormat/>
    <w:uiPriority w:val="0"/>
    <w:pPr>
      <w:widowControl/>
      <w:spacing w:beforeLines="0" w:after="480" w:afterAutospacing="0" w:line="240" w:lineRule="auto"/>
      <w:outlineLvl w:val="0"/>
    </w:pPr>
    <w:rPr>
      <w:rFonts w:ascii="B Frutiger Bold" w:hAnsi="B Frutiger Bold"/>
      <w:kern w:val="0"/>
      <w:sz w:val="24"/>
      <w:szCs w:val="20"/>
      <w:lang w:val="en-AU"/>
    </w:rPr>
  </w:style>
  <w:style w:type="paragraph" w:customStyle="1" w:styleId="720">
    <w:name w:val="zjl正文"/>
    <w:basedOn w:val="1"/>
    <w:qFormat/>
    <w:uiPriority w:val="0"/>
    <w:pPr>
      <w:spacing w:line="360" w:lineRule="auto"/>
      <w:ind w:right="210"/>
    </w:pPr>
    <w:rPr>
      <w:rFonts w:ascii="宋体" w:hAnsi="宋体"/>
      <w:b/>
      <w:szCs w:val="21"/>
    </w:rPr>
  </w:style>
  <w:style w:type="paragraph" w:customStyle="1" w:styleId="721">
    <w:name w:val="小标题"/>
    <w:basedOn w:val="1"/>
    <w:qFormat/>
    <w:uiPriority w:val="0"/>
    <w:pPr>
      <w:widowControl/>
      <w:tabs>
        <w:tab w:val="left" w:pos="987"/>
      </w:tabs>
      <w:overflowPunct w:val="0"/>
      <w:snapToGrid w:val="0"/>
      <w:spacing w:after="200" w:line="480" w:lineRule="exact"/>
      <w:ind w:left="987" w:hanging="420" w:firstLineChars="200"/>
      <w:jc w:val="left"/>
    </w:pPr>
    <w:rPr>
      <w:rFonts w:ascii="Arial" w:hAnsi="Arial" w:eastAsia="仿宋_GB2312"/>
      <w:b/>
      <w:kern w:val="0"/>
      <w:sz w:val="28"/>
      <w:lang w:eastAsia="en-US" w:bidi="en-US"/>
    </w:rPr>
  </w:style>
  <w:style w:type="paragraph" w:customStyle="1" w:styleId="722">
    <w:name w:val="CM195"/>
    <w:basedOn w:val="114"/>
    <w:next w:val="114"/>
    <w:qFormat/>
    <w:uiPriority w:val="0"/>
    <w:rPr>
      <w:rFonts w:hAnsi="Times New Roman"/>
      <w:color w:val="auto"/>
      <w:kern w:val="2"/>
      <w:szCs w:val="24"/>
    </w:rPr>
  </w:style>
  <w:style w:type="paragraph" w:customStyle="1" w:styleId="723">
    <w:name w:val="CM46"/>
    <w:basedOn w:val="114"/>
    <w:next w:val="114"/>
    <w:qFormat/>
    <w:uiPriority w:val="0"/>
    <w:pPr>
      <w:spacing w:line="313" w:lineRule="atLeast"/>
    </w:pPr>
    <w:rPr>
      <w:rFonts w:hAnsi="Times New Roman"/>
      <w:color w:val="auto"/>
      <w:kern w:val="2"/>
      <w:szCs w:val="24"/>
    </w:rPr>
  </w:style>
  <w:style w:type="paragraph" w:customStyle="1" w:styleId="724">
    <w:name w:val="附件标题"/>
    <w:basedOn w:val="5"/>
    <w:next w:val="1"/>
    <w:qFormat/>
    <w:uiPriority w:val="0"/>
    <w:pPr>
      <w:tabs>
        <w:tab w:val="left" w:pos="1134"/>
      </w:tabs>
      <w:spacing w:line="360" w:lineRule="auto"/>
      <w:ind w:left="3681"/>
      <w:jc w:val="center"/>
    </w:pPr>
    <w:rPr>
      <w:rFonts w:ascii="黑体" w:hAnsi="黑体"/>
      <w:sz w:val="30"/>
      <w:szCs w:val="30"/>
    </w:rPr>
  </w:style>
  <w:style w:type="paragraph" w:customStyle="1" w:styleId="725">
    <w:name w:val="附件"/>
    <w:basedOn w:val="1"/>
    <w:qFormat/>
    <w:uiPriority w:val="0"/>
    <w:pPr>
      <w:ind w:left="280" w:hanging="280" w:hangingChars="100"/>
      <w:jc w:val="left"/>
    </w:pPr>
    <w:rPr>
      <w:rFonts w:hint="eastAsia" w:ascii="宋体" w:hAnsi="宋体"/>
    </w:rPr>
  </w:style>
  <w:style w:type="paragraph" w:customStyle="1" w:styleId="726">
    <w:name w:val="合同文本"/>
    <w:basedOn w:val="1"/>
    <w:qFormat/>
    <w:uiPriority w:val="0"/>
    <w:pPr>
      <w:snapToGrid w:val="0"/>
      <w:spacing w:line="360" w:lineRule="auto"/>
      <w:ind w:firstLine="425" w:firstLineChars="177"/>
    </w:pPr>
    <w:rPr>
      <w:rFonts w:ascii="宋体" w:hAnsi="宋体"/>
      <w:szCs w:val="21"/>
    </w:rPr>
  </w:style>
  <w:style w:type="paragraph" w:customStyle="1" w:styleId="727">
    <w:name w:val="Char Char Char Char11"/>
    <w:basedOn w:val="1"/>
    <w:qFormat/>
    <w:uiPriority w:val="0"/>
    <w:pPr>
      <w:spacing w:line="240" w:lineRule="atLeast"/>
      <w:ind w:left="420" w:firstLine="420"/>
    </w:pPr>
    <w:rPr>
      <w:rFonts w:ascii="Times New Roman" w:hAnsi="Times New Roman"/>
      <w:kern w:val="0"/>
      <w:szCs w:val="21"/>
    </w:rPr>
  </w:style>
  <w:style w:type="paragraph" w:customStyle="1" w:styleId="728">
    <w:name w:val="样式 正文缩进正文（首行缩进两字）特点ALT+Z表正文正文非缩进四号段1Normal Indent Char2...2"/>
    <w:basedOn w:val="6"/>
    <w:qFormat/>
    <w:uiPriority w:val="0"/>
    <w:pPr>
      <w:tabs>
        <w:tab w:val="left" w:pos="1740"/>
      </w:tabs>
      <w:adjustRightInd w:val="0"/>
      <w:spacing w:before="360" w:after="120"/>
      <w:ind w:left="1740" w:hanging="420"/>
      <w:jc w:val="center"/>
      <w:textAlignment w:val="baseline"/>
    </w:pPr>
    <w:rPr>
      <w:rFonts w:ascii="宋体" w:hAnsi="宋体"/>
      <w:bCs w:val="0"/>
      <w:kern w:val="0"/>
      <w:sz w:val="28"/>
      <w:szCs w:val="28"/>
    </w:rPr>
  </w:style>
  <w:style w:type="paragraph" w:customStyle="1" w:styleId="729">
    <w:name w:val="xl8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730">
    <w:name w:val="CM208"/>
    <w:basedOn w:val="114"/>
    <w:next w:val="114"/>
    <w:qFormat/>
    <w:uiPriority w:val="0"/>
    <w:rPr>
      <w:rFonts w:hAnsi="Times New Roman"/>
      <w:color w:val="auto"/>
      <w:kern w:val="2"/>
      <w:szCs w:val="24"/>
    </w:rPr>
  </w:style>
  <w:style w:type="paragraph" w:customStyle="1" w:styleId="731">
    <w:name w:val="菲页2"/>
    <w:basedOn w:val="6"/>
    <w:qFormat/>
    <w:uiPriority w:val="0"/>
    <w:pPr>
      <w:keepLines w:val="0"/>
      <w:widowControl/>
      <w:tabs>
        <w:tab w:val="left" w:pos="945"/>
      </w:tabs>
      <w:spacing w:before="120" w:after="120" w:line="240" w:lineRule="auto"/>
      <w:ind w:left="945" w:hanging="375"/>
      <w:jc w:val="center"/>
    </w:pPr>
    <w:rPr>
      <w:rFonts w:hint="eastAsia" w:ascii="黑体" w:hAnsi="宋体" w:eastAsia="黑体"/>
      <w:b w:val="0"/>
      <w:sz w:val="44"/>
      <w:szCs w:val="26"/>
      <w:lang w:eastAsia="en-US" w:bidi="en-US"/>
    </w:rPr>
  </w:style>
  <w:style w:type="paragraph" w:customStyle="1" w:styleId="732">
    <w:name w:val="xl13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33">
    <w:name w:val="pa-34"/>
    <w:basedOn w:val="1"/>
    <w:qFormat/>
    <w:uiPriority w:val="0"/>
    <w:pPr>
      <w:widowControl/>
      <w:spacing w:line="360" w:lineRule="atLeast"/>
      <w:ind w:firstLine="420"/>
      <w:jc w:val="left"/>
    </w:pPr>
    <w:rPr>
      <w:rFonts w:ascii="宋体" w:hAnsi="宋体" w:cs="宋体"/>
      <w:kern w:val="0"/>
      <w:sz w:val="24"/>
    </w:rPr>
  </w:style>
  <w:style w:type="paragraph" w:customStyle="1" w:styleId="734">
    <w:name w:val="样式 正文缩进正文（首行缩进两字）特点ALT+Z表正文正文非缩进四号段1Normal Indent Char2...1"/>
    <w:basedOn w:val="5"/>
    <w:qFormat/>
    <w:uiPriority w:val="0"/>
    <w:pPr>
      <w:widowControl w:val="0"/>
      <w:adjustRightInd w:val="0"/>
      <w:spacing w:before="1320" w:after="240" w:line="300" w:lineRule="auto"/>
      <w:jc w:val="center"/>
      <w:textAlignment w:val="baseline"/>
    </w:pPr>
    <w:rPr>
      <w:rFonts w:cs="宋体"/>
    </w:rPr>
  </w:style>
  <w:style w:type="paragraph" w:customStyle="1" w:styleId="735">
    <w:name w:val="Revision2"/>
    <w:qFormat/>
    <w:uiPriority w:val="0"/>
    <w:rPr>
      <w:rFonts w:ascii="Times New Roman" w:hAnsi="Times New Roman" w:eastAsia="宋体" w:cs="Times New Roman"/>
      <w:kern w:val="2"/>
      <w:sz w:val="21"/>
      <w:szCs w:val="24"/>
      <w:lang w:val="en-US" w:eastAsia="zh-CN" w:bidi="ar-SA"/>
    </w:rPr>
  </w:style>
  <w:style w:type="paragraph" w:customStyle="1" w:styleId="736">
    <w:name w:val="首消息标题"/>
    <w:basedOn w:val="55"/>
    <w:next w:val="55"/>
    <w:qFormat/>
    <w:uiPriority w:val="0"/>
  </w:style>
  <w:style w:type="paragraph" w:customStyle="1" w:styleId="737">
    <w:name w:val="xl42"/>
    <w:basedOn w:val="1"/>
    <w:qFormat/>
    <w:uiPriority w:val="0"/>
    <w:pPr>
      <w:widowControl/>
      <w:pBdr>
        <w:left w:val="single" w:color="auto" w:sz="8" w:space="0"/>
        <w:bottom w:val="single" w:color="auto" w:sz="4"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kern w:val="0"/>
      <w:sz w:val="22"/>
      <w:szCs w:val="22"/>
      <w:lang w:eastAsia="en-US" w:bidi="en-US"/>
    </w:rPr>
  </w:style>
  <w:style w:type="paragraph" w:customStyle="1" w:styleId="738">
    <w:name w:val="样式 首行缩进:  2 字符2"/>
    <w:basedOn w:val="1"/>
    <w:qFormat/>
    <w:uiPriority w:val="0"/>
    <w:pPr>
      <w:spacing w:line="300" w:lineRule="auto"/>
      <w:ind w:firstLine="200" w:firstLineChars="200"/>
    </w:pPr>
    <w:rPr>
      <w:rFonts w:cs="宋体"/>
      <w:kern w:val="28"/>
      <w:sz w:val="24"/>
    </w:rPr>
  </w:style>
  <w:style w:type="paragraph" w:customStyle="1" w:styleId="739">
    <w:name w:val="TOC 标题1"/>
    <w:basedOn w:val="4"/>
    <w:next w:val="1"/>
    <w:qFormat/>
    <w:uiPriority w:val="39"/>
    <w:pPr>
      <w:widowControl/>
      <w:spacing w:before="480" w:line="276" w:lineRule="auto"/>
      <w:ind w:firstLine="200" w:firstLineChars="200"/>
      <w:jc w:val="left"/>
      <w:outlineLvl w:val="9"/>
    </w:pPr>
    <w:rPr>
      <w:rFonts w:ascii="Cambria" w:hAnsi="Cambria"/>
      <w:color w:val="365F91"/>
      <w:kern w:val="0"/>
      <w:sz w:val="28"/>
      <w:szCs w:val="28"/>
    </w:rPr>
  </w:style>
  <w:style w:type="paragraph" w:customStyle="1" w:styleId="740">
    <w:name w:val="通用标题2"/>
    <w:basedOn w:val="5"/>
    <w:next w:val="1"/>
    <w:qFormat/>
    <w:uiPriority w:val="0"/>
    <w:pPr>
      <w:keepNext w:val="0"/>
      <w:keepLines w:val="0"/>
      <w:tabs>
        <w:tab w:val="left" w:pos="993"/>
      </w:tabs>
      <w:spacing w:line="360" w:lineRule="auto"/>
    </w:pPr>
    <w:rPr>
      <w:rFonts w:ascii="黑体" w:hAnsi="黑体"/>
    </w:rPr>
  </w:style>
  <w:style w:type="paragraph" w:customStyle="1" w:styleId="741">
    <w:name w:val="font13"/>
    <w:basedOn w:val="1"/>
    <w:qFormat/>
    <w:uiPriority w:val="0"/>
    <w:pPr>
      <w:widowControl/>
      <w:spacing w:before="100" w:beforeAutospacing="1" w:after="100" w:afterAutospacing="1" w:line="276" w:lineRule="auto"/>
      <w:ind w:firstLine="200" w:firstLineChars="200"/>
      <w:jc w:val="left"/>
    </w:pPr>
    <w:rPr>
      <w:rFonts w:eastAsia="Arial Unicode MS"/>
      <w:b/>
      <w:bCs/>
      <w:kern w:val="0"/>
      <w:sz w:val="20"/>
      <w:lang w:eastAsia="en-US" w:bidi="en-US"/>
    </w:rPr>
  </w:style>
  <w:style w:type="paragraph" w:customStyle="1" w:styleId="742">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3">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4">
    <w:name w:val="Char Char Char Char1 Char Char Char"/>
    <w:basedOn w:val="1"/>
    <w:qFormat/>
    <w:uiPriority w:val="0"/>
    <w:pPr>
      <w:spacing w:line="240" w:lineRule="atLeast"/>
      <w:ind w:left="420" w:firstLine="420"/>
    </w:pPr>
    <w:rPr>
      <w:rFonts w:ascii="Times New Roman" w:hAnsi="Times New Roman"/>
      <w:kern w:val="0"/>
      <w:sz w:val="20"/>
      <w:szCs w:val="20"/>
    </w:rPr>
  </w:style>
  <w:style w:type="paragraph" w:customStyle="1" w:styleId="745">
    <w:name w:val="正文文字3"/>
    <w:basedOn w:val="23"/>
    <w:qFormat/>
    <w:uiPriority w:val="0"/>
    <w:pPr>
      <w:adjustRightInd w:val="0"/>
      <w:spacing w:after="0" w:line="360" w:lineRule="atLeast"/>
      <w:ind w:left="57" w:right="57" w:firstLine="200" w:firstLineChars="200"/>
      <w:textAlignment w:val="baseline"/>
    </w:pPr>
  </w:style>
  <w:style w:type="paragraph" w:customStyle="1" w:styleId="746">
    <w:name w:val="xl8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ind w:firstLine="200" w:firstLineChars="200"/>
      <w:jc w:val="center"/>
    </w:pPr>
    <w:rPr>
      <w:rFonts w:ascii="宋体" w:hAnsi="宋体"/>
      <w:b/>
      <w:bCs/>
      <w:kern w:val="0"/>
      <w:sz w:val="22"/>
      <w:szCs w:val="22"/>
      <w:lang w:eastAsia="en-US" w:bidi="en-US"/>
    </w:rPr>
  </w:style>
  <w:style w:type="paragraph" w:customStyle="1" w:styleId="747">
    <w:name w:val="正文4"/>
    <w:basedOn w:val="1"/>
    <w:qFormat/>
    <w:uiPriority w:val="0"/>
    <w:pPr>
      <w:widowControl/>
      <w:spacing w:after="200" w:line="360" w:lineRule="auto"/>
      <w:ind w:left="400" w:leftChars="400" w:firstLine="200" w:firstLineChars="200"/>
      <w:jc w:val="left"/>
    </w:pPr>
    <w:rPr>
      <w:rFonts w:ascii="宋体"/>
      <w:kern w:val="0"/>
      <w:sz w:val="24"/>
      <w:szCs w:val="22"/>
      <w:lang w:eastAsia="en-US" w:bidi="en-US"/>
    </w:rPr>
  </w:style>
  <w:style w:type="paragraph" w:customStyle="1" w:styleId="74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749">
    <w:name w:val="Char6 Char Char Char2"/>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750">
    <w:name w:val="大标题"/>
    <w:qFormat/>
    <w:uiPriority w:val="0"/>
    <w:pPr>
      <w:spacing w:after="200" w:line="276" w:lineRule="auto"/>
      <w:ind w:firstLine="200" w:firstLineChars="200"/>
      <w:jc w:val="center"/>
    </w:pPr>
    <w:rPr>
      <w:rFonts w:ascii="Calibri" w:hAnsi="Calibri" w:eastAsia="楷体_GB2312" w:cs="Times New Roman"/>
      <w:b/>
      <w:sz w:val="48"/>
      <w:szCs w:val="22"/>
      <w:lang w:val="en-US" w:eastAsia="en-US" w:bidi="en-US"/>
    </w:rPr>
  </w:style>
  <w:style w:type="paragraph" w:customStyle="1" w:styleId="751">
    <w:name w:val="Cap_标题_3"/>
    <w:next w:val="1"/>
    <w:qFormat/>
    <w:uiPriority w:val="0"/>
    <w:pPr>
      <w:keepNext/>
      <w:tabs>
        <w:tab w:val="left" w:pos="709"/>
      </w:tabs>
      <w:spacing w:before="180" w:after="120"/>
      <w:ind w:left="720" w:hanging="720"/>
      <w:outlineLvl w:val="2"/>
    </w:pPr>
    <w:rPr>
      <w:rFonts w:ascii="Arial" w:hAnsi="Arial" w:eastAsia="宋体" w:cs="Arial"/>
      <w:bCs/>
      <w:sz w:val="24"/>
      <w:szCs w:val="24"/>
      <w:lang w:val="en-US" w:eastAsia="en-CA" w:bidi="ar-SA"/>
    </w:rPr>
  </w:style>
  <w:style w:type="paragraph" w:customStyle="1" w:styleId="752">
    <w:name w:val="p12"/>
    <w:basedOn w:val="1"/>
    <w:qFormat/>
    <w:uiPriority w:val="0"/>
    <w:pPr>
      <w:widowControl/>
      <w:spacing w:line="480" w:lineRule="auto"/>
      <w:jc w:val="left"/>
    </w:pPr>
    <w:rPr>
      <w:rFonts w:ascii="宋体" w:hAnsi="宋体" w:cs="宋体"/>
      <w:kern w:val="0"/>
      <w:szCs w:val="21"/>
    </w:rPr>
  </w:style>
  <w:style w:type="paragraph" w:customStyle="1" w:styleId="753">
    <w:name w:val="Normal1"/>
    <w:next w:val="1"/>
    <w:qFormat/>
    <w:uiPriority w:val="0"/>
    <w:pPr>
      <w:overflowPunct w:val="0"/>
      <w:autoSpaceDE w:val="0"/>
      <w:autoSpaceDN w:val="0"/>
      <w:adjustRightInd w:val="0"/>
      <w:spacing w:after="200" w:line="276" w:lineRule="auto"/>
      <w:ind w:firstLine="200" w:firstLineChars="200"/>
      <w:jc w:val="both"/>
      <w:textAlignment w:val="baseline"/>
    </w:pPr>
    <w:rPr>
      <w:rFonts w:ascii="Times" w:hAnsi="Times" w:eastAsia="宋体" w:cs="Times New Roman"/>
      <w:sz w:val="24"/>
      <w:szCs w:val="22"/>
      <w:lang w:val="fr-FR" w:eastAsia="en-US" w:bidi="en-US"/>
    </w:rPr>
  </w:style>
  <w:style w:type="paragraph" w:customStyle="1" w:styleId="754">
    <w:name w:val="消息标题标签"/>
    <w:basedOn w:val="55"/>
    <w:next w:val="55"/>
    <w:qFormat/>
    <w:uiPriority w:val="0"/>
    <w:pPr>
      <w:spacing w:before="40" w:after="0"/>
      <w:ind w:left="0"/>
    </w:pPr>
    <w:rPr>
      <w:rFonts w:eastAsia="楷体_GB2312"/>
      <w:b/>
      <w:caps/>
      <w:spacing w:val="0"/>
      <w:position w:val="6"/>
      <w:sz w:val="21"/>
    </w:rPr>
  </w:style>
  <w:style w:type="paragraph" w:customStyle="1" w:styleId="755">
    <w:name w:val="目录文字"/>
    <w:basedOn w:val="1"/>
    <w:qFormat/>
    <w:uiPriority w:val="0"/>
    <w:pPr>
      <w:widowControl/>
      <w:spacing w:line="480" w:lineRule="auto"/>
      <w:jc w:val="left"/>
    </w:pPr>
    <w:rPr>
      <w:rFonts w:ascii="宋体" w:hAnsi="宋体"/>
      <w:kern w:val="0"/>
      <w:sz w:val="24"/>
      <w:szCs w:val="20"/>
    </w:rPr>
  </w:style>
  <w:style w:type="paragraph" w:customStyle="1" w:styleId="75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57">
    <w:name w:val="CM70"/>
    <w:basedOn w:val="114"/>
    <w:next w:val="114"/>
    <w:qFormat/>
    <w:uiPriority w:val="0"/>
    <w:pPr>
      <w:spacing w:line="556" w:lineRule="atLeast"/>
    </w:pPr>
    <w:rPr>
      <w:rFonts w:hAnsi="Times New Roman"/>
      <w:color w:val="auto"/>
      <w:kern w:val="2"/>
      <w:szCs w:val="24"/>
    </w:rPr>
  </w:style>
  <w:style w:type="paragraph" w:customStyle="1" w:styleId="758">
    <w:name w:val="CM39"/>
    <w:basedOn w:val="114"/>
    <w:next w:val="114"/>
    <w:qFormat/>
    <w:uiPriority w:val="0"/>
    <w:pPr>
      <w:spacing w:line="406" w:lineRule="atLeast"/>
    </w:pPr>
    <w:rPr>
      <w:rFonts w:hAnsi="Times New Roman"/>
      <w:color w:val="auto"/>
      <w:kern w:val="2"/>
      <w:szCs w:val="24"/>
    </w:rPr>
  </w:style>
  <w:style w:type="paragraph" w:customStyle="1" w:styleId="7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60">
    <w:name w:val="font11"/>
    <w:basedOn w:val="1"/>
    <w:qFormat/>
    <w:uiPriority w:val="0"/>
    <w:pPr>
      <w:widowControl/>
      <w:spacing w:before="100" w:beforeAutospacing="1" w:after="100" w:afterAutospacing="1" w:line="276" w:lineRule="auto"/>
      <w:ind w:firstLine="200" w:firstLineChars="200"/>
      <w:jc w:val="left"/>
    </w:pPr>
    <w:rPr>
      <w:b/>
      <w:bCs/>
      <w:kern w:val="0"/>
      <w:sz w:val="24"/>
      <w:szCs w:val="22"/>
      <w:lang w:eastAsia="en-US" w:bidi="en-US"/>
    </w:rPr>
  </w:style>
  <w:style w:type="paragraph" w:customStyle="1" w:styleId="761">
    <w:name w:val="Normal_3"/>
    <w:qFormat/>
    <w:uiPriority w:val="0"/>
    <w:pPr>
      <w:widowControl w:val="0"/>
      <w:jc w:val="both"/>
    </w:pPr>
    <w:rPr>
      <w:rFonts w:ascii="Calibri" w:hAnsi="Calibri" w:eastAsia="宋体" w:cs="Times New Roman"/>
      <w:lang w:val="en-US" w:eastAsia="zh-CN" w:bidi="ar-SA"/>
    </w:rPr>
  </w:style>
  <w:style w:type="paragraph" w:customStyle="1" w:styleId="762">
    <w:name w:val="Char Char Char Char Char Char Char Char Char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763">
    <w:name w:val="Char6 Char Char Char"/>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764">
    <w:name w:val="样式 标题 1 + 居中"/>
    <w:basedOn w:val="4"/>
    <w:qFormat/>
    <w:uiPriority w:val="0"/>
    <w:pPr>
      <w:spacing w:line="578" w:lineRule="auto"/>
      <w:jc w:val="center"/>
    </w:pPr>
    <w:rPr>
      <w:rFonts w:ascii="Times New Roman" w:hAnsi="Times New Roman" w:cs="宋体"/>
      <w:sz w:val="30"/>
      <w:szCs w:val="20"/>
    </w:rPr>
  </w:style>
  <w:style w:type="paragraph" w:customStyle="1" w:styleId="765">
    <w:name w:val="CM2"/>
    <w:basedOn w:val="114"/>
    <w:next w:val="114"/>
    <w:qFormat/>
    <w:uiPriority w:val="99"/>
    <w:pPr>
      <w:spacing w:line="188" w:lineRule="atLeast"/>
    </w:pPr>
    <w:rPr>
      <w:rFonts w:ascii="Times New Roman"/>
      <w:color w:val="auto"/>
      <w:szCs w:val="24"/>
    </w:rPr>
  </w:style>
  <w:style w:type="paragraph" w:customStyle="1" w:styleId="766">
    <w:name w:val="pa-15"/>
    <w:basedOn w:val="1"/>
    <w:qFormat/>
    <w:uiPriority w:val="0"/>
    <w:pPr>
      <w:widowControl/>
      <w:spacing w:line="320" w:lineRule="atLeast"/>
    </w:pPr>
    <w:rPr>
      <w:rFonts w:ascii="宋体" w:hAnsi="宋体" w:cs="宋体"/>
      <w:kern w:val="0"/>
      <w:sz w:val="24"/>
    </w:rPr>
  </w:style>
  <w:style w:type="paragraph" w:customStyle="1" w:styleId="767">
    <w:name w:val="Char Char Char Char Char Char Char Char Char Char12"/>
    <w:basedOn w:val="1"/>
    <w:qFormat/>
    <w:uiPriority w:val="0"/>
    <w:pPr>
      <w:tabs>
        <w:tab w:val="left" w:pos="425"/>
      </w:tabs>
      <w:ind w:left="425" w:hanging="425"/>
    </w:pPr>
    <w:rPr>
      <w:rFonts w:ascii="Arial" w:hAnsi="Arial" w:eastAsia="黑体" w:cs="宋体"/>
      <w:b/>
      <w:bCs/>
      <w:sz w:val="32"/>
      <w:szCs w:val="32"/>
    </w:rPr>
  </w:style>
  <w:style w:type="paragraph" w:customStyle="1" w:styleId="768">
    <w:name w:val="CM99"/>
    <w:basedOn w:val="114"/>
    <w:next w:val="114"/>
    <w:qFormat/>
    <w:uiPriority w:val="0"/>
    <w:pPr>
      <w:spacing w:after="443" w:line="276" w:lineRule="auto"/>
      <w:ind w:firstLine="200" w:firstLineChars="200"/>
      <w:jc w:val="both"/>
    </w:pPr>
    <w:rPr>
      <w:color w:val="auto"/>
      <w:szCs w:val="24"/>
      <w:lang w:eastAsia="en-US" w:bidi="en-US"/>
    </w:rPr>
  </w:style>
  <w:style w:type="paragraph" w:customStyle="1" w:styleId="769">
    <w:name w:val="CM60"/>
    <w:basedOn w:val="114"/>
    <w:next w:val="114"/>
    <w:qFormat/>
    <w:uiPriority w:val="99"/>
    <w:rPr>
      <w:rFonts w:ascii="Times New Roman"/>
      <w:color w:val="auto"/>
      <w:szCs w:val="24"/>
    </w:rPr>
  </w:style>
  <w:style w:type="paragraph" w:customStyle="1" w:styleId="770">
    <w:name w:val="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xl6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line="276" w:lineRule="auto"/>
      <w:ind w:firstLine="200" w:firstLineChars="200"/>
      <w:jc w:val="right"/>
    </w:pPr>
    <w:rPr>
      <w:rFonts w:ascii="宋体" w:hAnsi="宋体"/>
      <w:color w:val="FF0000"/>
      <w:kern w:val="0"/>
      <w:sz w:val="22"/>
      <w:szCs w:val="22"/>
      <w:lang w:eastAsia="en-US" w:bidi="en-US"/>
    </w:rPr>
  </w:style>
  <w:style w:type="paragraph" w:customStyle="1" w:styleId="772">
    <w:name w:val="blockquote"/>
    <w:basedOn w:val="1"/>
    <w:qFormat/>
    <w:uiPriority w:val="0"/>
    <w:pPr>
      <w:widowControl/>
      <w:autoSpaceDE w:val="0"/>
      <w:autoSpaceDN w:val="0"/>
      <w:spacing w:before="100" w:after="100"/>
      <w:ind w:left="360" w:right="360"/>
      <w:jc w:val="left"/>
    </w:pPr>
    <w:rPr>
      <w:kern w:val="0"/>
      <w:sz w:val="24"/>
    </w:rPr>
  </w:style>
  <w:style w:type="paragraph" w:customStyle="1" w:styleId="773">
    <w:name w:val="Char1 Char Char Char"/>
    <w:basedOn w:val="1"/>
    <w:qFormat/>
    <w:uiPriority w:val="0"/>
    <w:pPr>
      <w:snapToGrid w:val="0"/>
      <w:spacing w:line="360" w:lineRule="auto"/>
      <w:ind w:firstLine="200" w:firstLineChars="200"/>
    </w:pPr>
    <w:rPr>
      <w:rFonts w:eastAsia="仿宋_GB2312"/>
      <w:sz w:val="24"/>
    </w:rPr>
  </w:style>
  <w:style w:type="paragraph" w:customStyle="1" w:styleId="774">
    <w:name w:val="p55"/>
    <w:basedOn w:val="1"/>
    <w:qFormat/>
    <w:uiPriority w:val="0"/>
    <w:pPr>
      <w:widowControl/>
      <w:jc w:val="left"/>
    </w:pPr>
    <w:rPr>
      <w:rFonts w:ascii="宋体" w:hAnsi="宋体" w:cs="宋体"/>
      <w:kern w:val="0"/>
      <w:szCs w:val="21"/>
    </w:rPr>
  </w:style>
  <w:style w:type="paragraph" w:customStyle="1" w:styleId="77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76">
    <w:name w:val="P2"/>
    <w:qFormat/>
    <w:uiPriority w:val="0"/>
    <w:pPr>
      <w:widowControl w:val="0"/>
      <w:adjustRightInd w:val="0"/>
      <w:spacing w:after="240" w:line="240" w:lineRule="atLeast"/>
      <w:ind w:left="1728"/>
      <w:jc w:val="both"/>
      <w:textAlignment w:val="baseline"/>
    </w:pPr>
    <w:rPr>
      <w:rFonts w:ascii="Times New Roman" w:hAnsi="Times New Roman" w:eastAsia="全真中明體" w:cs="Times New Roman"/>
      <w:spacing w:val="20"/>
      <w:sz w:val="24"/>
      <w:lang w:val="en-GB" w:eastAsia="zh-TW" w:bidi="ar-SA"/>
    </w:rPr>
  </w:style>
  <w:style w:type="paragraph" w:customStyle="1" w:styleId="777">
    <w:name w:val="xl6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line="276" w:lineRule="auto"/>
      <w:ind w:firstLine="200" w:firstLineChars="200"/>
      <w:jc w:val="right"/>
    </w:pPr>
    <w:rPr>
      <w:rFonts w:ascii="宋体" w:hAnsi="宋体"/>
      <w:color w:val="FF0000"/>
      <w:kern w:val="0"/>
      <w:sz w:val="22"/>
      <w:szCs w:val="22"/>
      <w:lang w:eastAsia="en-US" w:bidi="en-US"/>
    </w:rPr>
  </w:style>
  <w:style w:type="paragraph" w:customStyle="1" w:styleId="778">
    <w:name w:val="P6"/>
    <w:qFormat/>
    <w:uiPriority w:val="0"/>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779">
    <w:name w:val="xl1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780">
    <w:name w:val="CM72"/>
    <w:basedOn w:val="114"/>
    <w:next w:val="114"/>
    <w:qFormat/>
    <w:uiPriority w:val="0"/>
    <w:pPr>
      <w:spacing w:line="518" w:lineRule="atLeast"/>
    </w:pPr>
    <w:rPr>
      <w:rFonts w:hAnsi="Times New Roman"/>
      <w:color w:val="auto"/>
      <w:kern w:val="2"/>
      <w:szCs w:val="24"/>
    </w:rPr>
  </w:style>
  <w:style w:type="paragraph" w:customStyle="1" w:styleId="781">
    <w:name w:val="CM123"/>
    <w:basedOn w:val="114"/>
    <w:next w:val="114"/>
    <w:qFormat/>
    <w:uiPriority w:val="0"/>
    <w:pPr>
      <w:spacing w:line="273" w:lineRule="atLeast"/>
    </w:pPr>
    <w:rPr>
      <w:rFonts w:hAnsi="Times New Roman"/>
      <w:color w:val="auto"/>
      <w:kern w:val="2"/>
      <w:szCs w:val="24"/>
    </w:rPr>
  </w:style>
  <w:style w:type="paragraph" w:customStyle="1" w:styleId="782">
    <w:name w:val="样式 标题 3 + (中文) 黑体 小四 非加粗 段前: 7.8 磅 段后: 0 磅 行距: 固定值 20 磅"/>
    <w:basedOn w:val="6"/>
    <w:qFormat/>
    <w:uiPriority w:val="0"/>
    <w:pPr>
      <w:spacing w:line="400" w:lineRule="exact"/>
      <w:ind w:firstLine="137" w:firstLineChars="49"/>
    </w:pPr>
    <w:rPr>
      <w:rFonts w:ascii="黑体" w:hAnsi="宋体" w:eastAsia="黑体" w:cs="宋体"/>
      <w:b w:val="0"/>
      <w:bCs w:val="0"/>
      <w:szCs w:val="20"/>
    </w:rPr>
  </w:style>
  <w:style w:type="paragraph" w:customStyle="1" w:styleId="783">
    <w:name w:val="p230"/>
    <w:basedOn w:val="1"/>
    <w:qFormat/>
    <w:uiPriority w:val="0"/>
    <w:pPr>
      <w:widowControl/>
      <w:ind w:firstLine="1575"/>
      <w:jc w:val="left"/>
    </w:pPr>
    <w:rPr>
      <w:rFonts w:ascii="宋体" w:hAnsi="宋体" w:cs="宋体"/>
      <w:kern w:val="0"/>
      <w:szCs w:val="21"/>
    </w:rPr>
  </w:style>
  <w:style w:type="paragraph" w:customStyle="1" w:styleId="784">
    <w:name w:val="CM124"/>
    <w:basedOn w:val="114"/>
    <w:next w:val="114"/>
    <w:qFormat/>
    <w:uiPriority w:val="0"/>
    <w:pPr>
      <w:spacing w:line="273" w:lineRule="atLeast"/>
    </w:pPr>
    <w:rPr>
      <w:rFonts w:hAnsi="Times New Roman"/>
      <w:color w:val="auto"/>
      <w:kern w:val="2"/>
      <w:szCs w:val="24"/>
    </w:rPr>
  </w:style>
  <w:style w:type="paragraph" w:customStyle="1" w:styleId="785">
    <w:name w:val="Normal_6"/>
    <w:qFormat/>
    <w:uiPriority w:val="0"/>
    <w:pPr>
      <w:widowControl w:val="0"/>
      <w:jc w:val="both"/>
    </w:pPr>
    <w:rPr>
      <w:rFonts w:ascii="Times New Roman" w:hAnsi="Times New Roman" w:eastAsia="宋体" w:cs="Times New Roman"/>
      <w:lang w:val="en-US" w:eastAsia="zh-CN" w:bidi="ar-SA"/>
    </w:rPr>
  </w:style>
  <w:style w:type="paragraph" w:customStyle="1" w:styleId="786">
    <w:name w:val="规范文本"/>
    <w:basedOn w:val="30"/>
    <w:qFormat/>
    <w:uiPriority w:val="0"/>
    <w:pPr>
      <w:adjustRightInd w:val="0"/>
      <w:snapToGrid w:val="0"/>
      <w:spacing w:line="360" w:lineRule="exact"/>
      <w:ind w:firstLine="420"/>
    </w:pPr>
    <w:rPr>
      <w:snapToGrid w:val="0"/>
      <w:kern w:val="0"/>
      <w:sz w:val="20"/>
    </w:rPr>
  </w:style>
  <w:style w:type="paragraph" w:customStyle="1" w:styleId="787">
    <w:name w:val="CM92"/>
    <w:basedOn w:val="114"/>
    <w:next w:val="114"/>
    <w:qFormat/>
    <w:uiPriority w:val="0"/>
    <w:pPr>
      <w:spacing w:line="398" w:lineRule="atLeast"/>
    </w:pPr>
    <w:rPr>
      <w:rFonts w:hAnsi="Times New Roman"/>
      <w:color w:val="auto"/>
      <w:kern w:val="2"/>
      <w:szCs w:val="24"/>
    </w:rPr>
  </w:style>
  <w:style w:type="paragraph" w:customStyle="1" w:styleId="788">
    <w:name w:val="样式 首行缩进:  0.99 厘米"/>
    <w:basedOn w:val="1"/>
    <w:qFormat/>
    <w:uiPriority w:val="0"/>
    <w:pPr>
      <w:spacing w:line="360" w:lineRule="auto"/>
      <w:ind w:firstLine="561"/>
    </w:pPr>
    <w:rPr>
      <w:rFonts w:cs="宋体"/>
      <w:sz w:val="28"/>
    </w:rPr>
  </w:style>
  <w:style w:type="paragraph" w:customStyle="1" w:styleId="789">
    <w:name w:val="Char Char Char Char Char Char Char Char Char"/>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790">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right"/>
    </w:pPr>
    <w:rPr>
      <w:rFonts w:ascii="宋体" w:hAnsi="宋体"/>
      <w:b/>
      <w:bCs/>
      <w:color w:val="FF0000"/>
      <w:kern w:val="0"/>
      <w:sz w:val="22"/>
      <w:szCs w:val="22"/>
      <w:lang w:eastAsia="en-US" w:bidi="en-US"/>
    </w:rPr>
  </w:style>
  <w:style w:type="paragraph" w:customStyle="1" w:styleId="791">
    <w:name w:val="Char31"/>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792">
    <w:name w:val="CM108"/>
    <w:basedOn w:val="114"/>
    <w:next w:val="114"/>
    <w:qFormat/>
    <w:uiPriority w:val="0"/>
    <w:pPr>
      <w:spacing w:line="340" w:lineRule="atLeast"/>
    </w:pPr>
    <w:rPr>
      <w:rFonts w:hAnsi="Times New Roman"/>
      <w:color w:val="auto"/>
      <w:kern w:val="2"/>
      <w:szCs w:val="24"/>
    </w:rPr>
  </w:style>
  <w:style w:type="paragraph" w:customStyle="1" w:styleId="793">
    <w:name w:val="CM97"/>
    <w:basedOn w:val="114"/>
    <w:next w:val="114"/>
    <w:qFormat/>
    <w:uiPriority w:val="0"/>
    <w:pPr>
      <w:spacing w:line="346" w:lineRule="atLeast"/>
    </w:pPr>
    <w:rPr>
      <w:rFonts w:hAnsi="Times New Roman"/>
      <w:color w:val="auto"/>
      <w:kern w:val="2"/>
      <w:szCs w:val="24"/>
    </w:rPr>
  </w:style>
  <w:style w:type="paragraph" w:customStyle="1" w:styleId="794">
    <w:name w:val="CM177"/>
    <w:basedOn w:val="114"/>
    <w:next w:val="114"/>
    <w:qFormat/>
    <w:uiPriority w:val="0"/>
    <w:rPr>
      <w:rFonts w:hAnsi="Times New Roman"/>
      <w:color w:val="auto"/>
      <w:kern w:val="2"/>
      <w:szCs w:val="24"/>
    </w:rPr>
  </w:style>
  <w:style w:type="paragraph" w:customStyle="1" w:styleId="795">
    <w:name w:val="Char12"/>
    <w:basedOn w:val="1"/>
    <w:qFormat/>
    <w:uiPriority w:val="99"/>
    <w:pPr>
      <w:tabs>
        <w:tab w:val="left" w:pos="360"/>
      </w:tabs>
    </w:pPr>
    <w:rPr>
      <w:rFonts w:ascii="Times New Roman" w:hAnsi="Times New Roman"/>
      <w:sz w:val="24"/>
    </w:rPr>
  </w:style>
  <w:style w:type="paragraph" w:customStyle="1" w:styleId="796">
    <w:name w:val="CM42"/>
    <w:basedOn w:val="114"/>
    <w:next w:val="114"/>
    <w:qFormat/>
    <w:uiPriority w:val="0"/>
    <w:pPr>
      <w:spacing w:line="440" w:lineRule="atLeast"/>
    </w:pPr>
    <w:rPr>
      <w:rFonts w:hAnsi="Times New Roman"/>
      <w:color w:val="auto"/>
      <w:kern w:val="2"/>
      <w:szCs w:val="24"/>
    </w:rPr>
  </w:style>
  <w:style w:type="paragraph" w:customStyle="1" w:styleId="797">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98">
    <w:name w:val="a5"/>
    <w:basedOn w:val="1"/>
    <w:qFormat/>
    <w:uiPriority w:val="0"/>
    <w:pPr>
      <w:widowControl/>
      <w:spacing w:before="100" w:beforeAutospacing="1" w:after="100" w:afterAutospacing="1"/>
      <w:jc w:val="left"/>
    </w:pPr>
    <w:rPr>
      <w:rFonts w:ascii="宋体" w:hAnsi="宋体" w:cs="宋体"/>
      <w:kern w:val="0"/>
      <w:sz w:val="24"/>
    </w:rPr>
  </w:style>
  <w:style w:type="paragraph" w:customStyle="1" w:styleId="799">
    <w:name w:val="Char Char Char Char Char Char Char Char Char Char Char Char"/>
    <w:basedOn w:val="1"/>
    <w:qFormat/>
    <w:uiPriority w:val="0"/>
    <w:pPr>
      <w:spacing w:line="240" w:lineRule="atLeast"/>
      <w:ind w:left="420" w:firstLine="420"/>
    </w:pPr>
    <w:rPr>
      <w:rFonts w:ascii="Times New Roman" w:hAnsi="Times New Roman"/>
      <w:kern w:val="0"/>
      <w:szCs w:val="21"/>
    </w:rPr>
  </w:style>
  <w:style w:type="paragraph" w:customStyle="1" w:styleId="800">
    <w:name w:val="8"/>
    <w:basedOn w:val="1"/>
    <w:qFormat/>
    <w:uiPriority w:val="0"/>
    <w:pPr>
      <w:widowControl/>
      <w:spacing w:after="200" w:line="360" w:lineRule="auto"/>
      <w:ind w:firstLine="478" w:firstLineChars="199"/>
      <w:jc w:val="left"/>
    </w:pPr>
    <w:rPr>
      <w:color w:val="000000"/>
      <w:kern w:val="0"/>
      <w:sz w:val="24"/>
      <w:szCs w:val="22"/>
      <w:lang w:eastAsia="en-US" w:bidi="en-US"/>
    </w:rPr>
  </w:style>
  <w:style w:type="paragraph" w:customStyle="1" w:styleId="801">
    <w:name w:val="xl79"/>
    <w:basedOn w:val="1"/>
    <w:qFormat/>
    <w:uiPriority w:val="0"/>
    <w:pPr>
      <w:widowControl/>
      <w:spacing w:before="100" w:beforeAutospacing="1" w:after="100" w:afterAutospacing="1" w:line="276" w:lineRule="auto"/>
      <w:ind w:firstLine="200" w:firstLineChars="200"/>
      <w:jc w:val="left"/>
    </w:pPr>
    <w:rPr>
      <w:rFonts w:ascii="宋体" w:hAnsi="宋体"/>
      <w:kern w:val="0"/>
      <w:sz w:val="18"/>
      <w:szCs w:val="18"/>
      <w:lang w:eastAsia="en-US" w:bidi="en-US"/>
    </w:rPr>
  </w:style>
  <w:style w:type="paragraph" w:customStyle="1" w:styleId="802">
    <w:name w:val="列出段落11"/>
    <w:basedOn w:val="1"/>
    <w:qFormat/>
    <w:uiPriority w:val="0"/>
    <w:pPr>
      <w:widowControl/>
      <w:ind w:left="720"/>
      <w:jc w:val="left"/>
    </w:pPr>
    <w:rPr>
      <w:kern w:val="0"/>
      <w:sz w:val="24"/>
      <w:lang w:eastAsia="en-US"/>
    </w:rPr>
  </w:style>
  <w:style w:type="paragraph" w:customStyle="1" w:styleId="803">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left"/>
    </w:pPr>
    <w:rPr>
      <w:rFonts w:ascii="宋体" w:hAnsi="宋体"/>
      <w:b/>
      <w:bCs/>
      <w:kern w:val="0"/>
      <w:sz w:val="22"/>
      <w:szCs w:val="22"/>
      <w:lang w:eastAsia="en-US" w:bidi="en-US"/>
    </w:rPr>
  </w:style>
  <w:style w:type="paragraph" w:customStyle="1" w:styleId="804">
    <w:name w:val="目录"/>
    <w:basedOn w:val="1"/>
    <w:qFormat/>
    <w:uiPriority w:val="0"/>
    <w:pPr>
      <w:widowControl/>
      <w:jc w:val="center"/>
    </w:pPr>
    <w:rPr>
      <w:rFonts w:ascii="宋体"/>
      <w:b/>
      <w:kern w:val="0"/>
      <w:sz w:val="36"/>
      <w:szCs w:val="20"/>
    </w:rPr>
  </w:style>
  <w:style w:type="paragraph" w:customStyle="1" w:styleId="805">
    <w:name w:val="表格cacc"/>
    <w:basedOn w:val="1"/>
    <w:qFormat/>
    <w:uiPriority w:val="0"/>
    <w:pPr>
      <w:widowControl/>
      <w:spacing w:after="200" w:line="240" w:lineRule="atLeast"/>
      <w:ind w:firstLine="200" w:firstLineChars="200"/>
      <w:jc w:val="left"/>
    </w:pPr>
    <w:rPr>
      <w:kern w:val="0"/>
      <w:sz w:val="22"/>
      <w:szCs w:val="21"/>
      <w:lang w:eastAsia="en-US" w:bidi="en-US"/>
    </w:rPr>
  </w:style>
  <w:style w:type="paragraph" w:customStyle="1" w:styleId="806">
    <w:name w:val="Char Char Char Char2"/>
    <w:basedOn w:val="1"/>
    <w:qFormat/>
    <w:uiPriority w:val="0"/>
    <w:rPr>
      <w:rFonts w:ascii="Tahoma" w:hAnsi="Tahoma"/>
      <w:sz w:val="24"/>
    </w:rPr>
  </w:style>
  <w:style w:type="paragraph" w:customStyle="1" w:styleId="807">
    <w:name w:val="CM114"/>
    <w:basedOn w:val="114"/>
    <w:next w:val="114"/>
    <w:qFormat/>
    <w:uiPriority w:val="0"/>
    <w:pPr>
      <w:spacing w:line="340" w:lineRule="atLeast"/>
    </w:pPr>
    <w:rPr>
      <w:rFonts w:hAnsi="Times New Roman"/>
      <w:color w:val="auto"/>
      <w:kern w:val="2"/>
      <w:szCs w:val="24"/>
    </w:rPr>
  </w:style>
  <w:style w:type="paragraph" w:customStyle="1" w:styleId="808">
    <w:name w:val="geshi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9">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1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b/>
      <w:bCs/>
      <w:color w:val="FF0000"/>
      <w:kern w:val="0"/>
      <w:sz w:val="22"/>
      <w:szCs w:val="22"/>
      <w:lang w:eastAsia="en-US" w:bidi="en-US"/>
    </w:rPr>
  </w:style>
  <w:style w:type="paragraph" w:customStyle="1" w:styleId="811">
    <w:name w:val="CM64"/>
    <w:basedOn w:val="114"/>
    <w:next w:val="114"/>
    <w:qFormat/>
    <w:uiPriority w:val="0"/>
    <w:pPr>
      <w:spacing w:line="400" w:lineRule="atLeast"/>
    </w:pPr>
    <w:rPr>
      <w:rFonts w:hAnsi="Times New Roman"/>
      <w:color w:val="auto"/>
      <w:kern w:val="2"/>
      <w:szCs w:val="24"/>
    </w:rPr>
  </w:style>
  <w:style w:type="paragraph" w:customStyle="1" w:styleId="812">
    <w:name w:val="CM68"/>
    <w:basedOn w:val="114"/>
    <w:next w:val="114"/>
    <w:qFormat/>
    <w:uiPriority w:val="0"/>
    <w:pPr>
      <w:spacing w:line="466" w:lineRule="atLeast"/>
    </w:pPr>
    <w:rPr>
      <w:rFonts w:hAnsi="Times New Roman"/>
      <w:color w:val="auto"/>
      <w:kern w:val="2"/>
      <w:szCs w:val="24"/>
    </w:rPr>
  </w:style>
  <w:style w:type="paragraph" w:customStyle="1" w:styleId="813">
    <w:name w:val="段落"/>
    <w:basedOn w:val="1"/>
    <w:qFormat/>
    <w:uiPriority w:val="0"/>
    <w:pPr>
      <w:widowControl/>
      <w:spacing w:before="180" w:line="360" w:lineRule="auto"/>
      <w:ind w:firstLine="480" w:firstLineChars="200"/>
    </w:pPr>
    <w:rPr>
      <w:rFonts w:ascii="Arial" w:hAnsi="Arial"/>
      <w:kern w:val="0"/>
      <w:sz w:val="24"/>
      <w:szCs w:val="20"/>
    </w:rPr>
  </w:style>
  <w:style w:type="paragraph" w:customStyle="1" w:styleId="814">
    <w:name w:val="Char Char Char Char Char Char Char Char Char Char Char Char Char Char Char Char1"/>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81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b/>
      <w:bCs/>
      <w:color w:val="FF0000"/>
      <w:kern w:val="0"/>
      <w:sz w:val="22"/>
      <w:szCs w:val="22"/>
      <w:lang w:eastAsia="en-US" w:bidi="en-US"/>
    </w:rPr>
  </w:style>
  <w:style w:type="paragraph" w:customStyle="1" w:styleId="816">
    <w:name w:val="样式4"/>
    <w:basedOn w:val="6"/>
    <w:qFormat/>
    <w:uiPriority w:val="0"/>
    <w:pPr>
      <w:spacing w:before="260" w:after="260" w:line="415" w:lineRule="auto"/>
    </w:pPr>
    <w:rPr>
      <w:rFonts w:ascii="Times New Roman" w:hAnsi="Times New Roman" w:eastAsia="Arial"/>
      <w:sz w:val="32"/>
    </w:rPr>
  </w:style>
  <w:style w:type="paragraph" w:customStyle="1" w:styleId="817">
    <w:name w:val="Char Char Char Char Char Char1"/>
    <w:basedOn w:val="1"/>
    <w:qFormat/>
    <w:uiPriority w:val="0"/>
    <w:pPr>
      <w:adjustRightInd w:val="0"/>
      <w:spacing w:line="360" w:lineRule="auto"/>
    </w:pPr>
    <w:rPr>
      <w:rFonts w:ascii="Times New Roman" w:hAnsi="Times New Roman"/>
      <w:kern w:val="0"/>
      <w:sz w:val="24"/>
      <w:szCs w:val="20"/>
    </w:rPr>
  </w:style>
  <w:style w:type="paragraph" w:customStyle="1" w:styleId="818">
    <w:name w:val="CM144"/>
    <w:basedOn w:val="114"/>
    <w:next w:val="114"/>
    <w:qFormat/>
    <w:uiPriority w:val="0"/>
    <w:rPr>
      <w:rFonts w:hAnsi="Times New Roman"/>
      <w:color w:val="auto"/>
      <w:kern w:val="2"/>
      <w:szCs w:val="24"/>
    </w:rPr>
  </w:style>
  <w:style w:type="paragraph" w:customStyle="1" w:styleId="819">
    <w:name w:val="Char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820">
    <w:name w:val="CM33"/>
    <w:basedOn w:val="114"/>
    <w:next w:val="114"/>
    <w:qFormat/>
    <w:uiPriority w:val="0"/>
    <w:pPr>
      <w:spacing w:line="400" w:lineRule="atLeast"/>
    </w:pPr>
    <w:rPr>
      <w:rFonts w:hAnsi="Times New Roman"/>
      <w:color w:val="auto"/>
      <w:kern w:val="2"/>
      <w:szCs w:val="24"/>
    </w:rPr>
  </w:style>
  <w:style w:type="paragraph" w:customStyle="1" w:styleId="821">
    <w:name w:val="standdate"/>
    <w:basedOn w:val="37"/>
    <w:qFormat/>
    <w:uiPriority w:val="0"/>
    <w:pPr>
      <w:widowControl/>
      <w:pBdr>
        <w:top w:val="single" w:color="auto" w:sz="6" w:space="7"/>
      </w:pBdr>
      <w:tabs>
        <w:tab w:val="clear" w:pos="4153"/>
        <w:tab w:val="clear" w:pos="8306"/>
      </w:tabs>
      <w:adjustRightInd w:val="0"/>
      <w:snapToGrid/>
      <w:spacing w:after="200" w:line="240" w:lineRule="atLeast"/>
      <w:ind w:firstLine="200" w:firstLineChars="200"/>
      <w:jc w:val="center"/>
      <w:textAlignment w:val="center"/>
    </w:pPr>
    <w:rPr>
      <w:rFonts w:ascii="黑体" w:eastAsia="黑体"/>
      <w:b/>
      <w:spacing w:val="-4"/>
      <w:kern w:val="0"/>
      <w:sz w:val="21"/>
      <w:szCs w:val="20"/>
    </w:rPr>
  </w:style>
  <w:style w:type="paragraph" w:customStyle="1" w:styleId="822">
    <w:name w:val="a6"/>
    <w:basedOn w:val="1"/>
    <w:qFormat/>
    <w:uiPriority w:val="0"/>
    <w:pPr>
      <w:widowControl/>
      <w:spacing w:before="100" w:beforeAutospacing="1" w:after="100" w:afterAutospacing="1"/>
      <w:jc w:val="left"/>
    </w:pPr>
    <w:rPr>
      <w:rFonts w:ascii="宋体" w:hAnsi="宋体" w:cs="宋体"/>
      <w:kern w:val="0"/>
      <w:sz w:val="24"/>
    </w:rPr>
  </w:style>
  <w:style w:type="paragraph" w:customStyle="1" w:styleId="823">
    <w:name w:val="CM117"/>
    <w:basedOn w:val="114"/>
    <w:next w:val="114"/>
    <w:qFormat/>
    <w:uiPriority w:val="0"/>
    <w:pPr>
      <w:spacing w:line="546" w:lineRule="atLeast"/>
    </w:pPr>
    <w:rPr>
      <w:rFonts w:hAnsi="Times New Roman"/>
      <w:color w:val="auto"/>
      <w:kern w:val="2"/>
      <w:szCs w:val="24"/>
    </w:rPr>
  </w:style>
  <w:style w:type="paragraph" w:customStyle="1" w:styleId="824">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25">
    <w:name w:val="a"/>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82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Cs w:val="20"/>
    </w:rPr>
  </w:style>
  <w:style w:type="paragraph" w:customStyle="1" w:styleId="827">
    <w:name w:val="注"/>
    <w:basedOn w:val="1"/>
    <w:qFormat/>
    <w:uiPriority w:val="0"/>
    <w:pPr>
      <w:widowControl/>
      <w:adjustRightInd w:val="0"/>
      <w:spacing w:after="200" w:line="360" w:lineRule="atLeast"/>
      <w:ind w:left="840" w:hanging="420" w:firstLineChars="200"/>
      <w:jc w:val="left"/>
      <w:textAlignment w:val="baseline"/>
    </w:pPr>
    <w:rPr>
      <w:kern w:val="0"/>
      <w:sz w:val="22"/>
      <w:lang w:eastAsia="en-US" w:bidi="en-US"/>
    </w:rPr>
  </w:style>
  <w:style w:type="paragraph" w:customStyle="1" w:styleId="828">
    <w:name w:val="font0"/>
    <w:basedOn w:val="1"/>
    <w:qFormat/>
    <w:uiPriority w:val="0"/>
    <w:pPr>
      <w:widowControl/>
      <w:spacing w:before="100" w:beforeAutospacing="1" w:after="100" w:afterAutospacing="1" w:line="276" w:lineRule="auto"/>
      <w:ind w:firstLine="200" w:firstLineChars="200"/>
      <w:jc w:val="left"/>
    </w:pPr>
    <w:rPr>
      <w:rFonts w:hint="eastAsia" w:ascii="宋体" w:hAnsi="宋体"/>
      <w:kern w:val="0"/>
      <w:sz w:val="24"/>
      <w:szCs w:val="22"/>
      <w:lang w:eastAsia="en-US" w:bidi="en-US"/>
    </w:rPr>
  </w:style>
  <w:style w:type="paragraph" w:customStyle="1" w:styleId="829">
    <w:name w:val="CM203"/>
    <w:basedOn w:val="114"/>
    <w:next w:val="114"/>
    <w:qFormat/>
    <w:uiPriority w:val="0"/>
    <w:rPr>
      <w:rFonts w:hAnsi="Times New Roman"/>
      <w:color w:val="auto"/>
      <w:kern w:val="2"/>
      <w:szCs w:val="24"/>
    </w:rPr>
  </w:style>
  <w:style w:type="paragraph" w:customStyle="1" w:styleId="830">
    <w:name w:val="Char Char Char Char1"/>
    <w:basedOn w:val="1"/>
    <w:qFormat/>
    <w:uiPriority w:val="0"/>
    <w:pPr>
      <w:widowControl/>
      <w:spacing w:after="200" w:line="276" w:lineRule="auto"/>
      <w:ind w:firstLine="200" w:firstLineChars="200"/>
      <w:jc w:val="left"/>
    </w:pPr>
    <w:rPr>
      <w:kern w:val="0"/>
      <w:sz w:val="22"/>
      <w:lang w:eastAsia="en-US" w:bidi="en-US"/>
    </w:rPr>
  </w:style>
  <w:style w:type="paragraph" w:customStyle="1" w:styleId="831">
    <w:name w:val="CM214"/>
    <w:basedOn w:val="114"/>
    <w:next w:val="114"/>
    <w:qFormat/>
    <w:uiPriority w:val="0"/>
    <w:rPr>
      <w:rFonts w:hAnsi="Times New Roman"/>
      <w:color w:val="auto"/>
      <w:kern w:val="2"/>
      <w:szCs w:val="24"/>
    </w:rPr>
  </w:style>
  <w:style w:type="paragraph" w:customStyle="1" w:styleId="832">
    <w:name w:val="CM10"/>
    <w:basedOn w:val="114"/>
    <w:next w:val="114"/>
    <w:qFormat/>
    <w:uiPriority w:val="0"/>
    <w:pPr>
      <w:spacing w:line="308" w:lineRule="atLeast"/>
    </w:pPr>
    <w:rPr>
      <w:rFonts w:hAnsi="Times New Roman"/>
      <w:color w:val="auto"/>
      <w:kern w:val="2"/>
      <w:szCs w:val="24"/>
    </w:rPr>
  </w:style>
  <w:style w:type="paragraph" w:customStyle="1" w:styleId="833">
    <w:name w:val="Body Text 2_0"/>
    <w:basedOn w:val="1"/>
    <w:qFormat/>
    <w:uiPriority w:val="0"/>
    <w:pPr>
      <w:adjustRightInd w:val="0"/>
      <w:spacing w:line="520" w:lineRule="atLeast"/>
      <w:ind w:firstLine="570"/>
      <w:textAlignment w:val="baseline"/>
    </w:pPr>
    <w:rPr>
      <w:rFonts w:ascii="仿宋_GB2312" w:hAnsi="Times New Roman" w:eastAsia="仿宋_GB2312"/>
      <w:sz w:val="28"/>
      <w:szCs w:val="20"/>
    </w:rPr>
  </w:style>
  <w:style w:type="paragraph" w:customStyle="1" w:styleId="834">
    <w:name w:val="中等深浅网格 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5">
    <w:name w:val="CM17"/>
    <w:basedOn w:val="114"/>
    <w:next w:val="114"/>
    <w:qFormat/>
    <w:uiPriority w:val="0"/>
    <w:pPr>
      <w:spacing w:after="180" w:line="276" w:lineRule="auto"/>
      <w:ind w:firstLine="200" w:firstLineChars="200"/>
      <w:jc w:val="both"/>
    </w:pPr>
    <w:rPr>
      <w:color w:val="auto"/>
      <w:szCs w:val="24"/>
      <w:lang w:eastAsia="en-US" w:bidi="en-US"/>
    </w:rPr>
  </w:style>
  <w:style w:type="paragraph" w:customStyle="1" w:styleId="836">
    <w:name w:val="样式 正文缩进正文（首行缩进两字）特点ALT+Z表正文正文非缩进四号段1Normal Indent Char2...3"/>
    <w:basedOn w:val="7"/>
    <w:next w:val="8"/>
    <w:qFormat/>
    <w:uiPriority w:val="0"/>
    <w:pPr>
      <w:tabs>
        <w:tab w:val="left" w:pos="2160"/>
      </w:tabs>
      <w:adjustRightInd w:val="0"/>
      <w:spacing w:before="280" w:after="290"/>
      <w:ind w:left="2160" w:hanging="420"/>
      <w:jc w:val="left"/>
      <w:textAlignment w:val="baseline"/>
    </w:pPr>
    <w:rPr>
      <w:rFonts w:ascii="宋体" w:hAnsi="宋体" w:cs="宋体"/>
      <w:bCs w:val="0"/>
      <w:kern w:val="0"/>
      <w:sz w:val="24"/>
      <w:szCs w:val="24"/>
    </w:rPr>
  </w:style>
  <w:style w:type="paragraph" w:customStyle="1" w:styleId="837">
    <w:name w:val="CM190"/>
    <w:basedOn w:val="114"/>
    <w:next w:val="114"/>
    <w:qFormat/>
    <w:uiPriority w:val="0"/>
    <w:rPr>
      <w:rFonts w:hAnsi="Times New Roman"/>
      <w:color w:val="auto"/>
      <w:kern w:val="2"/>
      <w:szCs w:val="24"/>
    </w:rPr>
  </w:style>
  <w:style w:type="paragraph" w:customStyle="1" w:styleId="83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839">
    <w:name w:val="修订2"/>
    <w:qFormat/>
    <w:uiPriority w:val="0"/>
    <w:rPr>
      <w:rFonts w:ascii="Calibri" w:hAnsi="Calibri" w:eastAsia="宋体" w:cs="Times New Roman"/>
      <w:kern w:val="2"/>
      <w:sz w:val="21"/>
      <w:szCs w:val="24"/>
      <w:lang w:val="en-US" w:eastAsia="zh-CN" w:bidi="ar-SA"/>
    </w:rPr>
  </w:style>
  <w:style w:type="paragraph" w:customStyle="1" w:styleId="840">
    <w:name w:val="AODocTxt"/>
    <w:basedOn w:val="1"/>
    <w:qFormat/>
    <w:uiPriority w:val="0"/>
    <w:pPr>
      <w:widowControl/>
      <w:tabs>
        <w:tab w:val="left" w:pos="432"/>
        <w:tab w:val="left" w:pos="1455"/>
      </w:tabs>
      <w:spacing w:before="240" w:line="260" w:lineRule="atLeast"/>
      <w:ind w:left="1455" w:hanging="1455"/>
    </w:pPr>
    <w:rPr>
      <w:rFonts w:ascii="Times New Roman" w:hAnsi="Times New Roman"/>
      <w:kern w:val="0"/>
      <w:sz w:val="22"/>
      <w:szCs w:val="20"/>
      <w:lang w:val="en-GB" w:eastAsia="en-US"/>
    </w:rPr>
  </w:style>
  <w:style w:type="paragraph" w:customStyle="1" w:styleId="841">
    <w:name w:val="公司名称"/>
    <w:basedOn w:val="23"/>
    <w:qFormat/>
    <w:uiPriority w:val="0"/>
    <w:pPr>
      <w:keepLines/>
      <w:spacing w:after="80" w:line="240" w:lineRule="atLeast"/>
      <w:jc w:val="center"/>
    </w:pPr>
    <w:rPr>
      <w:rFonts w:ascii="Garamond" w:hAnsi="Garamond" w:eastAsia="隶书"/>
      <w:caps/>
      <w:spacing w:val="75"/>
      <w:kern w:val="2"/>
      <w:sz w:val="32"/>
      <w:szCs w:val="22"/>
    </w:rPr>
  </w:style>
  <w:style w:type="paragraph" w:customStyle="1" w:styleId="842">
    <w:name w:val="宋体 初号"/>
    <w:basedOn w:val="1"/>
    <w:qFormat/>
    <w:uiPriority w:val="0"/>
    <w:pPr>
      <w:widowControl/>
      <w:spacing w:after="200" w:line="276" w:lineRule="auto"/>
      <w:ind w:firstLine="200" w:firstLineChars="200"/>
      <w:jc w:val="left"/>
    </w:pPr>
    <w:rPr>
      <w:kern w:val="0"/>
      <w:sz w:val="84"/>
      <w:szCs w:val="22"/>
      <w:lang w:eastAsia="en-US" w:bidi="en-US"/>
    </w:rPr>
  </w:style>
  <w:style w:type="paragraph" w:customStyle="1" w:styleId="843">
    <w:name w:val="样式 正文缩进正文（首行缩进两字）特点ALT+Z表正文正文非缩进四号段1Normal Indent Char2...4"/>
    <w:basedOn w:val="3"/>
    <w:qFormat/>
    <w:uiPriority w:val="0"/>
    <w:pPr>
      <w:tabs>
        <w:tab w:val="left" w:pos="0"/>
        <w:tab w:val="center" w:pos="360"/>
        <w:tab w:val="left" w:pos="993"/>
        <w:tab w:val="left" w:pos="1134"/>
      </w:tabs>
      <w:spacing w:after="0" w:line="300" w:lineRule="auto"/>
      <w:ind w:left="0"/>
      <w:jc w:val="both"/>
    </w:pPr>
    <w:rPr>
      <w:rFonts w:ascii="宋体" w:hAnsi="宋体"/>
      <w:kern w:val="2"/>
      <w:sz w:val="24"/>
      <w:szCs w:val="22"/>
    </w:rPr>
  </w:style>
  <w:style w:type="paragraph" w:customStyle="1" w:styleId="84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5">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846">
    <w:name w:val="Char Char Char Char1 Char Char Char2"/>
    <w:basedOn w:val="1"/>
    <w:qFormat/>
    <w:uiPriority w:val="0"/>
    <w:pPr>
      <w:spacing w:line="240" w:lineRule="atLeast"/>
      <w:ind w:left="420" w:firstLine="420"/>
    </w:pPr>
    <w:rPr>
      <w:kern w:val="0"/>
      <w:szCs w:val="21"/>
    </w:rPr>
  </w:style>
  <w:style w:type="paragraph" w:customStyle="1" w:styleId="847">
    <w:name w:val="CM44"/>
    <w:basedOn w:val="114"/>
    <w:next w:val="114"/>
    <w:qFormat/>
    <w:uiPriority w:val="0"/>
    <w:pPr>
      <w:spacing w:after="200" w:line="440" w:lineRule="atLeast"/>
      <w:ind w:firstLine="200" w:firstLineChars="200"/>
      <w:jc w:val="both"/>
    </w:pPr>
    <w:rPr>
      <w:color w:val="auto"/>
      <w:szCs w:val="24"/>
      <w:lang w:eastAsia="en-US" w:bidi="en-US"/>
    </w:rPr>
  </w:style>
  <w:style w:type="paragraph" w:customStyle="1" w:styleId="848">
    <w:name w:val="中等深浅网格 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9">
    <w:name w:val="CM205"/>
    <w:basedOn w:val="114"/>
    <w:next w:val="114"/>
    <w:qFormat/>
    <w:uiPriority w:val="0"/>
    <w:rPr>
      <w:rFonts w:hAnsi="Times New Roman"/>
      <w:color w:val="auto"/>
      <w:kern w:val="2"/>
      <w:szCs w:val="24"/>
    </w:rPr>
  </w:style>
  <w:style w:type="paragraph" w:customStyle="1" w:styleId="850">
    <w:name w:val="样式 标题 + 两端对齐"/>
    <w:basedOn w:val="4"/>
    <w:qFormat/>
    <w:uiPriority w:val="0"/>
    <w:pPr>
      <w:spacing w:before="100" w:after="90" w:line="578" w:lineRule="auto"/>
      <w:jc w:val="center"/>
    </w:pPr>
    <w:rPr>
      <w:rFonts w:ascii="Times New Roman" w:hAnsi="Times New Roman" w:cs="宋体"/>
      <w:sz w:val="36"/>
      <w:szCs w:val="20"/>
    </w:rPr>
  </w:style>
  <w:style w:type="paragraph" w:customStyle="1" w:styleId="851">
    <w:name w:val="样式 标题 2 + Times New Roman 四号 非加粗 段前: 5 磅 段后: 0 磅 行距: 固定值 20..."/>
    <w:basedOn w:val="5"/>
    <w:qFormat/>
    <w:uiPriority w:val="0"/>
    <w:pPr>
      <w:widowControl w:val="0"/>
      <w:spacing w:before="100" w:after="0" w:line="400" w:lineRule="exact"/>
      <w:jc w:val="both"/>
    </w:pPr>
    <w:rPr>
      <w:rFonts w:ascii="Times New Roman" w:hAnsi="Times New Roman" w:cs="宋体"/>
      <w:b w:val="0"/>
      <w:bCs w:val="0"/>
      <w:kern w:val="2"/>
      <w:sz w:val="28"/>
      <w:szCs w:val="20"/>
    </w:rPr>
  </w:style>
  <w:style w:type="paragraph" w:customStyle="1" w:styleId="852">
    <w:name w:val="样式 样式 标题 2Underrubrik1prop2Heading 2 HiddenHeading 2 CCBS2nd l....."/>
    <w:basedOn w:val="624"/>
    <w:qFormat/>
    <w:uiPriority w:val="0"/>
    <w:pPr>
      <w:spacing w:beforeLines="0" w:afterLines="0"/>
      <w:ind w:right="240"/>
    </w:pPr>
  </w:style>
  <w:style w:type="paragraph" w:customStyle="1" w:styleId="853">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4">
    <w:name w:val="标题11"/>
    <w:basedOn w:val="1"/>
    <w:qFormat/>
    <w:uiPriority w:val="0"/>
    <w:pPr>
      <w:widowControl/>
      <w:tabs>
        <w:tab w:val="left" w:pos="0"/>
      </w:tabs>
      <w:spacing w:after="200" w:line="360" w:lineRule="auto"/>
      <w:ind w:left="722" w:firstLine="116" w:firstLineChars="48"/>
      <w:jc w:val="left"/>
      <w:textAlignment w:val="bottom"/>
    </w:pPr>
    <w:rPr>
      <w:rFonts w:ascii="宋体" w:hAnsi="宋体"/>
      <w:b/>
      <w:kern w:val="0"/>
      <w:sz w:val="24"/>
      <w:szCs w:val="22"/>
      <w:lang w:eastAsia="en-US" w:bidi="en-US"/>
    </w:rPr>
  </w:style>
  <w:style w:type="paragraph" w:customStyle="1" w:styleId="855">
    <w:name w:val="CM188"/>
    <w:basedOn w:val="114"/>
    <w:next w:val="114"/>
    <w:qFormat/>
    <w:uiPriority w:val="0"/>
    <w:rPr>
      <w:rFonts w:hAnsi="Times New Roman"/>
      <w:color w:val="auto"/>
      <w:kern w:val="2"/>
      <w:szCs w:val="24"/>
    </w:rPr>
  </w:style>
  <w:style w:type="paragraph" w:customStyle="1" w:styleId="856">
    <w:name w:val="p13"/>
    <w:basedOn w:val="1"/>
    <w:qFormat/>
    <w:uiPriority w:val="0"/>
    <w:pPr>
      <w:widowControl/>
      <w:spacing w:line="480" w:lineRule="auto"/>
      <w:jc w:val="left"/>
    </w:pPr>
    <w:rPr>
      <w:rFonts w:ascii="宋体" w:hAnsi="宋体" w:cs="宋体"/>
      <w:kern w:val="0"/>
      <w:sz w:val="28"/>
      <w:szCs w:val="28"/>
    </w:rPr>
  </w:style>
  <w:style w:type="paragraph" w:customStyle="1" w:styleId="857">
    <w:name w:val="CM55"/>
    <w:basedOn w:val="114"/>
    <w:next w:val="114"/>
    <w:qFormat/>
    <w:uiPriority w:val="0"/>
    <w:rPr>
      <w:rFonts w:hAnsi="Times New Roman"/>
      <w:color w:val="auto"/>
      <w:kern w:val="2"/>
      <w:szCs w:val="24"/>
    </w:rPr>
  </w:style>
  <w:style w:type="paragraph" w:customStyle="1" w:styleId="858">
    <w:name w:val="CM129"/>
    <w:basedOn w:val="114"/>
    <w:next w:val="114"/>
    <w:qFormat/>
    <w:uiPriority w:val="0"/>
    <w:rPr>
      <w:rFonts w:hAnsi="Times New Roman"/>
      <w:color w:val="auto"/>
      <w:kern w:val="2"/>
      <w:szCs w:val="24"/>
    </w:rPr>
  </w:style>
  <w:style w:type="paragraph" w:customStyle="1" w:styleId="859">
    <w:name w:val="xl8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ind w:firstLine="200" w:firstLineChars="200"/>
      <w:jc w:val="left"/>
    </w:pPr>
    <w:rPr>
      <w:rFonts w:ascii="宋体" w:hAnsi="宋体"/>
      <w:b/>
      <w:bCs/>
      <w:color w:val="FF0000"/>
      <w:kern w:val="0"/>
      <w:sz w:val="22"/>
      <w:szCs w:val="22"/>
      <w:lang w:eastAsia="en-US" w:bidi="en-US"/>
    </w:rPr>
  </w:style>
  <w:style w:type="paragraph" w:customStyle="1" w:styleId="860">
    <w:name w:val="招标号"/>
    <w:qFormat/>
    <w:uiPriority w:val="0"/>
    <w:pPr>
      <w:spacing w:after="200" w:line="276" w:lineRule="auto"/>
      <w:ind w:firstLine="200" w:firstLineChars="200"/>
      <w:jc w:val="center"/>
    </w:pPr>
    <w:rPr>
      <w:rFonts w:ascii="Calibri" w:hAnsi="Calibri" w:eastAsia="隶书" w:cs="Times New Roman"/>
      <w:b/>
      <w:bCs/>
      <w:sz w:val="28"/>
      <w:szCs w:val="22"/>
      <w:lang w:val="en-US" w:eastAsia="en-US" w:bidi="en-US"/>
    </w:rPr>
  </w:style>
  <w:style w:type="paragraph" w:customStyle="1" w:styleId="861">
    <w:name w:val="默认段落字体 Para Char Char Char Char"/>
    <w:basedOn w:val="1"/>
    <w:qFormat/>
    <w:uiPriority w:val="0"/>
    <w:pPr>
      <w:widowControl/>
      <w:snapToGrid w:val="0"/>
      <w:spacing w:after="200" w:line="276" w:lineRule="auto"/>
      <w:ind w:firstLine="200" w:firstLineChars="200"/>
      <w:jc w:val="left"/>
    </w:pPr>
    <w:rPr>
      <w:rFonts w:ascii="Arial" w:hAnsi="Arial"/>
      <w:kern w:val="0"/>
      <w:sz w:val="22"/>
      <w:szCs w:val="21"/>
      <w:lang w:eastAsia="en-US" w:bidi="en-US"/>
    </w:rPr>
  </w:style>
  <w:style w:type="paragraph" w:customStyle="1" w:styleId="862">
    <w:name w:val="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863">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864">
    <w:name w:val="Cap_标题_1"/>
    <w:next w:val="1"/>
    <w:qFormat/>
    <w:uiPriority w:val="0"/>
    <w:pPr>
      <w:keepNext/>
      <w:pageBreakBefore/>
      <w:tabs>
        <w:tab w:val="left" w:pos="425"/>
      </w:tabs>
      <w:spacing w:before="180" w:after="120"/>
      <w:ind w:left="432" w:hanging="432"/>
      <w:outlineLvl w:val="0"/>
    </w:pPr>
    <w:rPr>
      <w:rFonts w:ascii="Arial" w:hAnsi="Arial" w:eastAsia="宋体" w:cs="Arial"/>
      <w:b/>
      <w:bCs/>
      <w:smallCaps/>
      <w:kern w:val="32"/>
      <w:sz w:val="28"/>
      <w:szCs w:val="28"/>
      <w:lang w:val="en-US" w:eastAsia="en-CA" w:bidi="ar-SA"/>
    </w:rPr>
  </w:style>
  <w:style w:type="paragraph" w:customStyle="1" w:styleId="865">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8"/>
      <w:szCs w:val="18"/>
    </w:rPr>
  </w:style>
  <w:style w:type="paragraph" w:customStyle="1" w:styleId="866">
    <w:name w:val="xl88"/>
    <w:basedOn w:val="1"/>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b/>
      <w:bCs/>
      <w:kern w:val="0"/>
      <w:sz w:val="22"/>
      <w:szCs w:val="22"/>
      <w:lang w:eastAsia="en-US" w:bidi="en-US"/>
    </w:rPr>
  </w:style>
  <w:style w:type="paragraph" w:customStyle="1" w:styleId="867">
    <w:name w:val="CM192"/>
    <w:basedOn w:val="114"/>
    <w:next w:val="114"/>
    <w:qFormat/>
    <w:uiPriority w:val="0"/>
    <w:rPr>
      <w:rFonts w:hAnsi="Times New Roman"/>
      <w:color w:val="auto"/>
      <w:kern w:val="2"/>
      <w:szCs w:val="24"/>
    </w:rPr>
  </w:style>
  <w:style w:type="paragraph" w:customStyle="1" w:styleId="868">
    <w:name w:val="样式 标题 1 + 段前: 0.5 行 段后: 0.5 行"/>
    <w:basedOn w:val="4"/>
    <w:qFormat/>
    <w:uiPriority w:val="0"/>
    <w:pPr>
      <w:tabs>
        <w:tab w:val="left" w:pos="360"/>
        <w:tab w:val="left" w:pos="6120"/>
      </w:tabs>
      <w:adjustRightInd w:val="0"/>
      <w:spacing w:beforeLines="50" w:afterLines="50" w:line="240" w:lineRule="auto"/>
      <w:ind w:left="450" w:leftChars="514" w:right="924" w:rightChars="440" w:hanging="450"/>
      <w:jc w:val="center"/>
      <w:textAlignment w:val="baseline"/>
    </w:pPr>
    <w:rPr>
      <w:rFonts w:ascii="Times New Roman" w:hAnsi="Times New Roman"/>
      <w:sz w:val="36"/>
      <w:szCs w:val="20"/>
    </w:rPr>
  </w:style>
  <w:style w:type="paragraph" w:customStyle="1" w:styleId="869">
    <w:name w:val="正文1"/>
    <w:basedOn w:val="1"/>
    <w:qFormat/>
    <w:uiPriority w:val="0"/>
    <w:pPr>
      <w:widowControl/>
      <w:adjustRightInd w:val="0"/>
      <w:spacing w:after="200" w:line="360" w:lineRule="atLeast"/>
      <w:ind w:firstLine="200" w:firstLineChars="200"/>
      <w:jc w:val="left"/>
      <w:textAlignment w:val="baseline"/>
    </w:pPr>
    <w:rPr>
      <w:rFonts w:ascii="宋体"/>
      <w:kern w:val="0"/>
      <w:sz w:val="24"/>
      <w:lang w:eastAsia="en-US" w:bidi="en-US"/>
    </w:rPr>
  </w:style>
  <w:style w:type="paragraph" w:customStyle="1" w:styleId="870">
    <w:name w:val="CM194"/>
    <w:basedOn w:val="114"/>
    <w:next w:val="114"/>
    <w:qFormat/>
    <w:uiPriority w:val="0"/>
    <w:rPr>
      <w:rFonts w:hAnsi="Times New Roman"/>
      <w:color w:val="auto"/>
      <w:kern w:val="2"/>
      <w:szCs w:val="24"/>
    </w:rPr>
  </w:style>
  <w:style w:type="paragraph" w:customStyle="1" w:styleId="871">
    <w:name w:val="CM216"/>
    <w:basedOn w:val="114"/>
    <w:next w:val="114"/>
    <w:qFormat/>
    <w:uiPriority w:val="0"/>
    <w:rPr>
      <w:rFonts w:hAnsi="Times New Roman"/>
      <w:color w:val="auto"/>
      <w:kern w:val="2"/>
      <w:szCs w:val="24"/>
    </w:rPr>
  </w:style>
  <w:style w:type="paragraph" w:customStyle="1" w:styleId="872">
    <w:name w:val="p2"/>
    <w:basedOn w:val="1"/>
    <w:qFormat/>
    <w:uiPriority w:val="0"/>
    <w:pPr>
      <w:widowControl/>
      <w:spacing w:line="480" w:lineRule="auto"/>
      <w:ind w:firstLine="420"/>
      <w:jc w:val="left"/>
    </w:pPr>
    <w:rPr>
      <w:rFonts w:ascii="宋体" w:hAnsi="宋体" w:cs="宋体"/>
      <w:kern w:val="0"/>
      <w:szCs w:val="21"/>
    </w:rPr>
  </w:style>
  <w:style w:type="paragraph" w:customStyle="1" w:styleId="873">
    <w:name w:val="CM111"/>
    <w:basedOn w:val="114"/>
    <w:next w:val="114"/>
    <w:qFormat/>
    <w:uiPriority w:val="0"/>
    <w:pPr>
      <w:spacing w:line="340" w:lineRule="atLeast"/>
    </w:pPr>
    <w:rPr>
      <w:rFonts w:hAnsi="Times New Roman"/>
      <w:color w:val="auto"/>
      <w:kern w:val="2"/>
      <w:szCs w:val="24"/>
    </w:rPr>
  </w:style>
  <w:style w:type="paragraph" w:customStyle="1" w:styleId="874">
    <w:name w:val="CM28"/>
    <w:basedOn w:val="114"/>
    <w:next w:val="114"/>
    <w:qFormat/>
    <w:uiPriority w:val="0"/>
    <w:pPr>
      <w:spacing w:line="313" w:lineRule="atLeast"/>
    </w:pPr>
    <w:rPr>
      <w:rFonts w:hAnsi="Times New Roman"/>
      <w:color w:val="auto"/>
      <w:kern w:val="2"/>
      <w:szCs w:val="24"/>
    </w:rPr>
  </w:style>
  <w:style w:type="paragraph" w:customStyle="1" w:styleId="875">
    <w:name w:val="列出段落2"/>
    <w:basedOn w:val="1"/>
    <w:qFormat/>
    <w:uiPriority w:val="0"/>
    <w:pPr>
      <w:ind w:firstLine="420" w:firstLineChars="200"/>
    </w:pPr>
  </w:style>
  <w:style w:type="paragraph" w:customStyle="1" w:styleId="87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7">
    <w:name w:val="xl73"/>
    <w:basedOn w:val="1"/>
    <w:qFormat/>
    <w:uiPriority w:val="0"/>
    <w:pPr>
      <w:widowControl/>
      <w:pBdr>
        <w:top w:val="single" w:color="auto" w:sz="8" w:space="0"/>
        <w:left w:val="single" w:color="auto" w:sz="4" w:space="0"/>
        <w:bottom w:val="single" w:color="auto" w:sz="4" w:space="0"/>
        <w:right w:val="single" w:color="auto" w:sz="8" w:space="0"/>
      </w:pBdr>
      <w:shd w:val="clear" w:color="auto" w:fill="FFFFFF"/>
      <w:spacing w:before="100" w:beforeAutospacing="1" w:after="100" w:afterAutospacing="1" w:line="276" w:lineRule="auto"/>
      <w:ind w:firstLine="200" w:firstLineChars="200"/>
      <w:jc w:val="center"/>
    </w:pPr>
    <w:rPr>
      <w:rFonts w:ascii="宋体" w:hAnsi="宋体"/>
      <w:b/>
      <w:bCs/>
      <w:kern w:val="0"/>
      <w:sz w:val="22"/>
      <w:szCs w:val="22"/>
      <w:lang w:eastAsia="en-US" w:bidi="en-US"/>
    </w:rPr>
  </w:style>
  <w:style w:type="paragraph" w:customStyle="1" w:styleId="878">
    <w:name w:val="菲页(卷)"/>
    <w:basedOn w:val="4"/>
    <w:next w:val="869"/>
    <w:qFormat/>
    <w:uiPriority w:val="0"/>
    <w:pPr>
      <w:keepLines w:val="0"/>
      <w:widowControl/>
      <w:tabs>
        <w:tab w:val="left" w:pos="945"/>
      </w:tabs>
      <w:spacing w:before="120" w:after="120" w:line="240" w:lineRule="auto"/>
      <w:ind w:left="945" w:hanging="375"/>
      <w:jc w:val="center"/>
      <w:outlineLvl w:val="1"/>
    </w:pPr>
    <w:rPr>
      <w:rFonts w:ascii="Cambria" w:hAnsi="Cambria" w:eastAsia="仿宋"/>
      <w:kern w:val="32"/>
      <w:sz w:val="48"/>
      <w:szCs w:val="32"/>
      <w:lang w:eastAsia="en-US" w:bidi="en-US"/>
    </w:rPr>
  </w:style>
  <w:style w:type="paragraph" w:customStyle="1" w:styleId="879">
    <w:name w:val="默认段落字体 Para Char Char Char Char Char Char Char"/>
    <w:basedOn w:val="1"/>
    <w:qFormat/>
    <w:uiPriority w:val="0"/>
    <w:pPr>
      <w:widowControl/>
      <w:spacing w:after="200" w:line="276" w:lineRule="auto"/>
      <w:ind w:firstLine="200" w:firstLineChars="200"/>
      <w:jc w:val="left"/>
    </w:pPr>
    <w:rPr>
      <w:rFonts w:ascii="Tahoma" w:hAnsi="Tahoma"/>
      <w:b/>
      <w:kern w:val="0"/>
      <w:sz w:val="24"/>
      <w:lang w:eastAsia="en-US" w:bidi="en-US"/>
    </w:rPr>
  </w:style>
  <w:style w:type="paragraph" w:customStyle="1" w:styleId="880">
    <w:name w:val="CM109"/>
    <w:basedOn w:val="114"/>
    <w:next w:val="114"/>
    <w:qFormat/>
    <w:uiPriority w:val="0"/>
    <w:rPr>
      <w:rFonts w:hAnsi="Times New Roman"/>
      <w:color w:val="auto"/>
      <w:kern w:val="2"/>
      <w:szCs w:val="24"/>
    </w:rPr>
  </w:style>
  <w:style w:type="paragraph" w:customStyle="1" w:styleId="881">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882">
    <w:name w:val="自定样式1"/>
    <w:qFormat/>
    <w:uiPriority w:val="0"/>
    <w:pPr>
      <w:spacing w:line="360" w:lineRule="auto"/>
      <w:jc w:val="center"/>
    </w:pPr>
    <w:rPr>
      <w:rFonts w:ascii="宋体" w:hAnsi="宋体" w:eastAsia="宋体" w:cs="Times New Roman"/>
      <w:b/>
      <w:bCs/>
      <w:kern w:val="2"/>
      <w:sz w:val="32"/>
      <w:szCs w:val="32"/>
      <w:lang w:val="en-US" w:eastAsia="zh-CN" w:bidi="ar-SA"/>
    </w:rPr>
  </w:style>
  <w:style w:type="paragraph" w:customStyle="1" w:styleId="883">
    <w:name w:val="Char32"/>
    <w:basedOn w:val="19"/>
    <w:qFormat/>
    <w:uiPriority w:val="0"/>
    <w:rPr>
      <w:rFonts w:hint="eastAsia" w:ascii="Tahoma" w:hAnsi="Tahoma"/>
      <w:sz w:val="24"/>
    </w:rPr>
  </w:style>
  <w:style w:type="paragraph" w:customStyle="1" w:styleId="88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b/>
      <w:bCs/>
      <w:color w:val="FF0000"/>
      <w:kern w:val="0"/>
      <w:sz w:val="22"/>
      <w:szCs w:val="22"/>
      <w:lang w:eastAsia="en-US" w:bidi="en-US"/>
    </w:rPr>
  </w:style>
  <w:style w:type="paragraph" w:customStyle="1" w:styleId="885">
    <w:name w:val="CM136"/>
    <w:basedOn w:val="114"/>
    <w:next w:val="114"/>
    <w:qFormat/>
    <w:uiPriority w:val="0"/>
    <w:pPr>
      <w:spacing w:line="273" w:lineRule="atLeast"/>
    </w:pPr>
    <w:rPr>
      <w:rFonts w:hAnsi="Times New Roman"/>
      <w:color w:val="auto"/>
      <w:kern w:val="2"/>
      <w:szCs w:val="24"/>
    </w:rPr>
  </w:style>
  <w:style w:type="paragraph" w:customStyle="1" w:styleId="886">
    <w:name w:val="CM197"/>
    <w:basedOn w:val="114"/>
    <w:next w:val="114"/>
    <w:qFormat/>
    <w:uiPriority w:val="0"/>
    <w:rPr>
      <w:rFonts w:hAnsi="Times New Roman"/>
      <w:color w:val="auto"/>
      <w:kern w:val="2"/>
      <w:szCs w:val="24"/>
    </w:rPr>
  </w:style>
  <w:style w:type="paragraph" w:customStyle="1" w:styleId="887">
    <w:name w:val=".."/>
    <w:basedOn w:val="114"/>
    <w:next w:val="114"/>
    <w:qFormat/>
    <w:uiPriority w:val="0"/>
    <w:rPr>
      <w:rFonts w:ascii="Times New Roman"/>
      <w:color w:val="auto"/>
      <w:szCs w:val="24"/>
    </w:rPr>
  </w:style>
  <w:style w:type="paragraph" w:customStyle="1" w:styleId="888">
    <w:name w:val="CM178"/>
    <w:basedOn w:val="114"/>
    <w:next w:val="114"/>
    <w:qFormat/>
    <w:uiPriority w:val="0"/>
    <w:rPr>
      <w:rFonts w:hAnsi="Times New Roman"/>
      <w:color w:val="auto"/>
      <w:kern w:val="2"/>
      <w:szCs w:val="24"/>
    </w:rPr>
  </w:style>
  <w:style w:type="paragraph" w:customStyle="1" w:styleId="889">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890">
    <w:name w:val="CM196"/>
    <w:basedOn w:val="114"/>
    <w:next w:val="114"/>
    <w:qFormat/>
    <w:uiPriority w:val="0"/>
    <w:rPr>
      <w:rFonts w:hAnsi="Times New Roman"/>
      <w:color w:val="auto"/>
      <w:kern w:val="2"/>
      <w:szCs w:val="24"/>
    </w:rPr>
  </w:style>
  <w:style w:type="paragraph" w:customStyle="1" w:styleId="891">
    <w:name w:val="Listing1"/>
    <w:basedOn w:val="1"/>
    <w:qFormat/>
    <w:uiPriority w:val="0"/>
    <w:pPr>
      <w:tabs>
        <w:tab w:val="left" w:pos="420"/>
      </w:tabs>
      <w:ind w:left="420" w:hanging="420"/>
    </w:pPr>
    <w:rPr>
      <w:rFonts w:ascii="Times New Roman" w:hAnsi="Times New Roman"/>
      <w:sz w:val="24"/>
    </w:rPr>
  </w:style>
  <w:style w:type="paragraph" w:customStyle="1" w:styleId="892">
    <w:name w:val="Char Char Char Char Char Char Char Char"/>
    <w:basedOn w:val="1"/>
    <w:qFormat/>
    <w:uiPriority w:val="0"/>
    <w:pPr>
      <w:widowControl/>
      <w:spacing w:after="160" w:line="240" w:lineRule="exact"/>
      <w:ind w:firstLine="200" w:firstLineChars="200"/>
      <w:jc w:val="left"/>
    </w:pPr>
    <w:rPr>
      <w:rFonts w:ascii="Verdana" w:hAnsi="Verdana"/>
      <w:kern w:val="0"/>
      <w:sz w:val="20"/>
      <w:lang w:eastAsia="en-US" w:bidi="en-US"/>
    </w:rPr>
  </w:style>
  <w:style w:type="paragraph" w:customStyle="1" w:styleId="893">
    <w:name w:val="font8"/>
    <w:basedOn w:val="1"/>
    <w:qFormat/>
    <w:uiPriority w:val="0"/>
    <w:pPr>
      <w:widowControl/>
      <w:spacing w:before="100" w:beforeAutospacing="1" w:after="100" w:afterAutospacing="1" w:line="276" w:lineRule="auto"/>
      <w:ind w:firstLine="200" w:firstLineChars="200"/>
      <w:jc w:val="left"/>
    </w:pPr>
    <w:rPr>
      <w:rFonts w:hint="eastAsia" w:ascii="宋体" w:hAnsi="宋体"/>
      <w:kern w:val="0"/>
      <w:sz w:val="22"/>
      <w:szCs w:val="22"/>
      <w:lang w:eastAsia="en-US" w:bidi="en-US"/>
    </w:rPr>
  </w:style>
  <w:style w:type="paragraph" w:customStyle="1" w:styleId="894">
    <w:name w:val="CM184"/>
    <w:basedOn w:val="114"/>
    <w:next w:val="114"/>
    <w:qFormat/>
    <w:uiPriority w:val="0"/>
    <w:rPr>
      <w:rFonts w:hAnsi="Times New Roman"/>
      <w:color w:val="auto"/>
      <w:kern w:val="2"/>
      <w:szCs w:val="24"/>
    </w:rPr>
  </w:style>
  <w:style w:type="paragraph" w:customStyle="1" w:styleId="89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18"/>
      <w:szCs w:val="18"/>
    </w:rPr>
  </w:style>
  <w:style w:type="paragraph" w:customStyle="1" w:styleId="896">
    <w:name w:val="CM9"/>
    <w:basedOn w:val="114"/>
    <w:next w:val="114"/>
    <w:qFormat/>
    <w:uiPriority w:val="0"/>
    <w:pPr>
      <w:spacing w:line="313" w:lineRule="atLeast"/>
    </w:pPr>
    <w:rPr>
      <w:rFonts w:hAnsi="Times New Roman"/>
      <w:color w:val="auto"/>
      <w:kern w:val="2"/>
      <w:szCs w:val="24"/>
    </w:rPr>
  </w:style>
  <w:style w:type="paragraph" w:customStyle="1" w:styleId="897">
    <w:name w:val="Char Char"/>
    <w:next w:val="1"/>
    <w:qFormat/>
    <w:uiPriority w:val="0"/>
    <w:pPr>
      <w:keepNext/>
      <w:keepLines/>
      <w:snapToGrid w:val="0"/>
      <w:spacing w:before="240" w:after="240"/>
      <w:ind w:left="624" w:hanging="624"/>
      <w:outlineLvl w:val="7"/>
    </w:pPr>
    <w:rPr>
      <w:rFonts w:ascii="Arial" w:hAnsi="Arial" w:eastAsia="黑体" w:cs="Arial"/>
      <w:sz w:val="21"/>
      <w:szCs w:val="21"/>
      <w:lang w:val="en-US" w:eastAsia="zh-CN" w:bidi="ar-SA"/>
    </w:rPr>
  </w:style>
  <w:style w:type="paragraph" w:customStyle="1" w:styleId="898">
    <w:name w:val="题1"/>
    <w:basedOn w:val="1"/>
    <w:qFormat/>
    <w:uiPriority w:val="0"/>
    <w:pPr>
      <w:adjustRightInd w:val="0"/>
      <w:spacing w:after="60"/>
      <w:ind w:firstLine="510"/>
      <w:textAlignment w:val="baseline"/>
    </w:pPr>
    <w:rPr>
      <w:rFonts w:ascii="楷体_GB2312" w:hAnsi="Times New Roman" w:eastAsia="楷体_GB2312"/>
      <w:b/>
      <w:spacing w:val="15"/>
      <w:kern w:val="0"/>
      <w:szCs w:val="20"/>
    </w:rPr>
  </w:style>
  <w:style w:type="paragraph" w:customStyle="1" w:styleId="899">
    <w:name w:val="设备规范样式2"/>
    <w:basedOn w:val="1"/>
    <w:qFormat/>
    <w:uiPriority w:val="0"/>
    <w:pPr>
      <w:widowControl/>
      <w:tabs>
        <w:tab w:val="left" w:pos="0"/>
      </w:tabs>
      <w:spacing w:after="200" w:line="360" w:lineRule="auto"/>
      <w:ind w:left="510" w:hanging="510" w:firstLineChars="200"/>
      <w:jc w:val="left"/>
      <w:textAlignment w:val="bottom"/>
    </w:pPr>
    <w:rPr>
      <w:rFonts w:eastAsia="楷体_GB2312"/>
      <w:kern w:val="0"/>
      <w:sz w:val="24"/>
      <w:szCs w:val="22"/>
      <w:lang w:eastAsia="en-US" w:bidi="en-US"/>
    </w:rPr>
  </w:style>
  <w:style w:type="paragraph" w:customStyle="1" w:styleId="900">
    <w:name w:val="CM96"/>
    <w:basedOn w:val="114"/>
    <w:next w:val="114"/>
    <w:qFormat/>
    <w:uiPriority w:val="0"/>
    <w:rPr>
      <w:rFonts w:hAnsi="Times New Roman"/>
      <w:color w:val="auto"/>
      <w:kern w:val="2"/>
      <w:szCs w:val="24"/>
    </w:rPr>
  </w:style>
  <w:style w:type="paragraph" w:customStyle="1" w:styleId="90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b/>
      <w:bCs/>
      <w:kern w:val="0"/>
      <w:sz w:val="22"/>
      <w:szCs w:val="22"/>
      <w:lang w:eastAsia="en-US" w:bidi="en-US"/>
    </w:rPr>
  </w:style>
  <w:style w:type="paragraph" w:customStyle="1" w:styleId="902">
    <w:name w:val="CM21"/>
    <w:basedOn w:val="114"/>
    <w:next w:val="114"/>
    <w:qFormat/>
    <w:uiPriority w:val="0"/>
    <w:rPr>
      <w:rFonts w:hAnsi="Times New Roman"/>
      <w:color w:val="auto"/>
      <w:kern w:val="2"/>
      <w:szCs w:val="24"/>
    </w:rPr>
  </w:style>
  <w:style w:type="paragraph" w:customStyle="1" w:styleId="903">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904">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905">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right"/>
    </w:pPr>
    <w:rPr>
      <w:rFonts w:ascii="宋体" w:hAnsi="宋体"/>
      <w:kern w:val="0"/>
      <w:sz w:val="22"/>
      <w:szCs w:val="22"/>
      <w:lang w:eastAsia="en-US" w:bidi="en-US"/>
    </w:rPr>
  </w:style>
  <w:style w:type="paragraph" w:customStyle="1" w:styleId="906">
    <w:name w:val="p17"/>
    <w:basedOn w:val="1"/>
    <w:qFormat/>
    <w:uiPriority w:val="0"/>
    <w:pPr>
      <w:widowControl/>
      <w:jc w:val="center"/>
    </w:pPr>
    <w:rPr>
      <w:rFonts w:ascii="黑体" w:hAnsi="宋体" w:eastAsia="黑体" w:cs="宋体"/>
      <w:kern w:val="0"/>
      <w:sz w:val="28"/>
      <w:szCs w:val="28"/>
    </w:rPr>
  </w:style>
  <w:style w:type="paragraph" w:customStyle="1" w:styleId="907">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color w:val="FF0000"/>
      <w:kern w:val="0"/>
      <w:sz w:val="22"/>
      <w:szCs w:val="22"/>
      <w:lang w:eastAsia="en-US" w:bidi="en-US"/>
    </w:rPr>
  </w:style>
  <w:style w:type="paragraph" w:customStyle="1" w:styleId="908">
    <w:name w:val="项目符号2"/>
    <w:basedOn w:val="1"/>
    <w:qFormat/>
    <w:uiPriority w:val="0"/>
    <w:pPr>
      <w:widowControl/>
      <w:tabs>
        <w:tab w:val="left" w:pos="900"/>
        <w:tab w:val="left" w:pos="1405"/>
      </w:tabs>
      <w:overflowPunct w:val="0"/>
      <w:snapToGrid w:val="0"/>
      <w:spacing w:after="200" w:line="480" w:lineRule="exact"/>
      <w:ind w:left="1405" w:hanging="425" w:firstLineChars="200"/>
      <w:jc w:val="left"/>
    </w:pPr>
    <w:rPr>
      <w:rFonts w:ascii="Arial" w:hAnsi="Arial" w:eastAsia="仿宋_GB2312"/>
      <w:kern w:val="0"/>
      <w:sz w:val="28"/>
      <w:lang w:eastAsia="en-US" w:bidi="en-US"/>
    </w:rPr>
  </w:style>
  <w:style w:type="paragraph" w:customStyle="1" w:styleId="90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910">
    <w:name w:val="Report Text"/>
    <w:basedOn w:val="1"/>
    <w:qFormat/>
    <w:uiPriority w:val="0"/>
    <w:pPr>
      <w:widowControl/>
      <w:spacing w:line="450" w:lineRule="exact"/>
      <w:ind w:left="1080" w:firstLine="418" w:firstLineChars="199"/>
      <w:jc w:val="left"/>
    </w:pPr>
    <w:rPr>
      <w:rFonts w:ascii="宋体" w:hAnsi="宋体"/>
      <w:kern w:val="0"/>
      <w:sz w:val="22"/>
      <w:szCs w:val="20"/>
      <w:lang w:val="en-GB" w:eastAsia="zh-TW"/>
    </w:rPr>
  </w:style>
  <w:style w:type="paragraph" w:customStyle="1" w:styleId="911">
    <w:name w:val="CM145"/>
    <w:basedOn w:val="114"/>
    <w:next w:val="114"/>
    <w:qFormat/>
    <w:uiPriority w:val="0"/>
    <w:rPr>
      <w:rFonts w:hAnsi="Times New Roman"/>
      <w:color w:val="auto"/>
      <w:kern w:val="2"/>
      <w:szCs w:val="24"/>
    </w:rPr>
  </w:style>
  <w:style w:type="paragraph" w:customStyle="1" w:styleId="912">
    <w:name w:val="CM210"/>
    <w:basedOn w:val="114"/>
    <w:next w:val="114"/>
    <w:qFormat/>
    <w:uiPriority w:val="0"/>
    <w:rPr>
      <w:rFonts w:hAnsi="Times New Roman"/>
      <w:color w:val="auto"/>
      <w:kern w:val="2"/>
      <w:szCs w:val="24"/>
    </w:rPr>
  </w:style>
  <w:style w:type="paragraph" w:customStyle="1" w:styleId="913">
    <w:name w:val="CM110"/>
    <w:basedOn w:val="114"/>
    <w:next w:val="114"/>
    <w:qFormat/>
    <w:uiPriority w:val="0"/>
    <w:pPr>
      <w:spacing w:line="340" w:lineRule="atLeast"/>
    </w:pPr>
    <w:rPr>
      <w:rFonts w:hAnsi="Times New Roman"/>
      <w:color w:val="auto"/>
      <w:kern w:val="2"/>
      <w:szCs w:val="24"/>
    </w:rPr>
  </w:style>
  <w:style w:type="paragraph" w:customStyle="1" w:styleId="914">
    <w:name w:val="CM63"/>
    <w:basedOn w:val="114"/>
    <w:next w:val="114"/>
    <w:qFormat/>
    <w:uiPriority w:val="0"/>
    <w:pPr>
      <w:spacing w:line="400" w:lineRule="atLeast"/>
    </w:pPr>
    <w:rPr>
      <w:rFonts w:hAnsi="Times New Roman"/>
      <w:color w:val="auto"/>
      <w:kern w:val="2"/>
      <w:szCs w:val="24"/>
    </w:rPr>
  </w:style>
  <w:style w:type="paragraph" w:customStyle="1" w:styleId="915">
    <w:name w:val="CM112"/>
    <w:basedOn w:val="114"/>
    <w:next w:val="114"/>
    <w:qFormat/>
    <w:uiPriority w:val="0"/>
    <w:pPr>
      <w:spacing w:line="338" w:lineRule="atLeast"/>
    </w:pPr>
    <w:rPr>
      <w:rFonts w:hAnsi="Times New Roman"/>
      <w:color w:val="auto"/>
      <w:kern w:val="2"/>
      <w:szCs w:val="24"/>
    </w:rPr>
  </w:style>
  <w:style w:type="paragraph" w:customStyle="1" w:styleId="916">
    <w:name w:val="CM22"/>
    <w:basedOn w:val="114"/>
    <w:next w:val="114"/>
    <w:qFormat/>
    <w:uiPriority w:val="0"/>
    <w:rPr>
      <w:rFonts w:hAnsi="Times New Roman"/>
      <w:color w:val="auto"/>
      <w:kern w:val="2"/>
      <w:szCs w:val="24"/>
    </w:rPr>
  </w:style>
  <w:style w:type="paragraph" w:customStyle="1" w:styleId="917">
    <w:name w:val="AONormal"/>
    <w:qFormat/>
    <w:uiPriority w:val="0"/>
    <w:pPr>
      <w:spacing w:line="260" w:lineRule="atLeast"/>
      <w:jc w:val="both"/>
    </w:pPr>
    <w:rPr>
      <w:rFonts w:ascii="Times New Roman" w:hAnsi="Times New Roman" w:eastAsia="宋体" w:cs="Times New Roman"/>
      <w:sz w:val="22"/>
      <w:lang w:val="en-GB" w:eastAsia="en-US" w:bidi="ar-SA"/>
    </w:rPr>
  </w:style>
  <w:style w:type="paragraph" w:customStyle="1" w:styleId="918">
    <w:name w:val="Char3"/>
    <w:basedOn w:val="1"/>
    <w:qFormat/>
    <w:uiPriority w:val="0"/>
    <w:pPr>
      <w:widowControl/>
      <w:spacing w:after="160" w:line="240" w:lineRule="exact"/>
      <w:jc w:val="left"/>
    </w:pPr>
    <w:rPr>
      <w:kern w:val="0"/>
      <w:sz w:val="20"/>
      <w:szCs w:val="20"/>
    </w:rPr>
  </w:style>
  <w:style w:type="paragraph" w:customStyle="1" w:styleId="919">
    <w:name w:val="Char2"/>
    <w:basedOn w:val="1"/>
    <w:qFormat/>
    <w:uiPriority w:val="0"/>
    <w:pPr>
      <w:widowControl/>
      <w:spacing w:after="200" w:line="276" w:lineRule="auto"/>
      <w:ind w:firstLine="200" w:firstLineChars="200"/>
      <w:jc w:val="left"/>
    </w:pPr>
    <w:rPr>
      <w:kern w:val="0"/>
      <w:sz w:val="22"/>
      <w:szCs w:val="22"/>
      <w:lang w:eastAsia="en-US" w:bidi="en-US"/>
    </w:rPr>
  </w:style>
  <w:style w:type="paragraph" w:customStyle="1" w:styleId="920">
    <w:name w:val="xl29"/>
    <w:basedOn w:val="1"/>
    <w:qFormat/>
    <w:uiPriority w:val="0"/>
    <w:pPr>
      <w:widowControl/>
      <w:pBdr>
        <w:left w:val="single" w:color="auto" w:sz="4" w:space="0"/>
        <w:bottom w:val="single" w:color="auto" w:sz="4" w:space="0"/>
        <w:right w:val="single" w:color="auto" w:sz="4" w:space="0"/>
      </w:pBdr>
      <w:spacing w:before="100" w:after="100" w:line="276" w:lineRule="auto"/>
      <w:ind w:firstLine="200" w:firstLineChars="200"/>
      <w:jc w:val="center"/>
      <w:textAlignment w:val="center"/>
    </w:pPr>
    <w:rPr>
      <w:rFonts w:ascii="Arial Unicode MS" w:hAnsi="Arial Unicode MS" w:eastAsia="Arial Unicode MS"/>
      <w:kern w:val="0"/>
      <w:sz w:val="24"/>
      <w:lang w:eastAsia="en-US" w:bidi="en-US"/>
    </w:rPr>
  </w:style>
  <w:style w:type="paragraph" w:customStyle="1" w:styleId="921">
    <w:name w:val="Cap_正文"/>
    <w:qFormat/>
    <w:uiPriority w:val="0"/>
    <w:pPr>
      <w:spacing w:after="160"/>
      <w:ind w:firstLine="200" w:firstLineChars="200"/>
    </w:pPr>
    <w:rPr>
      <w:rFonts w:ascii="Times New Roman" w:hAnsi="Times New Roman" w:eastAsia="宋体" w:cs="Times New Roman"/>
      <w:sz w:val="22"/>
      <w:szCs w:val="24"/>
      <w:lang w:val="en-US" w:eastAsia="en-CA" w:bidi="ar-SA"/>
    </w:rPr>
  </w:style>
  <w:style w:type="paragraph" w:customStyle="1" w:styleId="922">
    <w:name w:val="Char Char Char Char Char Char Char"/>
    <w:basedOn w:val="1"/>
    <w:qFormat/>
    <w:uiPriority w:val="0"/>
    <w:pPr>
      <w:spacing w:line="360" w:lineRule="auto"/>
      <w:ind w:firstLine="200" w:firstLineChars="200"/>
    </w:pPr>
    <w:rPr>
      <w:rFonts w:ascii="Tahoma" w:hAnsi="Tahoma"/>
      <w:sz w:val="24"/>
    </w:rPr>
  </w:style>
  <w:style w:type="paragraph" w:customStyle="1" w:styleId="923">
    <w:name w:val="xl5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kern w:val="0"/>
      <w:sz w:val="22"/>
      <w:szCs w:val="22"/>
      <w:lang w:eastAsia="en-US" w:bidi="en-US"/>
    </w:rPr>
  </w:style>
  <w:style w:type="paragraph" w:customStyle="1" w:styleId="924">
    <w:name w:val="font7"/>
    <w:basedOn w:val="1"/>
    <w:qFormat/>
    <w:uiPriority w:val="0"/>
    <w:pPr>
      <w:widowControl/>
      <w:spacing w:before="100" w:beforeAutospacing="1" w:after="100" w:afterAutospacing="1" w:line="276" w:lineRule="auto"/>
      <w:ind w:firstLine="200" w:firstLineChars="200"/>
      <w:jc w:val="left"/>
    </w:pPr>
    <w:rPr>
      <w:kern w:val="0"/>
      <w:sz w:val="20"/>
      <w:lang w:eastAsia="en-US" w:bidi="en-US"/>
    </w:rPr>
  </w:style>
  <w:style w:type="paragraph" w:customStyle="1" w:styleId="925">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齐头)"/>
    <w:basedOn w:val="1"/>
    <w:qFormat/>
    <w:uiPriority w:val="0"/>
    <w:pPr>
      <w:widowControl/>
      <w:adjustRightInd w:val="0"/>
      <w:spacing w:after="180" w:line="320" w:lineRule="exact"/>
      <w:ind w:left="1009" w:hanging="1009" w:firstLineChars="200"/>
      <w:jc w:val="left"/>
      <w:textAlignment w:val="bottom"/>
    </w:pPr>
    <w:rPr>
      <w:rFonts w:ascii="Arial" w:hAnsi="Arial"/>
      <w:kern w:val="0"/>
      <w:sz w:val="24"/>
      <w:lang w:eastAsia="en-US" w:bidi="en-US"/>
    </w:rPr>
  </w:style>
  <w:style w:type="paragraph" w:customStyle="1" w:styleId="927">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928">
    <w:name w:val="CM171"/>
    <w:basedOn w:val="114"/>
    <w:next w:val="114"/>
    <w:qFormat/>
    <w:uiPriority w:val="0"/>
    <w:pPr>
      <w:spacing w:line="440" w:lineRule="atLeast"/>
    </w:pPr>
    <w:rPr>
      <w:rFonts w:hAnsi="Times New Roman"/>
      <w:color w:val="auto"/>
      <w:kern w:val="2"/>
      <w:szCs w:val="24"/>
    </w:rPr>
  </w:style>
  <w:style w:type="paragraph" w:customStyle="1" w:styleId="929">
    <w:name w:val="juzhong"/>
    <w:basedOn w:val="1"/>
    <w:qFormat/>
    <w:uiPriority w:val="0"/>
    <w:pPr>
      <w:widowControl/>
      <w:spacing w:before="100" w:beforeAutospacing="1" w:after="100" w:afterAutospacing="1"/>
      <w:jc w:val="left"/>
    </w:pPr>
    <w:rPr>
      <w:rFonts w:ascii="宋体" w:hAnsi="宋体" w:cs="宋体"/>
      <w:kern w:val="0"/>
      <w:sz w:val="24"/>
    </w:rPr>
  </w:style>
  <w:style w:type="paragraph" w:customStyle="1" w:styleId="930">
    <w:name w:val="CM185"/>
    <w:basedOn w:val="114"/>
    <w:next w:val="114"/>
    <w:qFormat/>
    <w:uiPriority w:val="0"/>
    <w:rPr>
      <w:rFonts w:hAnsi="Times New Roman"/>
      <w:color w:val="auto"/>
      <w:kern w:val="2"/>
      <w:szCs w:val="24"/>
    </w:rPr>
  </w:style>
  <w:style w:type="paragraph" w:customStyle="1" w:styleId="931">
    <w:name w:val="xl78"/>
    <w:basedOn w:val="1"/>
    <w:qFormat/>
    <w:uiPriority w:val="0"/>
    <w:pPr>
      <w:widowControl/>
      <w:spacing w:before="100" w:beforeAutospacing="1" w:after="100" w:afterAutospacing="1" w:line="276" w:lineRule="auto"/>
      <w:ind w:firstLine="200" w:firstLineChars="200"/>
      <w:jc w:val="left"/>
    </w:pPr>
    <w:rPr>
      <w:b/>
      <w:bCs/>
      <w:kern w:val="0"/>
      <w:sz w:val="22"/>
      <w:szCs w:val="22"/>
      <w:lang w:eastAsia="en-US" w:bidi="en-US"/>
    </w:rPr>
  </w:style>
  <w:style w:type="paragraph" w:customStyle="1" w:styleId="932">
    <w:name w:val="CM189"/>
    <w:basedOn w:val="114"/>
    <w:next w:val="114"/>
    <w:qFormat/>
    <w:uiPriority w:val="0"/>
    <w:rPr>
      <w:rFonts w:hAnsi="Times New Roman"/>
      <w:color w:val="auto"/>
      <w:kern w:val="2"/>
      <w:szCs w:val="24"/>
    </w:rPr>
  </w:style>
  <w:style w:type="paragraph" w:customStyle="1" w:styleId="933">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934">
    <w:name w:val="xl8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935">
    <w:name w:val="正文文本 23"/>
    <w:basedOn w:val="1"/>
    <w:qFormat/>
    <w:uiPriority w:val="0"/>
    <w:pPr>
      <w:adjustRightInd w:val="0"/>
      <w:spacing w:line="520" w:lineRule="atLeast"/>
      <w:ind w:firstLine="570"/>
      <w:textAlignment w:val="baseline"/>
    </w:pPr>
    <w:rPr>
      <w:rFonts w:ascii="仿宋_GB2312" w:hAnsi="Times New Roman" w:eastAsia="仿宋_GB2312"/>
      <w:sz w:val="28"/>
      <w:szCs w:val="20"/>
    </w:rPr>
  </w:style>
  <w:style w:type="paragraph" w:customStyle="1" w:styleId="936">
    <w:name w:val="xl9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line="276" w:lineRule="auto"/>
      <w:ind w:firstLine="200" w:firstLineChars="200"/>
      <w:jc w:val="right"/>
    </w:pPr>
    <w:rPr>
      <w:rFonts w:ascii="宋体" w:hAnsi="宋体"/>
      <w:b/>
      <w:bCs/>
      <w:color w:val="FF0000"/>
      <w:kern w:val="0"/>
      <w:sz w:val="22"/>
      <w:szCs w:val="22"/>
      <w:lang w:eastAsia="en-US" w:bidi="en-US"/>
    </w:rPr>
  </w:style>
  <w:style w:type="paragraph" w:customStyle="1" w:styleId="937">
    <w:name w:val="font15"/>
    <w:basedOn w:val="1"/>
    <w:qFormat/>
    <w:uiPriority w:val="0"/>
    <w:pPr>
      <w:widowControl/>
      <w:spacing w:before="100" w:beforeAutospacing="1" w:after="100" w:afterAutospacing="1"/>
      <w:jc w:val="left"/>
    </w:pPr>
    <w:rPr>
      <w:color w:val="FF0000"/>
      <w:kern w:val="0"/>
      <w:sz w:val="20"/>
    </w:rPr>
  </w:style>
  <w:style w:type="paragraph" w:customStyle="1" w:styleId="938">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939">
    <w:name w:val="CM122"/>
    <w:basedOn w:val="114"/>
    <w:next w:val="114"/>
    <w:qFormat/>
    <w:uiPriority w:val="0"/>
    <w:rPr>
      <w:rFonts w:hAnsi="Times New Roman"/>
      <w:color w:val="auto"/>
      <w:kern w:val="2"/>
      <w:szCs w:val="24"/>
    </w:rPr>
  </w:style>
  <w:style w:type="paragraph" w:customStyle="1" w:styleId="940">
    <w:name w:val="Char6 Char Char Char11"/>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941">
    <w:name w:val="网格表 31"/>
    <w:basedOn w:val="4"/>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942">
    <w:name w:val="p204"/>
    <w:basedOn w:val="1"/>
    <w:qFormat/>
    <w:uiPriority w:val="0"/>
    <w:pPr>
      <w:widowControl/>
      <w:ind w:firstLine="418"/>
      <w:jc w:val="left"/>
    </w:pPr>
    <w:rPr>
      <w:rFonts w:ascii="仿宋" w:hAnsi="仿宋" w:eastAsia="仿宋" w:cs="宋体"/>
      <w:kern w:val="0"/>
      <w:szCs w:val="21"/>
    </w:rPr>
  </w:style>
  <w:style w:type="paragraph" w:customStyle="1" w:styleId="943">
    <w:name w:val="xl7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ind w:firstLine="200" w:firstLineChars="200"/>
      <w:jc w:val="center"/>
    </w:pPr>
    <w:rPr>
      <w:rFonts w:ascii="宋体" w:hAnsi="宋体"/>
      <w:kern w:val="0"/>
      <w:sz w:val="22"/>
      <w:szCs w:val="22"/>
      <w:lang w:eastAsia="en-US" w:bidi="en-US"/>
    </w:rPr>
  </w:style>
  <w:style w:type="paragraph" w:customStyle="1" w:styleId="944">
    <w:name w:val="TOC 标题2"/>
    <w:basedOn w:val="4"/>
    <w:next w:val="1"/>
    <w:qFormat/>
    <w:uiPriority w:val="0"/>
    <w:pPr>
      <w:spacing w:before="260" w:after="260" w:line="413" w:lineRule="auto"/>
    </w:pPr>
    <w:rPr>
      <w:rFonts w:ascii="宋体" w:hAnsi="宋体"/>
      <w:sz w:val="36"/>
      <w:lang w:val="zh-CN"/>
    </w:rPr>
  </w:style>
  <w:style w:type="paragraph" w:customStyle="1" w:styleId="945">
    <w:name w:val="彩色列表 - 着色 11"/>
    <w:basedOn w:val="1"/>
    <w:qFormat/>
    <w:uiPriority w:val="0"/>
    <w:pPr>
      <w:ind w:firstLine="420" w:firstLineChars="200"/>
    </w:pPr>
    <w:rPr>
      <w:rFonts w:ascii="Times New Roman" w:hAnsi="Times New Roman"/>
    </w:rPr>
  </w:style>
  <w:style w:type="paragraph" w:customStyle="1" w:styleId="946">
    <w:name w:val="CM19"/>
    <w:basedOn w:val="114"/>
    <w:next w:val="114"/>
    <w:qFormat/>
    <w:uiPriority w:val="0"/>
    <w:pPr>
      <w:spacing w:line="320" w:lineRule="atLeast"/>
    </w:pPr>
    <w:rPr>
      <w:rFonts w:hAnsi="Times New Roman"/>
      <w:color w:val="auto"/>
      <w:kern w:val="2"/>
      <w:szCs w:val="24"/>
    </w:rPr>
  </w:style>
  <w:style w:type="paragraph" w:customStyle="1" w:styleId="947">
    <w:name w:val="font9"/>
    <w:basedOn w:val="1"/>
    <w:qFormat/>
    <w:uiPriority w:val="0"/>
    <w:pPr>
      <w:widowControl/>
      <w:spacing w:before="100" w:beforeAutospacing="1" w:after="100" w:afterAutospacing="1" w:line="276" w:lineRule="auto"/>
      <w:ind w:firstLine="200" w:firstLineChars="200"/>
      <w:jc w:val="left"/>
    </w:pPr>
    <w:rPr>
      <w:kern w:val="0"/>
      <w:sz w:val="22"/>
      <w:szCs w:val="22"/>
      <w:lang w:eastAsia="en-US" w:bidi="en-US"/>
    </w:rPr>
  </w:style>
  <w:style w:type="paragraph" w:customStyle="1" w:styleId="948">
    <w:name w:val="表格标题"/>
    <w:basedOn w:val="1"/>
    <w:next w:val="536"/>
    <w:qFormat/>
    <w:uiPriority w:val="0"/>
    <w:pPr>
      <w:keepNext/>
      <w:widowControl/>
      <w:overflowPunct w:val="0"/>
      <w:adjustRightInd w:val="0"/>
      <w:snapToGrid w:val="0"/>
      <w:spacing w:before="360" w:after="120" w:line="480" w:lineRule="exact"/>
      <w:ind w:firstLine="200" w:firstLineChars="200"/>
      <w:jc w:val="center"/>
      <w:textAlignment w:val="baseline"/>
    </w:pPr>
    <w:rPr>
      <w:rFonts w:ascii="Arial" w:hAnsi="Arial" w:eastAsia="黑体"/>
      <w:kern w:val="0"/>
      <w:sz w:val="24"/>
      <w:lang w:eastAsia="en-US" w:bidi="en-US"/>
    </w:rPr>
  </w:style>
  <w:style w:type="paragraph" w:customStyle="1" w:styleId="949">
    <w:name w:val="默认段落字体 Para Char"/>
    <w:basedOn w:val="1"/>
    <w:qFormat/>
    <w:uiPriority w:val="0"/>
    <w:rPr>
      <w:szCs w:val="20"/>
    </w:rPr>
  </w:style>
  <w:style w:type="paragraph" w:customStyle="1" w:styleId="950">
    <w:name w:val="CM169"/>
    <w:basedOn w:val="114"/>
    <w:next w:val="114"/>
    <w:qFormat/>
    <w:uiPriority w:val="0"/>
    <w:pPr>
      <w:spacing w:line="340" w:lineRule="atLeast"/>
    </w:pPr>
    <w:rPr>
      <w:rFonts w:hAnsi="Times New Roman"/>
      <w:color w:val="auto"/>
      <w:kern w:val="2"/>
      <w:szCs w:val="24"/>
    </w:rPr>
  </w:style>
  <w:style w:type="paragraph" w:customStyle="1" w:styleId="95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color w:val="800000"/>
      <w:kern w:val="0"/>
      <w:sz w:val="22"/>
      <w:szCs w:val="22"/>
      <w:lang w:eastAsia="en-US" w:bidi="en-US"/>
    </w:rPr>
  </w:style>
  <w:style w:type="paragraph" w:customStyle="1" w:styleId="952">
    <w:name w:val="xl8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953">
    <w:name w:val="正文缩进2"/>
    <w:basedOn w:val="1"/>
    <w:qFormat/>
    <w:uiPriority w:val="0"/>
    <w:pPr>
      <w:ind w:firstLine="420" w:firstLineChars="200"/>
    </w:pPr>
    <w:rPr>
      <w:szCs w:val="22"/>
    </w:rPr>
  </w:style>
  <w:style w:type="paragraph" w:customStyle="1" w:styleId="954">
    <w:name w:val="CM150"/>
    <w:basedOn w:val="114"/>
    <w:next w:val="114"/>
    <w:qFormat/>
    <w:uiPriority w:val="0"/>
    <w:rPr>
      <w:rFonts w:hAnsi="Times New Roman"/>
      <w:color w:val="auto"/>
      <w:kern w:val="2"/>
      <w:szCs w:val="24"/>
    </w:rPr>
  </w:style>
  <w:style w:type="paragraph" w:customStyle="1" w:styleId="955">
    <w:name w:val="CM115"/>
    <w:basedOn w:val="114"/>
    <w:next w:val="114"/>
    <w:qFormat/>
    <w:uiPriority w:val="0"/>
    <w:pPr>
      <w:spacing w:line="340" w:lineRule="atLeast"/>
    </w:pPr>
    <w:rPr>
      <w:rFonts w:hAnsi="Times New Roman"/>
      <w:color w:val="auto"/>
      <w:kern w:val="2"/>
      <w:szCs w:val="24"/>
    </w:rPr>
  </w:style>
  <w:style w:type="paragraph" w:customStyle="1" w:styleId="956">
    <w:name w:val="flType"/>
    <w:basedOn w:val="692"/>
    <w:qFormat/>
    <w:uiPriority w:val="0"/>
    <w:pPr>
      <w:spacing w:before="560" w:after="120"/>
    </w:pPr>
    <w:rPr>
      <w:sz w:val="28"/>
    </w:rPr>
  </w:style>
  <w:style w:type="paragraph" w:customStyle="1" w:styleId="957">
    <w:name w:val="xl95"/>
    <w:basedOn w:val="1"/>
    <w:qFormat/>
    <w:uiPriority w:val="0"/>
    <w:pPr>
      <w:widowControl/>
      <w:pBdr>
        <w:top w:val="single" w:color="auto" w:sz="4" w:space="0"/>
        <w:left w:val="single" w:color="auto" w:sz="8" w:space="0"/>
        <w:bottom w:val="single" w:color="auto" w:sz="4" w:space="0"/>
      </w:pBdr>
      <w:shd w:val="clear" w:color="auto" w:fill="FFFFFF"/>
      <w:spacing w:before="100" w:beforeAutospacing="1" w:after="100" w:afterAutospacing="1" w:line="276" w:lineRule="auto"/>
      <w:ind w:firstLine="200" w:firstLineChars="200"/>
      <w:jc w:val="center"/>
    </w:pPr>
    <w:rPr>
      <w:rFonts w:ascii="宋体" w:hAnsi="宋体"/>
      <w:b/>
      <w:bCs/>
      <w:kern w:val="0"/>
      <w:sz w:val="24"/>
      <w:szCs w:val="22"/>
      <w:lang w:eastAsia="en-US" w:bidi="en-US"/>
    </w:rPr>
  </w:style>
  <w:style w:type="paragraph" w:customStyle="1" w:styleId="958">
    <w:name w:val="CM212"/>
    <w:basedOn w:val="114"/>
    <w:next w:val="114"/>
    <w:qFormat/>
    <w:uiPriority w:val="0"/>
    <w:rPr>
      <w:rFonts w:hAnsi="Times New Roman"/>
      <w:color w:val="auto"/>
      <w:kern w:val="2"/>
      <w:szCs w:val="24"/>
    </w:rPr>
  </w:style>
  <w:style w:type="paragraph" w:customStyle="1" w:styleId="959">
    <w:name w:val="CM67"/>
    <w:basedOn w:val="114"/>
    <w:next w:val="114"/>
    <w:qFormat/>
    <w:uiPriority w:val="0"/>
    <w:pPr>
      <w:spacing w:line="556" w:lineRule="atLeast"/>
    </w:pPr>
    <w:rPr>
      <w:rFonts w:hAnsi="Times New Roman"/>
      <w:color w:val="auto"/>
      <w:kern w:val="2"/>
      <w:szCs w:val="24"/>
    </w:rPr>
  </w:style>
  <w:style w:type="paragraph" w:customStyle="1" w:styleId="960">
    <w:name w:val="xl1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961">
    <w:name w:val="1"/>
    <w:basedOn w:val="1"/>
    <w:next w:val="26"/>
    <w:qFormat/>
    <w:uiPriority w:val="0"/>
    <w:pPr>
      <w:adjustRightInd w:val="0"/>
      <w:ind w:left="420" w:right="33"/>
      <w:jc w:val="left"/>
      <w:textAlignment w:val="baseline"/>
    </w:pPr>
    <w:rPr>
      <w:kern w:val="0"/>
      <w:sz w:val="24"/>
      <w:szCs w:val="20"/>
    </w:rPr>
  </w:style>
  <w:style w:type="paragraph" w:customStyle="1" w:styleId="962">
    <w:name w:val="font10"/>
    <w:basedOn w:val="1"/>
    <w:qFormat/>
    <w:uiPriority w:val="0"/>
    <w:pPr>
      <w:widowControl/>
      <w:spacing w:before="100" w:beforeAutospacing="1" w:after="100" w:afterAutospacing="1" w:line="276" w:lineRule="auto"/>
      <w:ind w:firstLine="200" w:firstLineChars="200"/>
      <w:jc w:val="left"/>
    </w:pPr>
    <w:rPr>
      <w:b/>
      <w:bCs/>
      <w:kern w:val="0"/>
      <w:sz w:val="20"/>
      <w:lang w:eastAsia="en-US" w:bidi="en-US"/>
    </w:rPr>
  </w:style>
  <w:style w:type="paragraph" w:customStyle="1" w:styleId="963">
    <w:name w:val="封面标题"/>
    <w:qFormat/>
    <w:uiPriority w:val="0"/>
    <w:pPr>
      <w:spacing w:after="200" w:line="276" w:lineRule="auto"/>
      <w:ind w:firstLine="200" w:firstLineChars="200"/>
      <w:jc w:val="center"/>
    </w:pPr>
    <w:rPr>
      <w:rFonts w:ascii="Calibri" w:hAnsi="Calibri" w:eastAsia="隶书" w:cs="Times New Roman"/>
      <w:b/>
      <w:sz w:val="52"/>
      <w:szCs w:val="22"/>
      <w:lang w:val="en-US" w:eastAsia="en-US" w:bidi="en-US"/>
    </w:rPr>
  </w:style>
  <w:style w:type="paragraph" w:customStyle="1" w:styleId="964">
    <w:name w:val="CM133"/>
    <w:basedOn w:val="114"/>
    <w:next w:val="114"/>
    <w:qFormat/>
    <w:uiPriority w:val="0"/>
    <w:pPr>
      <w:spacing w:line="273" w:lineRule="atLeast"/>
    </w:pPr>
    <w:rPr>
      <w:rFonts w:hAnsi="Times New Roman"/>
      <w:color w:val="auto"/>
      <w:kern w:val="2"/>
      <w:szCs w:val="24"/>
    </w:rPr>
  </w:style>
  <w:style w:type="paragraph" w:customStyle="1" w:styleId="965">
    <w:name w:val="Normal_5"/>
    <w:qFormat/>
    <w:uiPriority w:val="0"/>
    <w:pPr>
      <w:widowControl w:val="0"/>
      <w:jc w:val="both"/>
    </w:pPr>
    <w:rPr>
      <w:rFonts w:ascii="Times New Roman" w:hAnsi="Times New Roman" w:eastAsia="宋体" w:cs="Times New Roman"/>
      <w:lang w:val="en-US" w:eastAsia="zh-CN" w:bidi="ar-SA"/>
    </w:rPr>
  </w:style>
  <w:style w:type="paragraph" w:customStyle="1" w:styleId="966">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67">
    <w:name w:val="H1"/>
    <w:qFormat/>
    <w:uiPriority w:val="0"/>
    <w:pPr>
      <w:widowControl w:val="0"/>
      <w:adjustRightInd w:val="0"/>
      <w:spacing w:after="240" w:line="240" w:lineRule="atLeast"/>
      <w:textAlignment w:val="baseline"/>
    </w:pPr>
    <w:rPr>
      <w:rFonts w:ascii="Times New Roman" w:hAnsi="Times New Roman" w:eastAsia="全真中明體" w:cs="Times New Roman"/>
      <w:b/>
      <w:caps/>
      <w:spacing w:val="30"/>
      <w:sz w:val="24"/>
      <w:lang w:val="en-GB" w:eastAsia="zh-TW" w:bidi="ar-SA"/>
    </w:rPr>
  </w:style>
  <w:style w:type="paragraph" w:customStyle="1" w:styleId="96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69">
    <w:name w:val="Normal_2"/>
    <w:qFormat/>
    <w:uiPriority w:val="0"/>
    <w:pPr>
      <w:widowControl w:val="0"/>
      <w:jc w:val="both"/>
    </w:pPr>
    <w:rPr>
      <w:rFonts w:ascii="Calibri" w:hAnsi="Calibri" w:eastAsia="宋体" w:cs="Times New Roman"/>
      <w:lang w:val="en-US" w:eastAsia="zh-CN" w:bidi="ar-SA"/>
    </w:rPr>
  </w:style>
  <w:style w:type="paragraph" w:customStyle="1" w:styleId="970">
    <w:name w:val="CM83"/>
    <w:basedOn w:val="114"/>
    <w:next w:val="114"/>
    <w:qFormat/>
    <w:uiPriority w:val="0"/>
    <w:pPr>
      <w:spacing w:line="391" w:lineRule="atLeast"/>
    </w:pPr>
    <w:rPr>
      <w:rFonts w:hAnsi="Times New Roman"/>
      <w:color w:val="auto"/>
      <w:kern w:val="2"/>
      <w:szCs w:val="24"/>
    </w:rPr>
  </w:style>
  <w:style w:type="paragraph" w:customStyle="1" w:styleId="971">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972">
    <w:name w:val="中文正文"/>
    <w:basedOn w:val="1"/>
    <w:qFormat/>
    <w:uiPriority w:val="0"/>
    <w:pPr>
      <w:widowControl/>
      <w:adjustRightInd w:val="0"/>
      <w:snapToGrid w:val="0"/>
      <w:spacing w:before="120" w:after="120" w:line="300" w:lineRule="auto"/>
      <w:ind w:firstLine="200" w:firstLineChars="200"/>
      <w:jc w:val="left"/>
      <w:textAlignment w:val="baseline"/>
    </w:pPr>
    <w:rPr>
      <w:rFonts w:eastAsia="楷体_GB2312"/>
      <w:kern w:val="0"/>
      <w:sz w:val="28"/>
      <w:lang w:eastAsia="en-US" w:bidi="en-US"/>
    </w:rPr>
  </w:style>
  <w:style w:type="paragraph" w:customStyle="1" w:styleId="973">
    <w:name w:val="Char13"/>
    <w:basedOn w:val="1"/>
    <w:qFormat/>
    <w:uiPriority w:val="0"/>
    <w:pPr>
      <w:tabs>
        <w:tab w:val="left" w:pos="360"/>
      </w:tabs>
    </w:pPr>
    <w:rPr>
      <w:sz w:val="24"/>
    </w:rPr>
  </w:style>
  <w:style w:type="paragraph" w:customStyle="1" w:styleId="974">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right"/>
    </w:pPr>
    <w:rPr>
      <w:rFonts w:ascii="宋体" w:hAnsi="宋体"/>
      <w:color w:val="FF0000"/>
      <w:kern w:val="0"/>
      <w:sz w:val="22"/>
      <w:szCs w:val="22"/>
      <w:lang w:eastAsia="en-US" w:bidi="en-US"/>
    </w:rPr>
  </w:style>
  <w:style w:type="paragraph" w:customStyle="1" w:styleId="975">
    <w:name w:val="尾消息标题"/>
    <w:basedOn w:val="55"/>
    <w:next w:val="23"/>
    <w:qFormat/>
    <w:uiPriority w:val="0"/>
    <w:pPr>
      <w:pBdr>
        <w:top w:val="double" w:color="auto" w:sz="6" w:space="18"/>
        <w:bottom w:val="double" w:color="auto" w:sz="6" w:space="18"/>
        <w:between w:val="single" w:color="auto" w:sz="6" w:space="18"/>
      </w:pBdr>
      <w:tabs>
        <w:tab w:val="left" w:pos="1279"/>
        <w:tab w:val="left" w:pos="2940"/>
        <w:tab w:val="left" w:pos="5100"/>
        <w:tab w:val="right" w:pos="8640"/>
      </w:tabs>
      <w:spacing w:before="13"/>
      <w:ind w:left="0"/>
    </w:pPr>
  </w:style>
  <w:style w:type="paragraph" w:customStyle="1" w:styleId="976">
    <w:name w:val="CM128"/>
    <w:basedOn w:val="114"/>
    <w:next w:val="114"/>
    <w:qFormat/>
    <w:uiPriority w:val="0"/>
    <w:rPr>
      <w:rFonts w:hAnsi="Times New Roman"/>
      <w:color w:val="auto"/>
      <w:kern w:val="2"/>
      <w:szCs w:val="24"/>
    </w:rPr>
  </w:style>
  <w:style w:type="paragraph" w:customStyle="1" w:styleId="977">
    <w:name w:val="字元1"/>
    <w:basedOn w:val="1"/>
    <w:qFormat/>
    <w:uiPriority w:val="0"/>
    <w:rPr>
      <w:rFonts w:ascii="Tahoma" w:hAnsi="Tahoma"/>
      <w:sz w:val="24"/>
      <w:szCs w:val="20"/>
    </w:rPr>
  </w:style>
  <w:style w:type="paragraph" w:customStyle="1" w:styleId="978">
    <w:name w:val="正文首行缩进3"/>
    <w:basedOn w:val="1"/>
    <w:qFormat/>
    <w:uiPriority w:val="0"/>
    <w:pPr>
      <w:widowControl/>
      <w:tabs>
        <w:tab w:val="left" w:pos="425"/>
      </w:tabs>
      <w:spacing w:after="200" w:line="360" w:lineRule="auto"/>
      <w:ind w:left="425" w:hanging="425" w:firstLineChars="200"/>
      <w:jc w:val="left"/>
      <w:textAlignment w:val="bottom"/>
    </w:pPr>
    <w:rPr>
      <w:rFonts w:ascii="宋体" w:hAnsi="宋体"/>
      <w:color w:val="000000"/>
      <w:kern w:val="0"/>
      <w:sz w:val="24"/>
      <w:szCs w:val="22"/>
      <w:lang w:eastAsia="en-US" w:bidi="en-US"/>
    </w:rPr>
  </w:style>
  <w:style w:type="paragraph" w:customStyle="1" w:styleId="97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styleId="98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981">
    <w:name w:val="xl76"/>
    <w:basedOn w:val="1"/>
    <w:qFormat/>
    <w:uiPriority w:val="0"/>
    <w:pPr>
      <w:widowControl/>
      <w:spacing w:before="100" w:beforeAutospacing="1" w:after="100" w:afterAutospacing="1" w:line="276" w:lineRule="auto"/>
      <w:ind w:firstLine="200" w:firstLineChars="200"/>
      <w:jc w:val="left"/>
    </w:pPr>
    <w:rPr>
      <w:kern w:val="0"/>
      <w:sz w:val="18"/>
      <w:szCs w:val="18"/>
      <w:lang w:eastAsia="en-US" w:bidi="en-US"/>
    </w:rPr>
  </w:style>
  <w:style w:type="paragraph" w:customStyle="1" w:styleId="982">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18"/>
      <w:szCs w:val="18"/>
    </w:rPr>
  </w:style>
  <w:style w:type="paragraph" w:customStyle="1" w:styleId="98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84">
    <w:name w:val="xl9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line="276" w:lineRule="auto"/>
      <w:ind w:firstLine="200" w:firstLineChars="200"/>
      <w:jc w:val="center"/>
    </w:pPr>
    <w:rPr>
      <w:rFonts w:ascii="宋体" w:hAnsi="宋体"/>
      <w:b/>
      <w:bCs/>
      <w:kern w:val="0"/>
      <w:sz w:val="22"/>
      <w:szCs w:val="22"/>
      <w:lang w:eastAsia="en-US" w:bidi="en-US"/>
    </w:rPr>
  </w:style>
  <w:style w:type="paragraph" w:customStyle="1" w:styleId="985">
    <w:name w:val="CM176"/>
    <w:basedOn w:val="114"/>
    <w:next w:val="114"/>
    <w:qFormat/>
    <w:uiPriority w:val="0"/>
    <w:rPr>
      <w:rFonts w:hAnsi="Times New Roman"/>
      <w:color w:val="auto"/>
      <w:kern w:val="2"/>
      <w:szCs w:val="24"/>
    </w:rPr>
  </w:style>
  <w:style w:type="paragraph" w:customStyle="1" w:styleId="98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87">
    <w:name w:val="CM131"/>
    <w:basedOn w:val="114"/>
    <w:next w:val="114"/>
    <w:qFormat/>
    <w:uiPriority w:val="0"/>
    <w:rPr>
      <w:rFonts w:hAnsi="Times New Roman"/>
      <w:color w:val="auto"/>
      <w:kern w:val="2"/>
      <w:szCs w:val="24"/>
    </w:rPr>
  </w:style>
  <w:style w:type="paragraph" w:customStyle="1" w:styleId="988">
    <w:name w:val="xl39"/>
    <w:basedOn w:val="1"/>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kern w:val="0"/>
      <w:sz w:val="22"/>
      <w:szCs w:val="22"/>
      <w:lang w:eastAsia="en-US" w:bidi="en-US"/>
    </w:rPr>
  </w:style>
  <w:style w:type="paragraph" w:customStyle="1" w:styleId="989">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90">
    <w:name w:val="CM204"/>
    <w:basedOn w:val="114"/>
    <w:next w:val="114"/>
    <w:qFormat/>
    <w:uiPriority w:val="0"/>
    <w:rPr>
      <w:rFonts w:hAnsi="Times New Roman"/>
      <w:color w:val="auto"/>
      <w:kern w:val="2"/>
      <w:szCs w:val="24"/>
    </w:rPr>
  </w:style>
  <w:style w:type="paragraph" w:customStyle="1" w:styleId="991">
    <w:name w:val="p6"/>
    <w:basedOn w:val="1"/>
    <w:qFormat/>
    <w:uiPriority w:val="0"/>
    <w:pPr>
      <w:widowControl/>
      <w:spacing w:line="480" w:lineRule="auto"/>
      <w:ind w:firstLine="480"/>
      <w:jc w:val="left"/>
    </w:pPr>
    <w:rPr>
      <w:rFonts w:ascii="宋体" w:hAnsi="宋体" w:cs="宋体"/>
      <w:kern w:val="0"/>
      <w:sz w:val="24"/>
      <w:szCs w:val="20"/>
    </w:rPr>
  </w:style>
  <w:style w:type="paragraph" w:customStyle="1" w:styleId="992">
    <w:name w:val="样式5"/>
    <w:basedOn w:val="1"/>
    <w:qFormat/>
    <w:uiPriority w:val="0"/>
    <w:rPr>
      <w:rFonts w:ascii="宋体"/>
      <w:sz w:val="24"/>
    </w:rPr>
  </w:style>
  <w:style w:type="paragraph" w:customStyle="1" w:styleId="993">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994">
    <w:name w:val="Char Char121"/>
    <w:basedOn w:val="1"/>
    <w:qFormat/>
    <w:uiPriority w:val="0"/>
    <w:pPr>
      <w:spacing w:line="240" w:lineRule="atLeast"/>
      <w:ind w:left="420" w:firstLine="420"/>
    </w:pPr>
    <w:rPr>
      <w:rFonts w:ascii="宋体" w:hAnsi="Times New Roman"/>
      <w:snapToGrid w:val="0"/>
      <w:kern w:val="21"/>
    </w:rPr>
  </w:style>
  <w:style w:type="paragraph" w:customStyle="1" w:styleId="995">
    <w:name w:val="CM179"/>
    <w:basedOn w:val="114"/>
    <w:next w:val="114"/>
    <w:qFormat/>
    <w:uiPriority w:val="0"/>
    <w:rPr>
      <w:rFonts w:hAnsi="Times New Roman"/>
      <w:color w:val="auto"/>
      <w:kern w:val="2"/>
      <w:szCs w:val="24"/>
    </w:rPr>
  </w:style>
  <w:style w:type="paragraph" w:customStyle="1" w:styleId="996">
    <w:name w:val="CM170"/>
    <w:basedOn w:val="114"/>
    <w:next w:val="114"/>
    <w:qFormat/>
    <w:uiPriority w:val="0"/>
    <w:rPr>
      <w:rFonts w:hAnsi="Times New Roman"/>
      <w:color w:val="auto"/>
      <w:kern w:val="2"/>
      <w:szCs w:val="24"/>
    </w:rPr>
  </w:style>
  <w:style w:type="paragraph" w:customStyle="1" w:styleId="997">
    <w:name w:val="CM56"/>
    <w:basedOn w:val="114"/>
    <w:next w:val="114"/>
    <w:qFormat/>
    <w:uiPriority w:val="99"/>
    <w:rPr>
      <w:rFonts w:ascii="Times New Roman"/>
      <w:color w:val="auto"/>
      <w:szCs w:val="24"/>
    </w:rPr>
  </w:style>
  <w:style w:type="paragraph" w:customStyle="1" w:styleId="998">
    <w:name w:val="xl1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999">
    <w:name w:val="p15"/>
    <w:basedOn w:val="1"/>
    <w:qFormat/>
    <w:uiPriority w:val="0"/>
    <w:pPr>
      <w:widowControl/>
      <w:spacing w:line="480" w:lineRule="auto"/>
      <w:ind w:firstLine="420"/>
      <w:jc w:val="left"/>
    </w:pPr>
    <w:rPr>
      <w:rFonts w:ascii="宋体" w:hAnsi="宋体" w:cs="宋体"/>
      <w:kern w:val="0"/>
      <w:szCs w:val="21"/>
    </w:rPr>
  </w:style>
  <w:style w:type="paragraph" w:customStyle="1" w:styleId="1000">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1001">
    <w:name w:val="CM182"/>
    <w:basedOn w:val="114"/>
    <w:next w:val="114"/>
    <w:qFormat/>
    <w:uiPriority w:val="0"/>
    <w:rPr>
      <w:rFonts w:hAnsi="Times New Roman"/>
      <w:color w:val="auto"/>
      <w:kern w:val="2"/>
      <w:szCs w:val="24"/>
    </w:rPr>
  </w:style>
  <w:style w:type="paragraph" w:customStyle="1" w:styleId="1002">
    <w:name w:val="简单回函地址"/>
    <w:basedOn w:val="1"/>
    <w:qFormat/>
    <w:uiPriority w:val="0"/>
  </w:style>
  <w:style w:type="paragraph" w:customStyle="1" w:styleId="1003">
    <w:name w:val="Char33"/>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1004">
    <w:name w:val="CM186"/>
    <w:basedOn w:val="114"/>
    <w:next w:val="114"/>
    <w:qFormat/>
    <w:uiPriority w:val="0"/>
    <w:rPr>
      <w:rFonts w:hAnsi="Times New Roman"/>
      <w:color w:val="auto"/>
      <w:kern w:val="2"/>
      <w:szCs w:val="24"/>
    </w:rPr>
  </w:style>
  <w:style w:type="paragraph" w:customStyle="1" w:styleId="1005">
    <w:name w:val="Char2 Char Char Char Char Char Char"/>
    <w:basedOn w:val="19"/>
    <w:qFormat/>
    <w:uiPriority w:val="0"/>
    <w:rPr>
      <w:rFonts w:ascii="宋体"/>
      <w:kern w:val="0"/>
      <w:sz w:val="18"/>
      <w:szCs w:val="18"/>
    </w:rPr>
  </w:style>
  <w:style w:type="paragraph" w:customStyle="1" w:styleId="1006">
    <w:name w:val="正文文本 21"/>
    <w:basedOn w:val="1"/>
    <w:qFormat/>
    <w:uiPriority w:val="0"/>
    <w:pPr>
      <w:widowControl/>
      <w:adjustRightInd w:val="0"/>
      <w:spacing w:after="200" w:line="500" w:lineRule="exact"/>
      <w:ind w:firstLine="540" w:firstLineChars="200"/>
      <w:jc w:val="left"/>
      <w:textAlignment w:val="baseline"/>
    </w:pPr>
    <w:rPr>
      <w:rFonts w:eastAsia="楷体_GB2312"/>
      <w:kern w:val="0"/>
      <w:sz w:val="28"/>
      <w:lang w:eastAsia="en-US" w:bidi="en-US"/>
    </w:rPr>
  </w:style>
  <w:style w:type="paragraph" w:customStyle="1" w:styleId="1007">
    <w:name w:val="List Paragraph1"/>
    <w:basedOn w:val="1"/>
    <w:qFormat/>
    <w:uiPriority w:val="99"/>
    <w:pPr>
      <w:ind w:firstLine="420" w:firstLineChars="200"/>
    </w:pPr>
    <w:rPr>
      <w:szCs w:val="22"/>
    </w:rPr>
  </w:style>
  <w:style w:type="paragraph" w:customStyle="1" w:styleId="1008">
    <w:name w:val="TOC 标题3"/>
    <w:basedOn w:val="4"/>
    <w:next w:val="1"/>
    <w:qFormat/>
    <w:uiPriority w:val="0"/>
    <w:pPr>
      <w:spacing w:before="340" w:after="330" w:line="576" w:lineRule="auto"/>
      <w:outlineLvl w:val="9"/>
    </w:pPr>
    <w:rPr>
      <w:sz w:val="44"/>
    </w:rPr>
  </w:style>
  <w:style w:type="paragraph" w:customStyle="1" w:styleId="1009">
    <w:name w:val="Char41"/>
    <w:basedOn w:val="1"/>
    <w:qFormat/>
    <w:uiPriority w:val="0"/>
    <w:pPr>
      <w:tabs>
        <w:tab w:val="left" w:pos="360"/>
      </w:tabs>
    </w:pPr>
    <w:rPr>
      <w:sz w:val="24"/>
    </w:rPr>
  </w:style>
  <w:style w:type="paragraph" w:customStyle="1" w:styleId="1010">
    <w:name w:val="标书正文格式"/>
    <w:qFormat/>
    <w:uiPriority w:val="0"/>
    <w:pPr>
      <w:ind w:firstLine="200" w:firstLineChars="200"/>
    </w:pPr>
    <w:rPr>
      <w:rFonts w:ascii="Times New Roman" w:hAnsi="Times New Roman" w:eastAsia="宋体" w:cs="Times New Roman"/>
      <w:kern w:val="2"/>
      <w:sz w:val="28"/>
      <w:szCs w:val="28"/>
      <w:lang w:val="en-US" w:eastAsia="zh-CN" w:bidi="ar-SA"/>
    </w:rPr>
  </w:style>
  <w:style w:type="paragraph" w:customStyle="1" w:styleId="1011">
    <w:name w:val="题1.1"/>
    <w:basedOn w:val="1"/>
    <w:qFormat/>
    <w:uiPriority w:val="0"/>
    <w:pPr>
      <w:adjustRightInd w:val="0"/>
      <w:spacing w:after="60"/>
      <w:ind w:left="454" w:firstLine="454"/>
      <w:textAlignment w:val="baseline"/>
    </w:pPr>
    <w:rPr>
      <w:rFonts w:ascii="楷体_GB2312" w:hAnsi="Times New Roman" w:eastAsia="楷体_GB2312"/>
      <w:spacing w:val="15"/>
      <w:kern w:val="0"/>
      <w:szCs w:val="20"/>
    </w:rPr>
  </w:style>
  <w:style w:type="paragraph" w:customStyle="1" w:styleId="1012">
    <w:name w:val="节标题"/>
    <w:basedOn w:val="1"/>
    <w:qFormat/>
    <w:uiPriority w:val="0"/>
    <w:pPr>
      <w:widowControl/>
      <w:spacing w:after="200" w:line="289" w:lineRule="atLeast"/>
      <w:ind w:firstLine="200" w:firstLineChars="200"/>
      <w:jc w:val="center"/>
      <w:textAlignment w:val="baseline"/>
    </w:pPr>
    <w:rPr>
      <w:color w:val="000000"/>
      <w:kern w:val="0"/>
      <w:sz w:val="28"/>
      <w:lang w:eastAsia="en-US" w:bidi="en-US"/>
    </w:rPr>
  </w:style>
  <w:style w:type="paragraph" w:customStyle="1" w:styleId="1013">
    <w:name w:val="Char Char Char Char1 Char Char Char Char Char1 Char Char Char1 Char1"/>
    <w:basedOn w:val="1"/>
    <w:qFormat/>
    <w:uiPriority w:val="0"/>
    <w:pPr>
      <w:spacing w:line="240" w:lineRule="atLeast"/>
      <w:ind w:left="420" w:firstLine="420"/>
    </w:pPr>
    <w:rPr>
      <w:rFonts w:ascii="Times New Roman" w:hAnsi="Times New Roman"/>
    </w:rPr>
  </w:style>
  <w:style w:type="paragraph" w:customStyle="1" w:styleId="1014">
    <w:name w:val="font14"/>
    <w:basedOn w:val="1"/>
    <w:qFormat/>
    <w:uiPriority w:val="0"/>
    <w:pPr>
      <w:widowControl/>
      <w:spacing w:before="100" w:beforeAutospacing="1" w:after="100" w:afterAutospacing="1" w:line="276" w:lineRule="auto"/>
      <w:ind w:firstLine="200" w:firstLineChars="200"/>
      <w:jc w:val="left"/>
    </w:pPr>
    <w:rPr>
      <w:rFonts w:eastAsia="Arial Unicode MS"/>
      <w:b/>
      <w:bCs/>
      <w:kern w:val="0"/>
      <w:sz w:val="22"/>
      <w:szCs w:val="22"/>
      <w:lang w:eastAsia="en-US" w:bidi="en-US"/>
    </w:rPr>
  </w:style>
  <w:style w:type="paragraph" w:customStyle="1" w:styleId="10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016">
    <w:name w:val="p16"/>
    <w:basedOn w:val="1"/>
    <w:qFormat/>
    <w:uiPriority w:val="0"/>
    <w:pPr>
      <w:widowControl/>
    </w:pPr>
    <w:rPr>
      <w:kern w:val="0"/>
      <w:szCs w:val="21"/>
    </w:rPr>
  </w:style>
  <w:style w:type="paragraph" w:customStyle="1" w:styleId="1017">
    <w:name w:val="样式 样式 样式 宋体 小四 黑色 两端对齐 + 首行缩进:  2 字符 + 五号 首行缩进:  2 字符"/>
    <w:basedOn w:val="1"/>
    <w:qFormat/>
    <w:uiPriority w:val="0"/>
    <w:pPr>
      <w:widowControl/>
      <w:spacing w:line="340" w:lineRule="exact"/>
      <w:ind w:firstLine="200" w:firstLineChars="200"/>
    </w:pPr>
    <w:rPr>
      <w:rFonts w:ascii="宋体" w:hAnsi="宋体"/>
      <w:color w:val="000000"/>
      <w:kern w:val="0"/>
    </w:rPr>
  </w:style>
  <w:style w:type="paragraph" w:customStyle="1" w:styleId="1018">
    <w:name w:val="CM53"/>
    <w:basedOn w:val="114"/>
    <w:next w:val="114"/>
    <w:qFormat/>
    <w:uiPriority w:val="0"/>
    <w:pPr>
      <w:spacing w:line="400" w:lineRule="atLeast"/>
    </w:pPr>
    <w:rPr>
      <w:rFonts w:hAnsi="Times New Roman"/>
      <w:color w:val="auto"/>
      <w:kern w:val="2"/>
      <w:szCs w:val="24"/>
    </w:rPr>
  </w:style>
  <w:style w:type="paragraph" w:customStyle="1" w:styleId="1019">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102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1021">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宋体" w:hAnsi="宋体" w:cs="宋体"/>
      <w:kern w:val="0"/>
      <w:sz w:val="18"/>
      <w:szCs w:val="18"/>
    </w:rPr>
  </w:style>
  <w:style w:type="paragraph" w:customStyle="1" w:styleId="1022">
    <w:name w:val="CM77"/>
    <w:basedOn w:val="114"/>
    <w:next w:val="114"/>
    <w:qFormat/>
    <w:uiPriority w:val="0"/>
    <w:rPr>
      <w:rFonts w:hAnsi="Times New Roman"/>
      <w:color w:val="auto"/>
      <w:kern w:val="2"/>
      <w:szCs w:val="24"/>
    </w:rPr>
  </w:style>
  <w:style w:type="paragraph" w:customStyle="1" w:styleId="1023">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right"/>
    </w:pPr>
    <w:rPr>
      <w:rFonts w:ascii="宋体" w:hAnsi="宋体"/>
      <w:b/>
      <w:bCs/>
      <w:kern w:val="0"/>
      <w:sz w:val="22"/>
      <w:szCs w:val="22"/>
      <w:lang w:eastAsia="en-US" w:bidi="en-US"/>
    </w:rPr>
  </w:style>
  <w:style w:type="paragraph" w:customStyle="1" w:styleId="1024">
    <w:name w:val="CM4"/>
    <w:basedOn w:val="114"/>
    <w:next w:val="114"/>
    <w:qFormat/>
    <w:uiPriority w:val="0"/>
    <w:pPr>
      <w:spacing w:after="210" w:line="276" w:lineRule="auto"/>
      <w:ind w:firstLine="200" w:firstLineChars="200"/>
      <w:jc w:val="both"/>
    </w:pPr>
    <w:rPr>
      <w:rFonts w:cs="宋体"/>
      <w:color w:val="auto"/>
      <w:szCs w:val="24"/>
      <w:lang w:eastAsia="en-US" w:bidi="en-US"/>
    </w:rPr>
  </w:style>
  <w:style w:type="paragraph" w:customStyle="1" w:styleId="1025">
    <w:name w:val="CM95"/>
    <w:basedOn w:val="1"/>
    <w:next w:val="1"/>
    <w:qFormat/>
    <w:uiPriority w:val="0"/>
    <w:pPr>
      <w:autoSpaceDE w:val="0"/>
      <w:autoSpaceDN w:val="0"/>
      <w:adjustRightInd w:val="0"/>
      <w:spacing w:after="115"/>
      <w:jc w:val="left"/>
    </w:pPr>
    <w:rPr>
      <w:rFonts w:ascii="宋体"/>
      <w:kern w:val="0"/>
      <w:sz w:val="24"/>
      <w:szCs w:val="20"/>
    </w:rPr>
  </w:style>
  <w:style w:type="paragraph" w:customStyle="1" w:styleId="1026">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27">
    <w:name w:val="带编号的正文"/>
    <w:basedOn w:val="1"/>
    <w:qFormat/>
    <w:uiPriority w:val="0"/>
    <w:pPr>
      <w:widowControl/>
      <w:tabs>
        <w:tab w:val="left" w:pos="0"/>
      </w:tabs>
      <w:spacing w:after="200" w:line="360" w:lineRule="auto"/>
      <w:ind w:left="510" w:leftChars="200" w:hanging="510" w:firstLineChars="200"/>
      <w:jc w:val="left"/>
      <w:textAlignment w:val="bottom"/>
    </w:pPr>
    <w:rPr>
      <w:rFonts w:ascii="宋体" w:hAnsi="宋体" w:eastAsia="楷体_GB2312"/>
      <w:kern w:val="0"/>
      <w:sz w:val="24"/>
      <w:lang w:eastAsia="en-US" w:bidi="en-US"/>
    </w:rPr>
  </w:style>
  <w:style w:type="paragraph" w:customStyle="1" w:styleId="1028">
    <w:name w:val="xl8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ind w:firstLine="200" w:firstLineChars="200"/>
      <w:jc w:val="left"/>
    </w:pPr>
    <w:rPr>
      <w:rFonts w:ascii="宋体" w:hAnsi="宋体"/>
      <w:color w:val="800000"/>
      <w:kern w:val="0"/>
      <w:sz w:val="22"/>
      <w:szCs w:val="22"/>
      <w:lang w:eastAsia="en-US" w:bidi="en-US"/>
    </w:rPr>
  </w:style>
  <w:style w:type="paragraph" w:customStyle="1" w:styleId="1029">
    <w:name w:val="CM1"/>
    <w:basedOn w:val="114"/>
    <w:next w:val="114"/>
    <w:qFormat/>
    <w:uiPriority w:val="0"/>
    <w:pPr>
      <w:spacing w:after="200" w:line="276" w:lineRule="auto"/>
      <w:ind w:firstLine="200" w:firstLineChars="200"/>
      <w:jc w:val="both"/>
    </w:pPr>
    <w:rPr>
      <w:rFonts w:cs="宋体"/>
      <w:color w:val="auto"/>
      <w:szCs w:val="24"/>
      <w:lang w:eastAsia="en-US" w:bidi="en-US"/>
    </w:rPr>
  </w:style>
  <w:style w:type="paragraph" w:customStyle="1" w:styleId="1030">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 w:type="paragraph" w:customStyle="1" w:styleId="103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32">
    <w:name w:val="CM6"/>
    <w:basedOn w:val="114"/>
    <w:next w:val="114"/>
    <w:qFormat/>
    <w:uiPriority w:val="0"/>
    <w:pPr>
      <w:spacing w:line="500" w:lineRule="atLeast"/>
    </w:pPr>
    <w:rPr>
      <w:rFonts w:hAnsi="Times New Roman"/>
      <w:color w:val="auto"/>
      <w:kern w:val="2"/>
      <w:szCs w:val="24"/>
    </w:rPr>
  </w:style>
  <w:style w:type="paragraph" w:customStyle="1" w:styleId="1033">
    <w:name w:val="xl77"/>
    <w:basedOn w:val="1"/>
    <w:qFormat/>
    <w:uiPriority w:val="0"/>
    <w:pPr>
      <w:widowControl/>
      <w:spacing w:before="100" w:beforeAutospacing="1" w:after="100" w:afterAutospacing="1" w:line="276" w:lineRule="auto"/>
      <w:ind w:firstLine="200" w:firstLineChars="200"/>
      <w:jc w:val="left"/>
    </w:pPr>
    <w:rPr>
      <w:b/>
      <w:bCs/>
      <w:kern w:val="0"/>
      <w:sz w:val="18"/>
      <w:szCs w:val="18"/>
      <w:lang w:eastAsia="en-US" w:bidi="en-US"/>
    </w:rPr>
  </w:style>
  <w:style w:type="paragraph" w:customStyle="1" w:styleId="1034">
    <w:name w:val="CM91"/>
    <w:basedOn w:val="1"/>
    <w:next w:val="1"/>
    <w:qFormat/>
    <w:uiPriority w:val="0"/>
    <w:pPr>
      <w:autoSpaceDE w:val="0"/>
      <w:autoSpaceDN w:val="0"/>
      <w:adjustRightInd w:val="0"/>
      <w:spacing w:after="160"/>
      <w:jc w:val="left"/>
    </w:pPr>
    <w:rPr>
      <w:rFonts w:ascii="宋体"/>
      <w:kern w:val="0"/>
      <w:sz w:val="24"/>
      <w:szCs w:val="20"/>
    </w:rPr>
  </w:style>
  <w:style w:type="paragraph" w:customStyle="1" w:styleId="1035">
    <w:name w:val="CM206"/>
    <w:basedOn w:val="114"/>
    <w:next w:val="114"/>
    <w:qFormat/>
    <w:uiPriority w:val="0"/>
    <w:rPr>
      <w:rFonts w:hAnsi="Times New Roman"/>
      <w:color w:val="auto"/>
      <w:kern w:val="2"/>
      <w:szCs w:val="24"/>
    </w:rPr>
  </w:style>
  <w:style w:type="paragraph" w:customStyle="1" w:styleId="1036">
    <w:name w:val="（叙述性）内文"/>
    <w:basedOn w:val="1"/>
    <w:qFormat/>
    <w:uiPriority w:val="0"/>
    <w:pPr>
      <w:autoSpaceDE w:val="0"/>
      <w:autoSpaceDN w:val="0"/>
      <w:adjustRightInd w:val="0"/>
      <w:spacing w:after="45" w:line="360" w:lineRule="atLeast"/>
      <w:ind w:firstLine="397"/>
      <w:textAlignment w:val="center"/>
    </w:pPr>
    <w:rPr>
      <w:rFonts w:ascii="方正宋一简体" w:hAnsi="Times New Roman" w:eastAsia="方正宋一简体"/>
      <w:color w:val="000000"/>
      <w:kern w:val="0"/>
      <w:sz w:val="19"/>
      <w:szCs w:val="19"/>
      <w:lang w:val="zh-CN"/>
    </w:rPr>
  </w:style>
  <w:style w:type="paragraph" w:customStyle="1" w:styleId="1037">
    <w:name w:val="字元"/>
    <w:basedOn w:val="1"/>
    <w:qFormat/>
    <w:uiPriority w:val="0"/>
    <w:rPr>
      <w:rFonts w:ascii="Tahoma" w:hAnsi="Tahoma"/>
      <w:sz w:val="24"/>
      <w:szCs w:val="20"/>
    </w:rPr>
  </w:style>
  <w:style w:type="paragraph" w:customStyle="1" w:styleId="10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b/>
      <w:bCs/>
      <w:kern w:val="0"/>
      <w:sz w:val="22"/>
      <w:szCs w:val="22"/>
      <w:lang w:eastAsia="en-US" w:bidi="en-US"/>
    </w:rPr>
  </w:style>
  <w:style w:type="paragraph" w:customStyle="1" w:styleId="1039">
    <w:name w:val="CM183"/>
    <w:basedOn w:val="114"/>
    <w:next w:val="114"/>
    <w:qFormat/>
    <w:uiPriority w:val="0"/>
    <w:rPr>
      <w:rFonts w:hAnsi="Times New Roman"/>
      <w:color w:val="auto"/>
      <w:kern w:val="2"/>
      <w:szCs w:val="24"/>
    </w:rPr>
  </w:style>
  <w:style w:type="paragraph" w:customStyle="1" w:styleId="1040">
    <w:name w:val="Level 2"/>
    <w:basedOn w:val="1"/>
    <w:next w:val="1"/>
    <w:qFormat/>
    <w:uiPriority w:val="99"/>
    <w:pPr>
      <w:widowControl/>
      <w:tabs>
        <w:tab w:val="left" w:pos="709"/>
      </w:tabs>
      <w:spacing w:after="210" w:line="264" w:lineRule="auto"/>
      <w:ind w:left="709" w:hanging="709"/>
      <w:outlineLvl w:val="1"/>
    </w:pPr>
    <w:rPr>
      <w:rFonts w:ascii="Arial" w:hAnsi="Arial" w:eastAsia="PMingLiU" w:cs="Arial"/>
      <w:kern w:val="28"/>
      <w:szCs w:val="21"/>
      <w:lang w:val="en-GB" w:eastAsia="en-US"/>
    </w:rPr>
  </w:style>
  <w:style w:type="paragraph" w:customStyle="1" w:styleId="1041">
    <w:name w:val="List Paragraph_0"/>
    <w:basedOn w:val="1"/>
    <w:qFormat/>
    <w:uiPriority w:val="99"/>
    <w:pPr>
      <w:ind w:firstLine="420" w:firstLineChars="200"/>
    </w:pPr>
    <w:rPr>
      <w:szCs w:val="22"/>
    </w:rPr>
  </w:style>
  <w:style w:type="paragraph" w:customStyle="1" w:styleId="104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rFonts w:ascii="宋体" w:hAnsi="宋体"/>
      <w:color w:val="FF0000"/>
      <w:kern w:val="0"/>
      <w:sz w:val="22"/>
      <w:szCs w:val="22"/>
      <w:lang w:eastAsia="en-US" w:bidi="en-US"/>
    </w:rPr>
  </w:style>
  <w:style w:type="paragraph" w:customStyle="1" w:styleId="1043">
    <w:name w:val="CM121"/>
    <w:basedOn w:val="114"/>
    <w:next w:val="114"/>
    <w:qFormat/>
    <w:uiPriority w:val="0"/>
    <w:rPr>
      <w:rFonts w:hAnsi="Times New Roman"/>
      <w:color w:val="auto"/>
      <w:kern w:val="2"/>
      <w:szCs w:val="24"/>
    </w:rPr>
  </w:style>
  <w:style w:type="paragraph" w:customStyle="1" w:styleId="1044">
    <w:name w:val="Normal_4"/>
    <w:qFormat/>
    <w:uiPriority w:val="0"/>
    <w:pPr>
      <w:widowControl w:val="0"/>
      <w:jc w:val="both"/>
    </w:pPr>
    <w:rPr>
      <w:rFonts w:ascii="Calibri" w:hAnsi="Calibri" w:eastAsia="宋体" w:cs="Times New Roman"/>
      <w:lang w:val="en-US" w:eastAsia="zh-CN" w:bidi="ar-SA"/>
    </w:rPr>
  </w:style>
  <w:style w:type="paragraph" w:customStyle="1" w:styleId="1045">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1046">
    <w:name w:val="CM62"/>
    <w:basedOn w:val="114"/>
    <w:next w:val="114"/>
    <w:qFormat/>
    <w:uiPriority w:val="0"/>
    <w:pPr>
      <w:spacing w:line="400" w:lineRule="atLeast"/>
    </w:pPr>
    <w:rPr>
      <w:rFonts w:hAnsi="Times New Roman"/>
      <w:color w:val="auto"/>
      <w:kern w:val="2"/>
      <w:szCs w:val="24"/>
    </w:rPr>
  </w:style>
  <w:style w:type="paragraph" w:customStyle="1" w:styleId="1047">
    <w:name w:val="CM79"/>
    <w:basedOn w:val="114"/>
    <w:next w:val="114"/>
    <w:qFormat/>
    <w:uiPriority w:val="0"/>
    <w:pPr>
      <w:spacing w:line="796" w:lineRule="atLeast"/>
    </w:pPr>
    <w:rPr>
      <w:rFonts w:hAnsi="Times New Roman"/>
      <w:color w:val="auto"/>
      <w:kern w:val="2"/>
      <w:szCs w:val="24"/>
    </w:rPr>
  </w:style>
  <w:style w:type="paragraph" w:customStyle="1" w:styleId="1048">
    <w:name w:val="p37"/>
    <w:basedOn w:val="1"/>
    <w:qFormat/>
    <w:uiPriority w:val="0"/>
    <w:pPr>
      <w:widowControl/>
      <w:jc w:val="left"/>
    </w:pPr>
    <w:rPr>
      <w:rFonts w:ascii="宋体" w:hAnsi="宋体" w:cs="宋体"/>
      <w:kern w:val="0"/>
      <w:szCs w:val="21"/>
    </w:rPr>
  </w:style>
  <w:style w:type="paragraph" w:customStyle="1" w:styleId="104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right"/>
    </w:pPr>
    <w:rPr>
      <w:rFonts w:ascii="宋体" w:hAnsi="宋体"/>
      <w:b/>
      <w:bCs/>
      <w:kern w:val="0"/>
      <w:sz w:val="22"/>
      <w:szCs w:val="22"/>
      <w:lang w:eastAsia="en-US" w:bidi="en-US"/>
    </w:rPr>
  </w:style>
  <w:style w:type="paragraph" w:customStyle="1" w:styleId="1050">
    <w:name w:val="CM143"/>
    <w:basedOn w:val="114"/>
    <w:next w:val="114"/>
    <w:qFormat/>
    <w:uiPriority w:val="0"/>
    <w:rPr>
      <w:rFonts w:hAnsi="Times New Roman"/>
      <w:color w:val="auto"/>
      <w:kern w:val="2"/>
      <w:szCs w:val="24"/>
    </w:rPr>
  </w:style>
  <w:style w:type="paragraph" w:customStyle="1" w:styleId="1051">
    <w:name w:val="样式 标题 3 + 仿宋_GB2312 小四 段前: 0 磅 段后: 0 磅"/>
    <w:basedOn w:val="6"/>
    <w:qFormat/>
    <w:uiPriority w:val="0"/>
    <w:pPr>
      <w:spacing w:beforeLines="50" w:line="415" w:lineRule="auto"/>
      <w:jc w:val="center"/>
    </w:pPr>
    <w:rPr>
      <w:rFonts w:ascii="仿宋_GB2312" w:eastAsia="仿宋_GB2312" w:cs="宋体"/>
      <w:kern w:val="0"/>
      <w:szCs w:val="20"/>
    </w:rPr>
  </w:style>
  <w:style w:type="paragraph" w:customStyle="1" w:styleId="1052">
    <w:name w:val="CM113"/>
    <w:basedOn w:val="114"/>
    <w:next w:val="114"/>
    <w:qFormat/>
    <w:uiPriority w:val="0"/>
    <w:pPr>
      <w:spacing w:line="343" w:lineRule="atLeast"/>
    </w:pPr>
    <w:rPr>
      <w:rFonts w:hAnsi="Times New Roman"/>
      <w:color w:val="auto"/>
      <w:kern w:val="2"/>
      <w:szCs w:val="24"/>
    </w:rPr>
  </w:style>
  <w:style w:type="paragraph" w:customStyle="1" w:styleId="1053">
    <w:name w:val="样式 标题 1 + 宋体 四号 非加粗"/>
    <w:basedOn w:val="1"/>
    <w:qFormat/>
    <w:uiPriority w:val="0"/>
    <w:pPr>
      <w:tabs>
        <w:tab w:val="left" w:pos="480"/>
      </w:tabs>
      <w:adjustRightInd w:val="0"/>
      <w:spacing w:line="360" w:lineRule="atLeast"/>
      <w:ind w:left="877" w:hanging="397"/>
      <w:textAlignment w:val="baseline"/>
    </w:pPr>
    <w:rPr>
      <w:rFonts w:ascii="Times New Roman" w:hAnsi="Times New Roman"/>
      <w:kern w:val="0"/>
      <w:sz w:val="20"/>
      <w:szCs w:val="20"/>
    </w:rPr>
  </w:style>
  <w:style w:type="paragraph" w:customStyle="1" w:styleId="1054">
    <w:name w:val="样式 标题 1 + (西文) MingLiU (中文) 宋体 小四"/>
    <w:basedOn w:val="4"/>
    <w:qFormat/>
    <w:uiPriority w:val="0"/>
    <w:pPr>
      <w:spacing w:before="340" w:after="330" w:line="578" w:lineRule="auto"/>
      <w:jc w:val="left"/>
    </w:pPr>
    <w:rPr>
      <w:rFonts w:ascii="MingLiU" w:hAnsi="MingLiU"/>
      <w:color w:val="000000"/>
      <w:sz w:val="24"/>
      <w:szCs w:val="20"/>
      <w:shd w:val="pct10" w:color="auto" w:fill="FFFFFF"/>
    </w:rPr>
  </w:style>
  <w:style w:type="paragraph" w:customStyle="1" w:styleId="1055">
    <w:name w:val="修订21"/>
    <w:qFormat/>
    <w:uiPriority w:val="0"/>
    <w:rPr>
      <w:rFonts w:ascii="Calibri" w:hAnsi="Calibri" w:eastAsia="宋体" w:cs="Times New Roman"/>
      <w:kern w:val="2"/>
      <w:sz w:val="21"/>
      <w:szCs w:val="24"/>
      <w:lang w:val="en-US" w:eastAsia="zh-CN" w:bidi="ar-SA"/>
    </w:rPr>
  </w:style>
  <w:style w:type="paragraph" w:customStyle="1" w:styleId="1056">
    <w:name w:val="Char Char Char Char Char Char Char Char Char Char Char Char Char Char Char Char Char Char Char Char Char Char Char Char1"/>
    <w:basedOn w:val="1"/>
    <w:qFormat/>
    <w:uiPriority w:val="0"/>
    <w:pPr>
      <w:widowControl/>
      <w:spacing w:after="160" w:line="240" w:lineRule="exact"/>
      <w:ind w:firstLine="200" w:firstLineChars="200"/>
      <w:jc w:val="left"/>
    </w:pPr>
    <w:rPr>
      <w:rFonts w:ascii="Verdana" w:hAnsi="Verdana" w:eastAsia="仿宋_GB2312"/>
      <w:kern w:val="0"/>
      <w:sz w:val="24"/>
      <w:lang w:eastAsia="en-US" w:bidi="en-US"/>
    </w:rPr>
  </w:style>
  <w:style w:type="paragraph" w:customStyle="1" w:styleId="1057">
    <w:name w:val="CM125"/>
    <w:basedOn w:val="114"/>
    <w:next w:val="114"/>
    <w:qFormat/>
    <w:uiPriority w:val="0"/>
    <w:pPr>
      <w:spacing w:line="273" w:lineRule="atLeast"/>
    </w:pPr>
    <w:rPr>
      <w:rFonts w:hAnsi="Times New Roman"/>
      <w:color w:val="auto"/>
      <w:kern w:val="2"/>
      <w:szCs w:val="24"/>
    </w:rPr>
  </w:style>
  <w:style w:type="paragraph" w:customStyle="1" w:styleId="1058">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1059">
    <w:name w:val="普通(网站)2"/>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1060">
    <w:name w:val="9css2"/>
    <w:basedOn w:val="1"/>
    <w:qFormat/>
    <w:uiPriority w:val="0"/>
    <w:pPr>
      <w:widowControl/>
      <w:spacing w:before="100" w:beforeAutospacing="1" w:after="100" w:afterAutospacing="1" w:line="268" w:lineRule="atLeast"/>
      <w:jc w:val="left"/>
    </w:pPr>
    <w:rPr>
      <w:rFonts w:hint="eastAsia" w:ascii="宋体" w:hAnsi="宋体"/>
      <w:color w:val="000000"/>
      <w:kern w:val="0"/>
      <w:sz w:val="20"/>
      <w:szCs w:val="20"/>
    </w:rPr>
  </w:style>
  <w:style w:type="paragraph" w:customStyle="1" w:styleId="1061">
    <w:name w:val="文档标签"/>
    <w:next w:val="1"/>
    <w:qFormat/>
    <w:uiPriority w:val="0"/>
    <w:pPr>
      <w:pBdr>
        <w:top w:val="double" w:color="auto" w:sz="6" w:space="8"/>
        <w:bottom w:val="double" w:color="auto" w:sz="6" w:space="8"/>
      </w:pBdr>
      <w:spacing w:after="40" w:line="240" w:lineRule="atLeast"/>
      <w:jc w:val="center"/>
    </w:pPr>
    <w:rPr>
      <w:rFonts w:ascii="Garamond" w:hAnsi="Garamond" w:eastAsia="宋体" w:cs="Times New Roman"/>
      <w:b/>
      <w:caps/>
      <w:spacing w:val="20"/>
      <w:sz w:val="18"/>
      <w:lang w:val="en-US" w:eastAsia="zh-CN" w:bidi="ar-SA"/>
    </w:rPr>
  </w:style>
  <w:style w:type="paragraph" w:customStyle="1" w:styleId="1062">
    <w:name w:val="P4"/>
    <w:qFormat/>
    <w:uiPriority w:val="0"/>
    <w:pPr>
      <w:widowControl w:val="0"/>
      <w:adjustRightInd w:val="0"/>
      <w:spacing w:after="240" w:line="240" w:lineRule="atLeast"/>
      <w:ind w:left="2880"/>
      <w:jc w:val="both"/>
      <w:textAlignment w:val="baseline"/>
    </w:pPr>
    <w:rPr>
      <w:rFonts w:ascii="Times New Roman" w:hAnsi="Times New Roman" w:eastAsia="全真中明體" w:cs="Times New Roman"/>
      <w:spacing w:val="20"/>
      <w:sz w:val="24"/>
      <w:lang w:val="en-GB" w:eastAsia="zh-TW" w:bidi="ar-SA"/>
    </w:rPr>
  </w:style>
  <w:style w:type="paragraph" w:customStyle="1" w:styleId="1063">
    <w:name w:val="Absatz2AL"/>
    <w:basedOn w:val="23"/>
    <w:next w:val="1"/>
    <w:qFormat/>
    <w:uiPriority w:val="0"/>
    <w:pPr>
      <w:overflowPunct w:val="0"/>
      <w:autoSpaceDE w:val="0"/>
      <w:autoSpaceDN w:val="0"/>
      <w:adjustRightInd w:val="0"/>
      <w:spacing w:after="0" w:line="276" w:lineRule="auto"/>
      <w:ind w:firstLine="200" w:firstLineChars="200"/>
      <w:textAlignment w:val="baseline"/>
    </w:pPr>
    <w:rPr>
      <w:rFonts w:eastAsia="楷体_GB2312"/>
      <w:sz w:val="24"/>
      <w:lang w:val="de-DE"/>
    </w:rPr>
  </w:style>
  <w:style w:type="paragraph" w:customStyle="1" w:styleId="1064">
    <w:name w:val="Char1 Char Char Char Char Char Char"/>
    <w:basedOn w:val="1"/>
    <w:qFormat/>
    <w:uiPriority w:val="0"/>
  </w:style>
  <w:style w:type="paragraph" w:customStyle="1" w:styleId="1065">
    <w:name w:val="font12"/>
    <w:basedOn w:val="1"/>
    <w:qFormat/>
    <w:uiPriority w:val="0"/>
    <w:pPr>
      <w:widowControl/>
      <w:spacing w:before="100" w:beforeAutospacing="1" w:after="100" w:afterAutospacing="1" w:line="276" w:lineRule="auto"/>
      <w:ind w:firstLine="200" w:firstLineChars="200"/>
      <w:jc w:val="left"/>
    </w:pPr>
    <w:rPr>
      <w:kern w:val="0"/>
      <w:sz w:val="20"/>
      <w:lang w:eastAsia="en-US" w:bidi="en-US"/>
    </w:rPr>
  </w:style>
  <w:style w:type="paragraph" w:customStyle="1" w:styleId="1066">
    <w:name w:val="Jazzy"/>
    <w:qFormat/>
    <w:uiPriority w:val="0"/>
    <w:pPr>
      <w:overflowPunct w:val="0"/>
      <w:autoSpaceDE w:val="0"/>
      <w:autoSpaceDN w:val="0"/>
      <w:adjustRightInd w:val="0"/>
      <w:spacing w:after="200" w:line="276" w:lineRule="auto"/>
      <w:ind w:firstLine="200" w:firstLineChars="200"/>
      <w:jc w:val="center"/>
      <w:textAlignment w:val="baseline"/>
    </w:pPr>
    <w:rPr>
      <w:rFonts w:ascii="Calibri" w:hAnsi="Calibri" w:eastAsia="宋体" w:cs="Times New Roman"/>
      <w:b/>
      <w:sz w:val="24"/>
      <w:szCs w:val="22"/>
      <w:lang w:val="en-US" w:eastAsia="en-US" w:bidi="en-US"/>
    </w:rPr>
  </w:style>
  <w:style w:type="paragraph" w:customStyle="1" w:styleId="1067">
    <w:name w:val="标题10"/>
    <w:basedOn w:val="10"/>
    <w:qFormat/>
    <w:uiPriority w:val="0"/>
    <w:pPr>
      <w:tabs>
        <w:tab w:val="left" w:pos="425"/>
        <w:tab w:val="left" w:pos="720"/>
        <w:tab w:val="clear" w:pos="2520"/>
      </w:tabs>
      <w:spacing w:line="320" w:lineRule="atLeast"/>
      <w:ind w:left="901" w:leftChars="300" w:hanging="181" w:firstLineChars="200"/>
      <w:jc w:val="both"/>
    </w:pPr>
    <w:rPr>
      <w:rFonts w:eastAsia="楷体_GB2312"/>
      <w:bCs w:val="0"/>
      <w:i/>
      <w:iCs/>
      <w:color w:val="404040"/>
      <w:lang w:eastAsia="en-US" w:bidi="en-US"/>
    </w:rPr>
  </w:style>
  <w:style w:type="paragraph" w:customStyle="1" w:styleId="1068">
    <w:name w:val="xl10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1069">
    <w:name w:val="CM50"/>
    <w:basedOn w:val="114"/>
    <w:next w:val="114"/>
    <w:qFormat/>
    <w:uiPriority w:val="0"/>
    <w:pPr>
      <w:spacing w:line="398" w:lineRule="atLeast"/>
    </w:pPr>
    <w:rPr>
      <w:rFonts w:hAnsi="Times New Roman"/>
      <w:color w:val="auto"/>
      <w:kern w:val="2"/>
      <w:szCs w:val="24"/>
    </w:rPr>
  </w:style>
  <w:style w:type="paragraph" w:customStyle="1" w:styleId="1070">
    <w:name w:val="Char4"/>
    <w:basedOn w:val="1"/>
    <w:qFormat/>
    <w:uiPriority w:val="0"/>
    <w:pPr>
      <w:widowControl/>
      <w:tabs>
        <w:tab w:val="left" w:pos="425"/>
      </w:tabs>
      <w:spacing w:beforeLines="100" w:after="160" w:line="240" w:lineRule="exact"/>
      <w:ind w:left="850" w:hanging="425"/>
      <w:jc w:val="left"/>
    </w:pPr>
    <w:rPr>
      <w:rFonts w:ascii="Verdana" w:hAnsi="Verdana" w:eastAsia="黑体"/>
      <w:kern w:val="0"/>
      <w:sz w:val="20"/>
      <w:lang w:eastAsia="en-US"/>
    </w:rPr>
  </w:style>
  <w:style w:type="paragraph" w:customStyle="1" w:styleId="1071">
    <w:name w:val="Char Char Char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仿宋_GB2312" w:cs="Verdana"/>
      <w:kern w:val="0"/>
      <w:sz w:val="24"/>
      <w:szCs w:val="22"/>
      <w:lang w:eastAsia="en-US" w:bidi="en-US"/>
    </w:rPr>
  </w:style>
  <w:style w:type="paragraph" w:customStyle="1" w:styleId="1072">
    <w:name w:val="xl51"/>
    <w:basedOn w:val="1"/>
    <w:qFormat/>
    <w:uiPriority w:val="0"/>
    <w:pPr>
      <w:widowControl/>
      <w:pBdr>
        <w:bottom w:val="single" w:color="auto" w:sz="4" w:space="0"/>
      </w:pBdr>
      <w:spacing w:beforeAutospacing="1" w:afterAutospacing="1" w:line="360" w:lineRule="auto"/>
      <w:ind w:firstLine="200" w:firstLineChars="200"/>
      <w:jc w:val="center"/>
      <w:textAlignment w:val="center"/>
    </w:pPr>
    <w:rPr>
      <w:rFonts w:ascii="宋体" w:hAnsi="宋体"/>
      <w:b/>
      <w:bCs/>
      <w:kern w:val="0"/>
      <w:sz w:val="32"/>
      <w:szCs w:val="32"/>
    </w:rPr>
  </w:style>
  <w:style w:type="paragraph" w:customStyle="1" w:styleId="1073">
    <w:name w:val="_Style 271"/>
    <w:basedOn w:val="1"/>
    <w:next w:val="26"/>
    <w:qFormat/>
    <w:uiPriority w:val="0"/>
    <w:pPr>
      <w:adjustRightInd w:val="0"/>
      <w:ind w:left="420" w:right="33"/>
      <w:jc w:val="left"/>
      <w:textAlignment w:val="baseline"/>
    </w:pPr>
    <w:rPr>
      <w:rFonts w:ascii="Times New Roman" w:hAnsi="Times New Roman"/>
      <w:kern w:val="0"/>
      <w:sz w:val="24"/>
      <w:szCs w:val="20"/>
    </w:rPr>
  </w:style>
  <w:style w:type="paragraph" w:customStyle="1" w:styleId="1074">
    <w:name w:val="3"/>
    <w:basedOn w:val="1"/>
    <w:next w:val="3"/>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customStyle="1" w:styleId="1075">
    <w:name w:val="xl33"/>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line="276" w:lineRule="auto"/>
      <w:ind w:firstLine="200" w:firstLineChars="200"/>
      <w:jc w:val="left"/>
    </w:pPr>
    <w:rPr>
      <w:rFonts w:ascii="宋体" w:hAnsi="宋体"/>
      <w:kern w:val="0"/>
      <w:sz w:val="22"/>
      <w:szCs w:val="22"/>
      <w:lang w:eastAsia="en-US" w:bidi="en-US"/>
    </w:rPr>
  </w:style>
  <w:style w:type="paragraph" w:customStyle="1" w:styleId="1076">
    <w:name w:val="项目符号1"/>
    <w:basedOn w:val="1"/>
    <w:qFormat/>
    <w:uiPriority w:val="0"/>
    <w:pPr>
      <w:widowControl/>
      <w:tabs>
        <w:tab w:val="left" w:pos="900"/>
        <w:tab w:val="left" w:pos="935"/>
      </w:tabs>
      <w:snapToGrid w:val="0"/>
      <w:spacing w:before="120" w:after="120" w:line="312" w:lineRule="auto"/>
      <w:ind w:left="935" w:hanging="420" w:firstLineChars="200"/>
      <w:jc w:val="left"/>
    </w:pPr>
    <w:rPr>
      <w:rFonts w:ascii="Arial" w:hAnsi="Arial" w:eastAsia="楷体_GB2312"/>
      <w:b/>
      <w:kern w:val="0"/>
      <w:sz w:val="28"/>
      <w:lang w:eastAsia="en-US" w:bidi="en-US"/>
    </w:rPr>
  </w:style>
  <w:style w:type="paragraph" w:customStyle="1" w:styleId="1077">
    <w:name w:val="xl36"/>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76" w:lineRule="auto"/>
      <w:ind w:firstLine="200" w:firstLineChars="200"/>
      <w:jc w:val="center"/>
    </w:pPr>
    <w:rPr>
      <w:rFonts w:ascii="宋体" w:hAnsi="宋体"/>
      <w:kern w:val="0"/>
      <w:sz w:val="22"/>
      <w:szCs w:val="22"/>
      <w:lang w:eastAsia="en-US" w:bidi="en-US"/>
    </w:rPr>
  </w:style>
  <w:style w:type="paragraph" w:customStyle="1" w:styleId="1078">
    <w:name w:val="文本内容"/>
    <w:basedOn w:val="1"/>
    <w:qFormat/>
    <w:uiPriority w:val="0"/>
    <w:pPr>
      <w:spacing w:line="360" w:lineRule="auto"/>
      <w:ind w:firstLine="480" w:firstLineChars="200"/>
    </w:pPr>
    <w:rPr>
      <w:color w:val="000000"/>
      <w:sz w:val="24"/>
    </w:rPr>
  </w:style>
  <w:style w:type="paragraph" w:customStyle="1" w:styleId="107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center"/>
      <w:textAlignment w:val="center"/>
    </w:pPr>
    <w:rPr>
      <w:rFonts w:ascii="Arial Unicode MS" w:hAnsi="Arial Unicode MS" w:eastAsia="Arial Unicode MS" w:cs="Arial Unicode MS"/>
      <w:kern w:val="0"/>
      <w:sz w:val="16"/>
      <w:szCs w:val="16"/>
      <w:lang w:eastAsia="en-US" w:bidi="en-US"/>
    </w:rPr>
  </w:style>
  <w:style w:type="paragraph" w:customStyle="1" w:styleId="1080">
    <w:name w:val="CM3"/>
    <w:basedOn w:val="114"/>
    <w:next w:val="114"/>
    <w:qFormat/>
    <w:uiPriority w:val="99"/>
    <w:rPr>
      <w:rFonts w:ascii="Times New Roman"/>
      <w:color w:val="auto"/>
      <w:szCs w:val="24"/>
    </w:rPr>
  </w:style>
  <w:style w:type="paragraph" w:customStyle="1" w:styleId="108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8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ind w:firstLine="200" w:firstLineChars="200"/>
      <w:jc w:val="left"/>
    </w:pPr>
    <w:rPr>
      <w:kern w:val="0"/>
      <w:sz w:val="20"/>
      <w:lang w:eastAsia="en-US" w:bidi="en-US"/>
    </w:rPr>
  </w:style>
  <w:style w:type="paragraph" w:customStyle="1" w:styleId="1083">
    <w:name w:val="CM138"/>
    <w:basedOn w:val="114"/>
    <w:next w:val="114"/>
    <w:qFormat/>
    <w:uiPriority w:val="0"/>
    <w:pPr>
      <w:spacing w:line="273" w:lineRule="atLeast"/>
    </w:pPr>
    <w:rPr>
      <w:rFonts w:hAnsi="Times New Roman"/>
      <w:color w:val="auto"/>
      <w:kern w:val="2"/>
      <w:szCs w:val="24"/>
    </w:rPr>
  </w:style>
  <w:style w:type="paragraph" w:customStyle="1" w:styleId="1084">
    <w:name w:val="CM49"/>
    <w:basedOn w:val="114"/>
    <w:next w:val="114"/>
    <w:qFormat/>
    <w:uiPriority w:val="0"/>
    <w:pPr>
      <w:spacing w:line="398" w:lineRule="atLeast"/>
    </w:pPr>
    <w:rPr>
      <w:rFonts w:hAnsi="Times New Roman"/>
      <w:color w:val="auto"/>
      <w:kern w:val="2"/>
      <w:szCs w:val="24"/>
    </w:rPr>
  </w:style>
  <w:style w:type="paragraph" w:customStyle="1" w:styleId="1085">
    <w:name w:val="CM78"/>
    <w:basedOn w:val="114"/>
    <w:next w:val="114"/>
    <w:qFormat/>
    <w:uiPriority w:val="0"/>
    <w:rPr>
      <w:rFonts w:hAnsi="Times New Roman"/>
      <w:color w:val="auto"/>
      <w:kern w:val="2"/>
      <w:szCs w:val="24"/>
    </w:rPr>
  </w:style>
  <w:style w:type="paragraph" w:customStyle="1" w:styleId="1086">
    <w:name w:val="Char2 Char Char Char Char Char Char2"/>
    <w:basedOn w:val="19"/>
    <w:qFormat/>
    <w:uiPriority w:val="0"/>
    <w:rPr>
      <w:rFonts w:ascii="Tahoma" w:hAnsi="Tahoma"/>
      <w:sz w:val="24"/>
    </w:rPr>
  </w:style>
  <w:style w:type="paragraph" w:customStyle="1" w:styleId="1087">
    <w:name w:val="Char Char Char Char1 Char Char Char Char Char1 Char"/>
    <w:basedOn w:val="1"/>
    <w:qFormat/>
    <w:uiPriority w:val="0"/>
    <w:pPr>
      <w:spacing w:line="240" w:lineRule="atLeast"/>
      <w:ind w:left="420" w:firstLine="420"/>
    </w:pPr>
    <w:rPr>
      <w:rFonts w:ascii="Times New Roman" w:hAnsi="Times New Roman"/>
      <w:kern w:val="0"/>
      <w:szCs w:val="21"/>
    </w:rPr>
  </w:style>
  <w:style w:type="paragraph" w:customStyle="1" w:styleId="1088">
    <w:name w:val="Char6 Char Char 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rPr>
  </w:style>
  <w:style w:type="paragraph" w:customStyle="1" w:styleId="1089">
    <w:name w:val="CM61"/>
    <w:basedOn w:val="114"/>
    <w:next w:val="114"/>
    <w:qFormat/>
    <w:uiPriority w:val="0"/>
    <w:pPr>
      <w:spacing w:line="400" w:lineRule="atLeast"/>
    </w:pPr>
    <w:rPr>
      <w:rFonts w:hAnsi="Times New Roman"/>
      <w:color w:val="auto"/>
      <w:kern w:val="2"/>
      <w:szCs w:val="24"/>
    </w:rPr>
  </w:style>
  <w:style w:type="paragraph" w:customStyle="1" w:styleId="1090">
    <w:name w:val="p217"/>
    <w:basedOn w:val="1"/>
    <w:qFormat/>
    <w:uiPriority w:val="0"/>
    <w:pPr>
      <w:widowControl/>
      <w:jc w:val="right"/>
    </w:pPr>
    <w:rPr>
      <w:rFonts w:ascii="宋体" w:hAnsi="宋体" w:cs="宋体"/>
      <w:kern w:val="0"/>
      <w:szCs w:val="21"/>
    </w:rPr>
  </w:style>
  <w:style w:type="paragraph" w:customStyle="1" w:styleId="1091">
    <w:name w:val="CM41"/>
    <w:basedOn w:val="114"/>
    <w:next w:val="114"/>
    <w:qFormat/>
    <w:uiPriority w:val="0"/>
    <w:rPr>
      <w:rFonts w:hAnsi="Times New Roman"/>
      <w:color w:val="auto"/>
      <w:kern w:val="2"/>
      <w:szCs w:val="24"/>
    </w:rPr>
  </w:style>
  <w:style w:type="paragraph" w:customStyle="1" w:styleId="1092">
    <w:name w:val="表正文"/>
    <w:basedOn w:val="1"/>
    <w:next w:val="30"/>
    <w:qFormat/>
    <w:uiPriority w:val="0"/>
    <w:pPr>
      <w:spacing w:line="400" w:lineRule="exact"/>
      <w:ind w:firstLine="480" w:firstLineChars="200"/>
    </w:pPr>
    <w:rPr>
      <w:rFonts w:ascii="宋体" w:hAnsi="Courier New"/>
      <w:sz w:val="24"/>
      <w:szCs w:val="20"/>
    </w:rPr>
  </w:style>
  <w:style w:type="paragraph" w:customStyle="1" w:styleId="1093">
    <w:name w:val="CM69"/>
    <w:basedOn w:val="114"/>
    <w:next w:val="114"/>
    <w:qFormat/>
    <w:uiPriority w:val="0"/>
    <w:pPr>
      <w:spacing w:line="400" w:lineRule="atLeast"/>
    </w:pPr>
    <w:rPr>
      <w:rFonts w:hAnsi="Times New Roman"/>
      <w:color w:val="auto"/>
      <w:kern w:val="2"/>
      <w:szCs w:val="24"/>
    </w:rPr>
  </w:style>
  <w:style w:type="paragraph" w:customStyle="1" w:styleId="1094">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1095">
    <w:name w:val="TOC 3_0"/>
    <w:basedOn w:val="1"/>
    <w:next w:val="1"/>
    <w:unhideWhenUsed/>
    <w:qFormat/>
    <w:uiPriority w:val="39"/>
    <w:pPr>
      <w:ind w:left="840" w:leftChars="400"/>
    </w:pPr>
  </w:style>
  <w:style w:type="paragraph" w:customStyle="1" w:styleId="1096">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097">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1098">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1099">
    <w:name w:val="通用标题6"/>
    <w:basedOn w:val="1"/>
    <w:qFormat/>
    <w:uiPriority w:val="0"/>
    <w:pPr>
      <w:tabs>
        <w:tab w:val="left" w:pos="993"/>
      </w:tabs>
      <w:ind w:left="310"/>
    </w:pPr>
  </w:style>
  <w:style w:type="paragraph" w:customStyle="1" w:styleId="1100">
    <w:name w:val="专用标题2"/>
    <w:basedOn w:val="5"/>
    <w:next w:val="1"/>
    <w:qFormat/>
    <w:uiPriority w:val="0"/>
    <w:pPr>
      <w:keepNext w:val="0"/>
      <w:keepLines w:val="0"/>
      <w:tabs>
        <w:tab w:val="left" w:pos="993"/>
      </w:tabs>
      <w:spacing w:line="360" w:lineRule="auto"/>
    </w:pPr>
    <w:rPr>
      <w:rFonts w:ascii="宋体" w:hAnsi="宋体" w:eastAsia="宋体" w:cs="Times"/>
    </w:rPr>
  </w:style>
  <w:style w:type="table" w:customStyle="1" w:styleId="1101">
    <w:name w:val="网格型1"/>
    <w:basedOn w:val="6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02">
    <w:name w:val="NormalCharacter"/>
    <w:qFormat/>
    <w:uiPriority w:val="0"/>
  </w:style>
  <w:style w:type="character" w:customStyle="1" w:styleId="1103">
    <w:name w:val="页码1"/>
    <w:qFormat/>
    <w:uiPriority w:val="0"/>
    <w:rPr>
      <w:rFonts w:cs="Times New Roman"/>
    </w:rPr>
  </w:style>
  <w:style w:type="character" w:customStyle="1" w:styleId="1104">
    <w:name w:val="页脚 字符"/>
    <w:qFormat/>
    <w:uiPriority w:val="0"/>
    <w:rPr>
      <w:sz w:val="18"/>
      <w:szCs w:val="18"/>
    </w:rPr>
  </w:style>
  <w:style w:type="character" w:customStyle="1" w:styleId="1105">
    <w:name w:val="页眉 字符"/>
    <w:qFormat/>
    <w:uiPriority w:val="0"/>
    <w:rPr>
      <w:sz w:val="18"/>
      <w:szCs w:val="18"/>
    </w:rPr>
  </w:style>
  <w:style w:type="paragraph" w:customStyle="1" w:styleId="1106">
    <w:name w:val="修订4"/>
    <w:hidden/>
    <w:unhideWhenUsed/>
    <w:uiPriority w:val="99"/>
    <w:rPr>
      <w:rFonts w:ascii="Calibri" w:hAnsi="Calibri" w:eastAsia="宋体" w:cs="Times New Roman"/>
      <w:kern w:val="2"/>
      <w:sz w:val="21"/>
      <w:szCs w:val="24"/>
      <w:lang w:val="en-US" w:eastAsia="zh-CN" w:bidi="ar-SA"/>
    </w:rPr>
  </w:style>
  <w:style w:type="paragraph" w:customStyle="1" w:styleId="1107">
    <w:name w:val="Revision"/>
    <w:hidden/>
    <w:unhideWhenUsed/>
    <w:uiPriority w:val="99"/>
    <w:rPr>
      <w:rFonts w:ascii="Calibri" w:hAnsi="Calibri" w:eastAsia="宋体" w:cs="Times New Roman"/>
      <w:kern w:val="2"/>
      <w:sz w:val="21"/>
      <w:szCs w:val="24"/>
      <w:lang w:val="en-US" w:eastAsia="zh-CN" w:bidi="ar-SA"/>
    </w:rPr>
  </w:style>
  <w:style w:type="character" w:styleId="1108">
    <w:name w:val="Placeholder Text"/>
    <w:basedOn w:val="65"/>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54E98-92C5-4BE3-9677-6393DC6F1101}">
  <ds:schemaRefs/>
</ds:datastoreItem>
</file>

<file path=docProps/app.xml><?xml version="1.0" encoding="utf-8"?>
<Properties xmlns="http://schemas.openxmlformats.org/officeDocument/2006/extended-properties" xmlns:vt="http://schemas.openxmlformats.org/officeDocument/2006/docPropsVTypes">
  <Template>Normal.dotm</Template>
  <Company>tl</Company>
  <Pages>146</Pages>
  <Words>74625</Words>
  <Characters>22048</Characters>
  <Lines>183</Lines>
  <Paragraphs>192</Paragraphs>
  <TotalTime>109</TotalTime>
  <ScaleCrop>false</ScaleCrop>
  <LinksUpToDate>false</LinksUpToDate>
  <CharactersWithSpaces>96481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2023-06-06T07:05:00Z</dcterms:created>
  <dc:creator>Administrator</dc:creator>
  <cp:lastModifiedBy>恰似白月光</cp:lastModifiedBy>
  <cp:lastPrinted>2023-06-06T05:55:00Z</cp:lastPrinted>
  <dcterms:modified xsi:type="dcterms:W3CDTF">2023-12-26T06:42:33Z</dcterms:modified>
  <dc:title>西山区滇池湖滨生态带“四退三还一护”及“迁村并点”红泥咀E地块安置房建设项目勘察工程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AAD3B203017C4A90BF5CEA37D265BE62</vt:lpwstr>
  </property>
  <property fmtid="{D5CDD505-2E9C-101B-9397-08002B2CF9AE}" pid="3" name="KSOProductBuildVer">
    <vt:lpwstr>2052-12.1.0.15990</vt:lpwstr>
  </property>
</Properties>
</file>