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预算绩效管理工作开展</w:t>
      </w:r>
    </w:p>
    <w:p>
      <w:pPr>
        <w:pageBreakBefore w:val="0"/>
        <w:kinsoku/>
        <w:wordWrap/>
        <w:topLinePunct w:val="0"/>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说明</w:t>
      </w:r>
    </w:p>
    <w:p>
      <w:pPr>
        <w:pageBreakBefore w:val="0"/>
        <w:kinsoku/>
        <w:wordWrap/>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根据《预算</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》、《预算法实施条例》等相关规定，现将经开区</w:t>
      </w:r>
      <w:r>
        <w:rPr>
          <w:rFonts w:hint="eastAsia" w:ascii="Times New Roman" w:hAnsi="Times New Roman" w:eastAsia="仿宋_GB2312" w:cs="Times New Roman"/>
          <w:kern w:val="2"/>
          <w:sz w:val="32"/>
          <w:szCs w:val="32"/>
          <w:lang w:val="en-US" w:eastAsia="zh-CN" w:bidi="ar-SA"/>
        </w:rPr>
        <w:t xml:space="preserve"> 2022</w:t>
      </w:r>
      <w:r>
        <w:rPr>
          <w:rFonts w:hint="eastAsia" w:ascii="仿宋_GB2312" w:hAnsi="仿宋_GB2312" w:eastAsia="仿宋_GB2312" w:cs="仿宋_GB2312"/>
          <w:sz w:val="32"/>
          <w:szCs w:val="32"/>
        </w:rPr>
        <w:t>年预算绩效管理工作开展情况说明如下：</w:t>
      </w:r>
    </w:p>
    <w:p>
      <w:pPr>
        <w:pageBreakBefore w:val="0"/>
        <w:numPr>
          <w:ilvl w:val="0"/>
          <w:numId w:val="1"/>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基础工作</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（一）制度建设</w:t>
      </w:r>
    </w:p>
    <w:p>
      <w:pPr>
        <w:pStyle w:val="2"/>
        <w:pageBreakBefore w:val="0"/>
        <w:kinsoku/>
        <w:wordWrap/>
        <w:topLinePunct w:val="0"/>
        <w:bidi w:val="0"/>
        <w:spacing w:line="56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eastAsia="zh-CN"/>
        </w:rPr>
        <w:t>根据《中华人民共和国预算法》、《中华人民共和国预算法实施条例》的相关规定，经开区高度重视预算绩效管理工作，印发</w:t>
      </w:r>
      <w:r>
        <w:rPr>
          <w:rFonts w:hint="default" w:ascii="Times New Roman" w:hAnsi="Times New Roman" w:eastAsia="仿宋_GB2312" w:cs="Times New Roman"/>
          <w:sz w:val="32"/>
          <w:szCs w:val="32"/>
        </w:rPr>
        <w:t>《中共中国（云南）自由贸易试验区昆明片区工作委员会中共昆明经济技术开发区工作委员会关于全面实施预算绩效管理的实施意见》（昆自贸党笺〔2021〕8号）</w:t>
      </w:r>
      <w:r>
        <w:rPr>
          <w:rFonts w:hint="default" w:ascii="Times New Roman" w:hAnsi="Times New Roman" w:eastAsia="仿宋_GB2312" w:cs="Times New Roman"/>
          <w:sz w:val="32"/>
          <w:szCs w:val="32"/>
          <w:lang w:eastAsia="zh-CN"/>
        </w:rPr>
        <w:t>，并制定了</w:t>
      </w:r>
      <w:r>
        <w:rPr>
          <w:rFonts w:hint="default" w:ascii="Times New Roman" w:hAnsi="Times New Roman" w:eastAsia="仿宋_GB2312" w:cs="Times New Roman"/>
          <w:sz w:val="32"/>
          <w:szCs w:val="32"/>
        </w:rPr>
        <w:t>《昆明经济技术开发区财政预算绩效管理暂行办法》（昆经开办〔2016〕47号 ）、《经开区区本级项目支出事前绩效评估管理暂行办法》（昆经开财〔2018〕86号）、《经开区区本级预算绩效跟踪管理暂行办法》（昆经开财〔2019〕51号）、《关于贯彻落实&lt;云南省项目支出绩效评价管理办法&gt;的实施意见》（昆经开财〔2020〕53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iCs w:val="0"/>
          <w:color w:val="auto"/>
          <w:kern w:val="2"/>
          <w:sz w:val="32"/>
          <w:szCs w:val="32"/>
          <w:highlight w:val="none"/>
          <w:lang w:val="en-US" w:eastAsia="zh-CN" w:bidi="ar-SA"/>
        </w:rPr>
        <w:t>《昆明市财政局昆明经济技术开发区财政分局关于规范第三方机构参与预算绩效管理的通知》</w:t>
      </w:r>
      <w:r>
        <w:rPr>
          <w:rFonts w:hint="default" w:ascii="Times New Roman" w:hAnsi="Times New Roman" w:eastAsia="仿宋_GB2312" w:cs="Times New Roman"/>
          <w:sz w:val="32"/>
          <w:szCs w:val="32"/>
          <w:highlight w:val="none"/>
        </w:rPr>
        <w:t>（昆经开财〔202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昆明市财政局昆明经济技术开发区财政分局关于印发预算绩效管理参考指标体系的通知》（</w:t>
      </w:r>
      <w:r>
        <w:rPr>
          <w:rFonts w:hint="default" w:ascii="Times New Roman" w:hAnsi="Times New Roman" w:eastAsia="仿宋_GB2312" w:cs="Times New Roman"/>
          <w:b w:val="0"/>
          <w:bCs w:val="0"/>
          <w:iCs w:val="0"/>
          <w:color w:val="auto"/>
          <w:kern w:val="2"/>
          <w:sz w:val="32"/>
          <w:szCs w:val="32"/>
          <w:highlight w:val="none"/>
          <w:lang w:val="en-US" w:eastAsia="zh-CN" w:bidi="ar-SA"/>
        </w:rPr>
        <w:t>昆经开财〔202</w:t>
      </w:r>
      <w:r>
        <w:rPr>
          <w:rFonts w:hint="eastAsia" w:ascii="Times New Roman" w:hAnsi="Times New Roman" w:eastAsia="仿宋_GB2312" w:cs="Times New Roman"/>
          <w:b w:val="0"/>
          <w:bCs w:val="0"/>
          <w:iCs w:val="0"/>
          <w:color w:val="auto"/>
          <w:kern w:val="2"/>
          <w:sz w:val="32"/>
          <w:szCs w:val="32"/>
          <w:highlight w:val="none"/>
          <w:lang w:val="en-US" w:eastAsia="zh-CN" w:bidi="ar-SA"/>
        </w:rPr>
        <w:t>1</w:t>
      </w:r>
      <w:r>
        <w:rPr>
          <w:rFonts w:hint="default" w:ascii="Times New Roman" w:hAnsi="Times New Roman" w:eastAsia="仿宋_GB2312" w:cs="Times New Roman"/>
          <w:b w:val="0"/>
          <w:bCs w:val="0"/>
          <w:iCs w:val="0"/>
          <w:color w:val="auto"/>
          <w:kern w:val="2"/>
          <w:sz w:val="32"/>
          <w:szCs w:val="32"/>
          <w:highlight w:val="none"/>
          <w:lang w:val="en-US" w:eastAsia="zh-CN" w:bidi="ar-SA"/>
        </w:rPr>
        <w:t>〕</w:t>
      </w:r>
      <w:r>
        <w:rPr>
          <w:rFonts w:hint="eastAsia" w:ascii="Times New Roman" w:hAnsi="Times New Roman" w:eastAsia="仿宋_GB2312" w:cs="Times New Roman"/>
          <w:b w:val="0"/>
          <w:bCs w:val="0"/>
          <w:iCs w:val="0"/>
          <w:color w:val="auto"/>
          <w:kern w:val="2"/>
          <w:sz w:val="32"/>
          <w:szCs w:val="32"/>
          <w:highlight w:val="none"/>
          <w:lang w:val="en-US" w:eastAsia="zh-CN" w:bidi="ar-SA"/>
        </w:rPr>
        <w:t>41</w:t>
      </w:r>
      <w:r>
        <w:rPr>
          <w:rFonts w:hint="default" w:ascii="Times New Roman" w:hAnsi="Times New Roman" w:eastAsia="仿宋_GB2312" w:cs="Times New Roman"/>
          <w:b w:val="0"/>
          <w:bCs w:val="0"/>
          <w:iCs w:val="0"/>
          <w:color w:val="auto"/>
          <w:kern w:val="2"/>
          <w:sz w:val="32"/>
          <w:szCs w:val="32"/>
          <w:highlight w:val="none"/>
          <w:lang w:val="en-US" w:eastAsia="zh-CN" w:bidi="ar-SA"/>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《昆明经济技术开发区行政事业单位财政资金使用管理考核（</w:t>
      </w:r>
      <w:r>
        <w:rPr>
          <w:rFonts w:hint="default" w:ascii="Times New Roman" w:hAnsi="Times New Roman" w:eastAsia="仿宋_GB2312" w:cs="Times New Roman"/>
          <w:sz w:val="32"/>
          <w:szCs w:val="32"/>
        </w:rPr>
        <w:t>暂行）办法》</w:t>
      </w:r>
      <w:r>
        <w:rPr>
          <w:rFonts w:hint="eastAsia" w:ascii="Times New Roman" w:hAnsi="Times New Roman" w:eastAsia="仿宋_GB2312" w:cs="Times New Roman"/>
          <w:sz w:val="32"/>
          <w:szCs w:val="32"/>
          <w:lang w:eastAsia="zh-CN"/>
        </w:rPr>
        <w:t>、《昆明市财政局昆明经济技术开发区财政分局绩效评价质量控制机制（试行）》（</w:t>
      </w:r>
      <w:r>
        <w:rPr>
          <w:rFonts w:hint="default" w:ascii="Times New Roman" w:hAnsi="Times New Roman" w:eastAsia="仿宋_GB2312" w:cs="Times New Roman"/>
          <w:sz w:val="32"/>
          <w:szCs w:val="32"/>
          <w:highlight w:val="none"/>
        </w:rPr>
        <w:t>昆经开财〔202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等配套制度办法。</w:t>
      </w:r>
    </w:p>
    <w:p>
      <w:pPr>
        <w:pageBreakBefore w:val="0"/>
        <w:numPr>
          <w:ilvl w:val="0"/>
          <w:numId w:val="2"/>
        </w:numPr>
        <w:kinsoku/>
        <w:wordWrap/>
        <w:topLinePunct w:val="0"/>
        <w:bidi w:val="0"/>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指标体系建设</w:t>
      </w:r>
    </w:p>
    <w:p>
      <w:pPr>
        <w:pageBreakBefore w:val="0"/>
        <w:kinsoku/>
        <w:wordWrap/>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在学习借鉴中央、省市相关文件的基础上，结合近年来预算绩效管理实践，我局已对相关指标体系进行了筛选和摘录，并印发</w:t>
      </w:r>
      <w:r>
        <w:rPr>
          <w:rFonts w:hint="default" w:ascii="Times New Roman" w:hAnsi="Times New Roman" w:eastAsia="仿宋_GB2312" w:cs="Times New Roman"/>
          <w:sz w:val="32"/>
          <w:szCs w:val="32"/>
          <w:highlight w:val="none"/>
          <w:lang w:val="en-US" w:eastAsia="zh-CN"/>
        </w:rPr>
        <w:t xml:space="preserve"> 《昆明市财政局昆明经济技术开发区财政分局  关于印发预算绩效管理参考指标体系的通知》（</w:t>
      </w:r>
      <w:r>
        <w:rPr>
          <w:rFonts w:hint="default" w:ascii="Times New Roman" w:hAnsi="Times New Roman" w:eastAsia="仿宋_GB2312" w:cs="Times New Roman"/>
          <w:b w:val="0"/>
          <w:bCs w:val="0"/>
          <w:iCs w:val="0"/>
          <w:color w:val="auto"/>
          <w:kern w:val="2"/>
          <w:sz w:val="32"/>
          <w:szCs w:val="32"/>
          <w:highlight w:val="none"/>
          <w:lang w:val="en-US" w:eastAsia="zh-CN" w:bidi="ar-SA"/>
        </w:rPr>
        <w:t>昆经开财〔202</w:t>
      </w:r>
      <w:r>
        <w:rPr>
          <w:rFonts w:hint="eastAsia" w:ascii="Times New Roman" w:hAnsi="Times New Roman" w:eastAsia="仿宋_GB2312" w:cs="Times New Roman"/>
          <w:b w:val="0"/>
          <w:bCs w:val="0"/>
          <w:iCs w:val="0"/>
          <w:color w:val="auto"/>
          <w:kern w:val="2"/>
          <w:sz w:val="32"/>
          <w:szCs w:val="32"/>
          <w:highlight w:val="none"/>
          <w:lang w:val="en-US" w:eastAsia="zh-CN" w:bidi="ar-SA"/>
        </w:rPr>
        <w:t>1</w:t>
      </w:r>
      <w:r>
        <w:rPr>
          <w:rFonts w:hint="default" w:ascii="Times New Roman" w:hAnsi="Times New Roman" w:eastAsia="仿宋_GB2312" w:cs="Times New Roman"/>
          <w:b w:val="0"/>
          <w:bCs w:val="0"/>
          <w:iCs w:val="0"/>
          <w:color w:val="auto"/>
          <w:kern w:val="2"/>
          <w:sz w:val="32"/>
          <w:szCs w:val="32"/>
          <w:highlight w:val="none"/>
          <w:lang w:val="en-US" w:eastAsia="zh-CN" w:bidi="ar-SA"/>
        </w:rPr>
        <w:t>〕</w:t>
      </w:r>
      <w:r>
        <w:rPr>
          <w:rFonts w:hint="eastAsia" w:ascii="Times New Roman" w:hAnsi="Times New Roman" w:eastAsia="仿宋_GB2312" w:cs="Times New Roman"/>
          <w:b w:val="0"/>
          <w:bCs w:val="0"/>
          <w:iCs w:val="0"/>
          <w:color w:val="auto"/>
          <w:kern w:val="2"/>
          <w:sz w:val="32"/>
          <w:szCs w:val="32"/>
          <w:highlight w:val="none"/>
          <w:lang w:val="en-US" w:eastAsia="zh-CN" w:bidi="ar-SA"/>
        </w:rPr>
        <w:t>41</w:t>
      </w:r>
      <w:r>
        <w:rPr>
          <w:rFonts w:hint="default" w:ascii="Times New Roman" w:hAnsi="Times New Roman" w:eastAsia="仿宋_GB2312" w:cs="Times New Roman"/>
          <w:b w:val="0"/>
          <w:bCs w:val="0"/>
          <w:iCs w:val="0"/>
          <w:color w:val="auto"/>
          <w:kern w:val="2"/>
          <w:sz w:val="32"/>
          <w:szCs w:val="32"/>
          <w:highlight w:val="none"/>
          <w:lang w:val="en-US" w:eastAsia="zh-CN" w:bidi="ar-SA"/>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供各预算部门（单位）在预算绩效管理工作中参考。在接下来的工作中，将继续会同预算部门（单位）结合工作推进情况，不断充实和完善预算绩效管理指标体系，实现动态调整、共建共享。</w:t>
      </w:r>
    </w:p>
    <w:p>
      <w:pPr>
        <w:pageBreakBefore w:val="0"/>
        <w:numPr>
          <w:ilvl w:val="0"/>
          <w:numId w:val="2"/>
        </w:numPr>
        <w:kinsoku/>
        <w:wordWrap/>
        <w:topLinePunct w:val="0"/>
        <w:bidi w:val="0"/>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业务培训</w:t>
      </w:r>
    </w:p>
    <w:p>
      <w:pPr>
        <w:pStyle w:val="2"/>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进一步加强预算单位绩效管理意识，规范预算单位绩效目标编制</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提高绩效监控水平，加快预算执行进度，同时基于目前疫情形势，</w:t>
      </w:r>
      <w:r>
        <w:rPr>
          <w:rFonts w:hint="default" w:ascii="Times New Roman" w:hAnsi="Times New Roman" w:eastAsia="仿宋_GB2312" w:cs="Times New Roman"/>
          <w:kern w:val="2"/>
          <w:sz w:val="32"/>
          <w:szCs w:val="32"/>
          <w:lang w:val="en-US" w:eastAsia="zh-CN" w:bidi="ar-SA"/>
        </w:rPr>
        <w:t>我局</w:t>
      </w:r>
      <w:r>
        <w:rPr>
          <w:rFonts w:hint="eastAsia" w:ascii="Times New Roman" w:hAnsi="Times New Roman" w:eastAsia="仿宋_GB2312" w:cs="Times New Roman"/>
          <w:kern w:val="2"/>
          <w:sz w:val="32"/>
          <w:szCs w:val="32"/>
          <w:lang w:val="en-US" w:eastAsia="zh-CN" w:bidi="ar-SA"/>
        </w:rPr>
        <w:t>于2022年11月29日开展了“预算单位2022年度绩效管理在线培训”。经开区所有预算单位负责预算绩效管理的分管领导、财务负责人、主管会计通过视频会议参加了培训。</w:t>
      </w:r>
    </w:p>
    <w:p>
      <w:pPr>
        <w:pageBreakBefore w:val="0"/>
        <w:numPr>
          <w:ilvl w:val="0"/>
          <w:numId w:val="1"/>
        </w:numPr>
        <w:kinsoku/>
        <w:wordWrap/>
        <w:topLinePunct w:val="0"/>
        <w:bidi w:val="0"/>
        <w:spacing w:line="560" w:lineRule="exact"/>
        <w:ind w:left="0" w:leftChars="0"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绩效评估管理</w:t>
      </w:r>
    </w:p>
    <w:p>
      <w:pPr>
        <w:pStyle w:val="2"/>
        <w:pageBreakBefore w:val="0"/>
        <w:numPr>
          <w:ilvl w:val="0"/>
          <w:numId w:val="0"/>
        </w:numPr>
        <w:kinsoku/>
        <w:wordWrap/>
        <w:topLinePunct w:val="0"/>
        <w:bidi w:val="0"/>
        <w:spacing w:line="560" w:lineRule="exact"/>
        <w:ind w:left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管理范围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建立绩效评估机制，印发</w:t>
      </w:r>
      <w:r>
        <w:rPr>
          <w:rFonts w:ascii="Times New Roman" w:hAnsi="Times New Roman" w:eastAsia="仿宋_GB2312" w:cs="Times New Roman"/>
          <w:color w:val="000000"/>
          <w:kern w:val="30"/>
          <w:sz w:val="32"/>
          <w:szCs w:val="30"/>
        </w:rPr>
        <w:t>《经开区区本级项目支出事前绩效评估管理暂行办法的通知》（昆经开财〔2019〕86号）</w:t>
      </w:r>
      <w:r>
        <w:rPr>
          <w:rFonts w:hint="default" w:ascii="Times New Roman" w:hAnsi="Times New Roman" w:eastAsia="仿宋_GB2312" w:cs="Times New Roman"/>
          <w:kern w:val="2"/>
          <w:sz w:val="32"/>
          <w:szCs w:val="32"/>
          <w:highlight w:val="none"/>
          <w:lang w:val="en-US" w:eastAsia="zh-CN" w:bidi="ar"/>
        </w:rPr>
        <w:t>，要求各</w:t>
      </w:r>
      <w:r>
        <w:rPr>
          <w:rFonts w:hint="default" w:ascii="Times New Roman" w:hAnsi="Times New Roman" w:eastAsia="仿宋_GB2312" w:cs="Times New Roman"/>
          <w:kern w:val="2"/>
          <w:sz w:val="32"/>
          <w:szCs w:val="32"/>
          <w:lang w:val="en-US" w:eastAsia="zh-CN" w:bidi="ar"/>
        </w:rPr>
        <w:t>部门（单位）在新出台政策、启动项目时开展事前绩效评估，论证立项必要性、投入经济性、绩效目标合理性、实施方案可行性、筹资合规性等，评估结果作为申请预算的必备要件。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（二）结果应用</w:t>
      </w:r>
    </w:p>
    <w:p>
      <w:pPr>
        <w:pStyle w:val="3"/>
        <w:pageBreakBefore w:val="0"/>
        <w:kinsoku/>
        <w:wordWrap/>
        <w:overflowPunct w:val="0"/>
        <w:topLinePunct w:val="0"/>
        <w:autoSpaceDE w:val="0"/>
        <w:autoSpaceDN w:val="0"/>
        <w:bidi w:val="0"/>
        <w:adjustRightInd w:val="0"/>
        <w:snapToGrid w:val="0"/>
        <w:spacing w:line="560" w:lineRule="exact"/>
        <w:ind w:left="0" w:leftChars="0" w:firstLine="640" w:firstLineChars="200"/>
        <w:contextualSpacing/>
        <w:textAlignment w:val="auto"/>
        <w:rPr>
          <w:rFonts w:hint="default" w:ascii="Times New Roman" w:hAnsi="Times New Roman" w:eastAsia="仿宋_GB2312" w:cs="Times New Roman"/>
          <w:color w:val="000000"/>
          <w:kern w:val="30"/>
          <w:sz w:val="32"/>
          <w:szCs w:val="30"/>
          <w:lang w:val="en-US" w:eastAsia="zh-CN"/>
        </w:rPr>
      </w:pPr>
      <w:r>
        <w:rPr>
          <w:rFonts w:hint="default" w:ascii="Times New Roman" w:hAnsi="Times New Roman" w:eastAsia="仿宋_GB2312" w:cs="Times New Roman"/>
          <w:color w:val="000000"/>
          <w:kern w:val="30"/>
          <w:sz w:val="32"/>
          <w:szCs w:val="30"/>
          <w:lang w:val="en-US" w:eastAsia="zh-CN"/>
        </w:rPr>
        <w:t>编制202</w:t>
      </w:r>
      <w:r>
        <w:rPr>
          <w:rFonts w:hint="eastAsia" w:ascii="Times New Roman" w:hAnsi="Times New Roman" w:eastAsia="仿宋_GB2312" w:cs="Times New Roman"/>
          <w:color w:val="000000"/>
          <w:kern w:val="30"/>
          <w:sz w:val="32"/>
          <w:szCs w:val="30"/>
          <w:lang w:val="en-US" w:eastAsia="zh-CN"/>
        </w:rPr>
        <w:t>2</w:t>
      </w:r>
      <w:r>
        <w:rPr>
          <w:rFonts w:hint="default" w:ascii="Times New Roman" w:hAnsi="Times New Roman" w:eastAsia="仿宋_GB2312" w:cs="Times New Roman"/>
          <w:color w:val="000000"/>
          <w:kern w:val="30"/>
          <w:sz w:val="32"/>
          <w:szCs w:val="30"/>
          <w:lang w:val="en-US" w:eastAsia="zh-CN"/>
        </w:rPr>
        <w:t>年预算时，在预算绩效目标审核的基础上，邀请审计、高校、科研部门、会计师事务所等领域的7名专家组成专家组，对规建局、</w:t>
      </w:r>
      <w:r>
        <w:rPr>
          <w:rFonts w:hint="eastAsia" w:ascii="Times New Roman" w:hAnsi="Times New Roman" w:eastAsia="仿宋_GB2312" w:cs="Times New Roman"/>
          <w:color w:val="000000"/>
          <w:kern w:val="30"/>
          <w:sz w:val="32"/>
          <w:szCs w:val="30"/>
          <w:lang w:val="en-US" w:eastAsia="zh-CN"/>
        </w:rPr>
        <w:t>市场监管分局、</w:t>
      </w:r>
      <w:r>
        <w:rPr>
          <w:rFonts w:hint="default" w:ascii="Times New Roman" w:hAnsi="Times New Roman" w:eastAsia="仿宋_GB2312" w:cs="Times New Roman"/>
          <w:color w:val="000000"/>
          <w:kern w:val="30"/>
          <w:sz w:val="32"/>
          <w:szCs w:val="30"/>
          <w:lang w:val="en-US" w:eastAsia="zh-CN"/>
        </w:rPr>
        <w:t>城管局</w:t>
      </w:r>
      <w:r>
        <w:rPr>
          <w:rFonts w:hint="eastAsia" w:ascii="Times New Roman" w:hAnsi="Times New Roman" w:eastAsia="仿宋_GB2312" w:cs="Times New Roman"/>
          <w:color w:val="000000"/>
          <w:kern w:val="30"/>
          <w:sz w:val="32"/>
          <w:szCs w:val="30"/>
          <w:lang w:val="en-US" w:eastAsia="zh-CN"/>
        </w:rPr>
        <w:t>等</w:t>
      </w:r>
      <w:r>
        <w:rPr>
          <w:rFonts w:hint="default" w:ascii="Times New Roman" w:hAnsi="Times New Roman" w:eastAsia="仿宋_GB2312" w:cs="Times New Roman"/>
          <w:color w:val="000000"/>
          <w:kern w:val="30"/>
          <w:sz w:val="32"/>
          <w:szCs w:val="30"/>
          <w:lang w:val="en-US" w:eastAsia="zh-CN"/>
        </w:rPr>
        <w:t>4家预算单位的6个项目开展了项目事前绩效评估，评估金额</w:t>
      </w:r>
      <w:r>
        <w:rPr>
          <w:rFonts w:hint="eastAsia" w:ascii="Times New Roman" w:hAnsi="Times New Roman" w:eastAsia="仿宋_GB2312" w:cs="Times New Roman"/>
          <w:kern w:val="2"/>
          <w:sz w:val="32"/>
          <w:szCs w:val="32"/>
          <w:lang w:val="en-US" w:eastAsia="zh-CN" w:bidi="ar"/>
        </w:rPr>
        <w:t>6</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717</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89</w:t>
      </w:r>
      <w:r>
        <w:rPr>
          <w:rFonts w:hint="default" w:ascii="Times New Roman" w:hAnsi="Times New Roman" w:eastAsia="仿宋_GB2312" w:cs="Times New Roman"/>
          <w:kern w:val="2"/>
          <w:sz w:val="32"/>
          <w:szCs w:val="32"/>
          <w:lang w:val="en-US" w:eastAsia="zh-CN" w:bidi="ar"/>
        </w:rPr>
        <w:t>万元，项目内容涵盖道路建设、</w:t>
      </w:r>
      <w:r>
        <w:rPr>
          <w:rFonts w:hint="eastAsia" w:ascii="Times New Roman" w:hAnsi="Times New Roman" w:eastAsia="仿宋_GB2312" w:cs="Times New Roman"/>
          <w:kern w:val="2"/>
          <w:sz w:val="32"/>
          <w:szCs w:val="32"/>
          <w:lang w:val="en-US" w:eastAsia="zh-CN" w:bidi="ar"/>
        </w:rPr>
        <w:t>档案信息化建设</w:t>
      </w:r>
      <w:r>
        <w:rPr>
          <w:rFonts w:hint="default" w:ascii="Times New Roman" w:hAnsi="Times New Roman" w:eastAsia="仿宋_GB2312" w:cs="Times New Roman"/>
          <w:kern w:val="2"/>
          <w:sz w:val="32"/>
          <w:szCs w:val="32"/>
          <w:lang w:val="en-US" w:eastAsia="zh-CN" w:bidi="ar"/>
        </w:rPr>
        <w:t>、水环境整治</w:t>
      </w:r>
      <w:r>
        <w:rPr>
          <w:rFonts w:hint="eastAsia" w:ascii="Times New Roman" w:hAnsi="Times New Roman" w:eastAsia="仿宋_GB2312" w:cs="Times New Roman"/>
          <w:kern w:val="2"/>
          <w:sz w:val="32"/>
          <w:szCs w:val="32"/>
          <w:lang w:val="en-US" w:eastAsia="zh-CN" w:bidi="ar"/>
        </w:rPr>
        <w:t>、私搭乱建和违章建房协助管理</w:t>
      </w:r>
      <w:r>
        <w:rPr>
          <w:rFonts w:hint="default" w:ascii="Times New Roman" w:hAnsi="Times New Roman" w:eastAsia="仿宋_GB2312" w:cs="Times New Roman"/>
          <w:kern w:val="2"/>
          <w:sz w:val="32"/>
          <w:szCs w:val="32"/>
          <w:lang w:val="en-US" w:eastAsia="zh-CN" w:bidi="ar"/>
        </w:rPr>
        <w:t>等方面。项目平均得分</w:t>
      </w:r>
      <w:r>
        <w:rPr>
          <w:rFonts w:ascii="Times New Roman" w:hAnsi="Times New Roman" w:eastAsia="仿宋_GB2312" w:cs="Times New Roman"/>
          <w:color w:val="000000"/>
          <w:kern w:val="30"/>
          <w:sz w:val="32"/>
          <w:szCs w:val="30"/>
        </w:rPr>
        <w:t>81.</w:t>
      </w:r>
      <w:r>
        <w:rPr>
          <w:rFonts w:hint="eastAsia" w:ascii="Times New Roman" w:hAnsi="Times New Roman" w:eastAsia="仿宋_GB2312" w:cs="Times New Roman"/>
          <w:color w:val="000000"/>
          <w:kern w:val="30"/>
          <w:sz w:val="32"/>
          <w:szCs w:val="30"/>
        </w:rPr>
        <w:t>26</w:t>
      </w:r>
      <w:r>
        <w:rPr>
          <w:rFonts w:hint="default" w:ascii="Times New Roman" w:hAnsi="Times New Roman" w:eastAsia="仿宋_GB2312" w:cs="Times New Roman"/>
          <w:kern w:val="2"/>
          <w:sz w:val="32"/>
          <w:szCs w:val="32"/>
          <w:lang w:val="en-US" w:eastAsia="zh-CN" w:bidi="ar"/>
        </w:rPr>
        <w:t>分，</w:t>
      </w:r>
      <w:r>
        <w:rPr>
          <w:rFonts w:ascii="Times New Roman" w:hAnsi="Times New Roman" w:eastAsia="仿宋_GB2312" w:cs="Times New Roman"/>
          <w:color w:val="000000"/>
          <w:kern w:val="30"/>
          <w:sz w:val="32"/>
          <w:szCs w:val="30"/>
        </w:rPr>
        <w:t>综合评价等级为</w:t>
      </w:r>
      <w:r>
        <w:rPr>
          <w:rFonts w:hint="eastAsia" w:ascii="Times New Roman" w:hAnsi="Times New Roman" w:eastAsia="仿宋_GB2312" w:cs="Times New Roman"/>
          <w:color w:val="000000"/>
          <w:kern w:val="30"/>
          <w:sz w:val="32"/>
          <w:szCs w:val="30"/>
        </w:rPr>
        <w:t>“良”</w:t>
      </w:r>
      <w:r>
        <w:rPr>
          <w:rFonts w:ascii="Times New Roman" w:hAnsi="Times New Roman" w:eastAsia="仿宋_GB2312" w:cs="Times New Roman"/>
          <w:color w:val="000000"/>
          <w:kern w:val="30"/>
          <w:sz w:val="32"/>
          <w:szCs w:val="30"/>
        </w:rPr>
        <w:t>。按照优、良、中、差四个等级评定，本次评价等级为</w:t>
      </w:r>
      <w:r>
        <w:rPr>
          <w:rFonts w:hint="eastAsia" w:ascii="Times New Roman" w:hAnsi="Times New Roman" w:eastAsia="仿宋_GB2312" w:cs="Times New Roman"/>
          <w:color w:val="000000"/>
          <w:kern w:val="30"/>
          <w:sz w:val="32"/>
          <w:szCs w:val="30"/>
        </w:rPr>
        <w:t>“</w:t>
      </w:r>
      <w:r>
        <w:rPr>
          <w:rFonts w:ascii="Times New Roman" w:hAnsi="Times New Roman" w:eastAsia="仿宋_GB2312" w:cs="Times New Roman"/>
          <w:color w:val="000000"/>
          <w:kern w:val="30"/>
          <w:sz w:val="32"/>
          <w:szCs w:val="30"/>
        </w:rPr>
        <w:t>优</w:t>
      </w:r>
      <w:r>
        <w:rPr>
          <w:rFonts w:hint="eastAsia" w:ascii="Times New Roman" w:hAnsi="Times New Roman" w:eastAsia="仿宋_GB2312" w:cs="Times New Roman"/>
          <w:color w:val="000000"/>
          <w:kern w:val="30"/>
          <w:sz w:val="32"/>
          <w:szCs w:val="30"/>
        </w:rPr>
        <w:t>”</w:t>
      </w:r>
      <w:r>
        <w:rPr>
          <w:rFonts w:ascii="Times New Roman" w:hAnsi="Times New Roman" w:eastAsia="仿宋_GB2312" w:cs="Times New Roman"/>
          <w:color w:val="000000"/>
          <w:kern w:val="30"/>
          <w:sz w:val="32"/>
          <w:szCs w:val="30"/>
        </w:rPr>
        <w:t>的项目为1个</w:t>
      </w:r>
      <w:r>
        <w:rPr>
          <w:rFonts w:hint="eastAsia" w:ascii="Times New Roman" w:hAnsi="Times New Roman" w:eastAsia="仿宋_GB2312" w:cs="Times New Roman"/>
          <w:color w:val="000000"/>
          <w:kern w:val="30"/>
          <w:sz w:val="32"/>
          <w:szCs w:val="30"/>
        </w:rPr>
        <w:t>，</w:t>
      </w:r>
      <w:r>
        <w:rPr>
          <w:rFonts w:ascii="Times New Roman" w:hAnsi="Times New Roman" w:eastAsia="仿宋_GB2312" w:cs="Times New Roman"/>
          <w:color w:val="000000"/>
          <w:kern w:val="30"/>
          <w:sz w:val="32"/>
          <w:szCs w:val="30"/>
        </w:rPr>
        <w:t>评价等级为</w:t>
      </w:r>
      <w:r>
        <w:rPr>
          <w:rFonts w:hint="eastAsia" w:ascii="Times New Roman" w:hAnsi="Times New Roman" w:eastAsia="仿宋_GB2312" w:cs="Times New Roman"/>
          <w:color w:val="000000"/>
          <w:kern w:val="30"/>
          <w:sz w:val="32"/>
          <w:szCs w:val="30"/>
        </w:rPr>
        <w:t>“良”</w:t>
      </w:r>
      <w:r>
        <w:rPr>
          <w:rFonts w:ascii="Times New Roman" w:hAnsi="Times New Roman" w:eastAsia="仿宋_GB2312" w:cs="Times New Roman"/>
          <w:color w:val="000000"/>
          <w:kern w:val="30"/>
          <w:sz w:val="32"/>
          <w:szCs w:val="30"/>
        </w:rPr>
        <w:t>的项目为3个，评价等级为</w:t>
      </w:r>
      <w:r>
        <w:rPr>
          <w:rFonts w:hint="eastAsia" w:ascii="Times New Roman" w:hAnsi="Times New Roman" w:eastAsia="仿宋_GB2312" w:cs="Times New Roman"/>
          <w:color w:val="000000"/>
          <w:kern w:val="30"/>
          <w:sz w:val="32"/>
          <w:szCs w:val="30"/>
        </w:rPr>
        <w:t>“中”</w:t>
      </w:r>
      <w:r>
        <w:rPr>
          <w:rFonts w:ascii="Times New Roman" w:hAnsi="Times New Roman" w:eastAsia="仿宋_GB2312" w:cs="Times New Roman"/>
          <w:color w:val="000000"/>
          <w:kern w:val="30"/>
          <w:sz w:val="32"/>
          <w:szCs w:val="30"/>
        </w:rPr>
        <w:t>的项目为</w:t>
      </w:r>
      <w:r>
        <w:rPr>
          <w:rFonts w:hint="eastAsia" w:ascii="Times New Roman" w:hAnsi="Times New Roman" w:eastAsia="仿宋_GB2312" w:cs="Times New Roman"/>
          <w:color w:val="000000"/>
          <w:kern w:val="30"/>
          <w:sz w:val="32"/>
          <w:szCs w:val="30"/>
          <w:lang w:val="en-US" w:eastAsia="zh-CN"/>
        </w:rPr>
        <w:t>2</w:t>
      </w:r>
      <w:r>
        <w:rPr>
          <w:rFonts w:ascii="Times New Roman" w:hAnsi="Times New Roman" w:eastAsia="仿宋_GB2312" w:cs="Times New Roman"/>
          <w:color w:val="000000"/>
          <w:kern w:val="30"/>
          <w:sz w:val="32"/>
          <w:szCs w:val="30"/>
        </w:rPr>
        <w:t>个</w:t>
      </w:r>
      <w:r>
        <w:rPr>
          <w:rFonts w:hint="default" w:ascii="Times New Roman" w:hAnsi="Times New Roman" w:eastAsia="仿宋_GB2312" w:cs="Times New Roman"/>
          <w:kern w:val="2"/>
          <w:sz w:val="32"/>
          <w:szCs w:val="32"/>
          <w:lang w:val="en-US" w:eastAsia="zh-CN" w:bidi="ar"/>
        </w:rPr>
        <w:t>，专家建议</w:t>
      </w:r>
      <w:r>
        <w:rPr>
          <w:rFonts w:hint="eastAsia" w:ascii="Times New Roman" w:hAnsi="Times New Roman" w:eastAsia="仿宋_GB2312" w:cs="Times New Roman"/>
          <w:kern w:val="2"/>
          <w:sz w:val="32"/>
          <w:szCs w:val="32"/>
          <w:lang w:val="en-US" w:eastAsia="zh-CN" w:bidi="ar"/>
        </w:rPr>
        <w:t>评价为“中”的项目暂不安排经费，其余项目均“予以支持”。</w:t>
      </w:r>
    </w:p>
    <w:p>
      <w:pPr>
        <w:pStyle w:val="3"/>
        <w:pageBreakBefore w:val="0"/>
        <w:kinsoku/>
        <w:wordWrap/>
        <w:overflowPunct w:val="0"/>
        <w:topLinePunct w:val="0"/>
        <w:autoSpaceDE w:val="0"/>
        <w:autoSpaceDN w:val="0"/>
        <w:bidi w:val="0"/>
        <w:adjustRightInd w:val="0"/>
        <w:snapToGrid w:val="0"/>
        <w:spacing w:line="560" w:lineRule="exact"/>
        <w:ind w:left="0" w:leftChars="0" w:firstLine="640" w:firstLineChars="200"/>
        <w:contextualSpacing/>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三、绩效目标及运行监控管理</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（一）目标管理</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强化绩效目标管理，要求各部门（单位）在编制年度预算时，分解细化各项工作，结合本部门（单位）实际，科学合理全面设置整体绩效目标及项目绩效目标，绩效目标作为预算安排的前置条件。在编制202</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年预算时，全区38家预算单位共申报</w:t>
      </w:r>
      <w:r>
        <w:rPr>
          <w:rFonts w:hint="eastAsia" w:ascii="Times New Roman" w:hAnsi="Times New Roman" w:eastAsia="仿宋_GB2312" w:cs="Times New Roman"/>
          <w:kern w:val="2"/>
          <w:sz w:val="32"/>
          <w:szCs w:val="32"/>
          <w:lang w:val="en-US" w:eastAsia="zh-CN" w:bidi="ar"/>
        </w:rPr>
        <w:t>603</w:t>
      </w:r>
      <w:r>
        <w:rPr>
          <w:rFonts w:hint="default" w:ascii="Times New Roman" w:hAnsi="Times New Roman" w:eastAsia="仿宋_GB2312" w:cs="Times New Roman"/>
          <w:kern w:val="2"/>
          <w:sz w:val="32"/>
          <w:szCs w:val="32"/>
          <w:lang w:val="en-US" w:eastAsia="zh-CN" w:bidi="ar"/>
        </w:rPr>
        <w:t>个项目预算，开展绩效目标管理项目数</w:t>
      </w:r>
      <w:r>
        <w:rPr>
          <w:rFonts w:hint="eastAsia" w:ascii="Times New Roman" w:hAnsi="Times New Roman" w:eastAsia="仿宋_GB2312" w:cs="Times New Roman"/>
          <w:kern w:val="2"/>
          <w:sz w:val="32"/>
          <w:szCs w:val="32"/>
          <w:lang w:val="en-US" w:eastAsia="zh-CN" w:bidi="ar"/>
        </w:rPr>
        <w:t>603</w:t>
      </w:r>
      <w:r>
        <w:rPr>
          <w:rFonts w:hint="default" w:ascii="Times New Roman" w:hAnsi="Times New Roman" w:eastAsia="仿宋_GB2312" w:cs="Times New Roman"/>
          <w:kern w:val="2"/>
          <w:sz w:val="32"/>
          <w:szCs w:val="32"/>
          <w:lang w:val="en-US" w:eastAsia="zh-CN" w:bidi="ar"/>
        </w:rPr>
        <w:t>个</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支出预算共</w:t>
      </w:r>
      <w:r>
        <w:rPr>
          <w:rFonts w:ascii="Times New Roman" w:hAnsi="Times New Roman" w:eastAsia="仿宋_GB2312" w:cs="Times New Roman"/>
          <w:sz w:val="32"/>
          <w:szCs w:val="32"/>
        </w:rPr>
        <w:t>466,935.61</w:t>
      </w:r>
      <w:r>
        <w:rPr>
          <w:rFonts w:hint="default" w:ascii="Times New Roman" w:hAnsi="Times New Roman" w:eastAsia="仿宋_GB2312" w:cs="Times New Roman"/>
          <w:color w:val="auto"/>
          <w:kern w:val="2"/>
          <w:sz w:val="32"/>
          <w:szCs w:val="32"/>
          <w:lang w:val="en-US" w:eastAsia="zh-CN" w:bidi="ar"/>
        </w:rPr>
        <w:t>万元，开展绩效目标管理金额</w:t>
      </w:r>
      <w:r>
        <w:rPr>
          <w:rFonts w:ascii="Times New Roman" w:hAnsi="Times New Roman" w:eastAsia="仿宋_GB2312" w:cs="Times New Roman"/>
          <w:color w:val="auto"/>
          <w:sz w:val="32"/>
          <w:szCs w:val="32"/>
        </w:rPr>
        <w:t>466,935.61</w:t>
      </w:r>
      <w:r>
        <w:rPr>
          <w:rFonts w:hint="default" w:ascii="Times New Roman" w:hAnsi="Times New Roman" w:eastAsia="仿宋_GB2312" w:cs="Times New Roman"/>
          <w:color w:val="auto"/>
          <w:kern w:val="2"/>
          <w:sz w:val="32"/>
          <w:szCs w:val="32"/>
          <w:lang w:val="en-US" w:eastAsia="zh-CN" w:bidi="ar"/>
        </w:rPr>
        <w:t>万元。</w:t>
      </w:r>
    </w:p>
    <w:p>
      <w:pPr>
        <w:pStyle w:val="3"/>
        <w:pageBreakBefore w:val="0"/>
        <w:kinsoku/>
        <w:wordWrap/>
        <w:overflowPunct w:val="0"/>
        <w:topLinePunct w:val="0"/>
        <w:autoSpaceDE w:val="0"/>
        <w:autoSpaceDN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bCs/>
          <w:kern w:val="2"/>
          <w:sz w:val="32"/>
          <w:szCs w:val="32"/>
          <w:lang w:val="en-US" w:eastAsia="zh-CN" w:bidi="ar"/>
        </w:rPr>
      </w:pPr>
      <w:r>
        <w:rPr>
          <w:rFonts w:hint="default" w:ascii="Times New Roman" w:hAnsi="Times New Roman" w:eastAsia="楷体_GB2312" w:cs="Times New Roman"/>
          <w:bCs/>
          <w:kern w:val="2"/>
          <w:sz w:val="32"/>
          <w:szCs w:val="32"/>
          <w:lang w:val="en-US" w:eastAsia="zh-CN" w:bidi="ar"/>
        </w:rPr>
        <w:t>（</w:t>
      </w:r>
      <w:r>
        <w:rPr>
          <w:rFonts w:hint="eastAsia" w:ascii="Times New Roman" w:hAnsi="Times New Roman" w:cs="Times New Roman"/>
          <w:bCs/>
          <w:kern w:val="2"/>
          <w:sz w:val="32"/>
          <w:szCs w:val="32"/>
          <w:lang w:val="en-US" w:eastAsia="zh-CN" w:bidi="ar"/>
        </w:rPr>
        <w:t>二</w:t>
      </w:r>
      <w:r>
        <w:rPr>
          <w:rFonts w:hint="default" w:ascii="Times New Roman" w:hAnsi="Times New Roman" w:eastAsia="楷体_GB2312" w:cs="Times New Roman"/>
          <w:bCs/>
          <w:kern w:val="2"/>
          <w:sz w:val="32"/>
          <w:szCs w:val="32"/>
          <w:lang w:val="en-US" w:eastAsia="zh-CN" w:bidi="ar"/>
        </w:rPr>
        <w:t>）运行监控管理范围</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加强绩效运行监控，要求预算部门（单位）对绩效目标实现程度和预算执行进度实行“双监控”，将所有项目纳入监控范围，并按季度在预算一体化平台采集监控信息，发现问题及时纠正，确保绩效目标和预算执行进度保质保量完成。</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（三）</w:t>
      </w:r>
      <w:r>
        <w:rPr>
          <w:rFonts w:hint="default" w:ascii="Times New Roman" w:hAnsi="Times New Roman" w:eastAsia="楷体_GB2312" w:cs="Times New Roman"/>
          <w:kern w:val="2"/>
          <w:sz w:val="32"/>
          <w:szCs w:val="32"/>
          <w:lang w:val="en-US" w:eastAsia="zh-CN" w:bidi="ar"/>
        </w:rPr>
        <w:t>结果应用</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年，全区38家预算单位申报的6</w:t>
      </w:r>
      <w:r>
        <w:rPr>
          <w:rFonts w:hint="eastAsia" w:ascii="Times New Roman" w:hAnsi="Times New Roman" w:eastAsia="仿宋_GB2312" w:cs="Times New Roman"/>
          <w:kern w:val="2"/>
          <w:sz w:val="32"/>
          <w:szCs w:val="32"/>
          <w:lang w:val="en-US" w:eastAsia="zh-CN" w:bidi="ar"/>
        </w:rPr>
        <w:t>03</w:t>
      </w:r>
      <w:r>
        <w:rPr>
          <w:rFonts w:hint="default" w:ascii="Times New Roman" w:hAnsi="Times New Roman" w:eastAsia="仿宋_GB2312" w:cs="Times New Roman"/>
          <w:kern w:val="2"/>
          <w:sz w:val="32"/>
          <w:szCs w:val="32"/>
          <w:lang w:val="en-US" w:eastAsia="zh-CN" w:bidi="ar"/>
        </w:rPr>
        <w:t>个项目支出预算共计552,473.15万元，开展绩效目标管理金额552,473.15万元。经评审，建议安排预算466,935.61万元，审减金额85,537.54万元，审减率15.48%。审核通过的绩效目标与预算同步批复下达。</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绩效运行监控结果应用</w:t>
      </w:r>
      <w:r>
        <w:rPr>
          <w:rFonts w:hint="default" w:ascii="Times New Roman" w:hAnsi="Times New Roman" w:eastAsia="仿宋_GB2312" w:cs="Times New Roman"/>
          <w:kern w:val="2"/>
          <w:sz w:val="32"/>
          <w:szCs w:val="32"/>
          <w:lang w:val="en-US" w:eastAsia="zh-CN" w:bidi="ar"/>
        </w:rPr>
        <w:t>一是采取绩效运行监控相关措施后，因项目绩效目标不能实现或偏离，在年度预算调剂时，预算部门（单位）申请调减预算金额108,631万元；二是发现问题，及时采取纠偏措施，确保绩效目标按质按量实现。如经开区城市管理局牵头实施的马料河美丽河道建设项目，项目总投资1,123万元，项目建设以来，经绩效运行监控、实地查看和周边群众反映，存在工期滞后，跑道路面不平、开裂、积水、底层涂料脱落等问题，我局及时致函提醒经开区城市管理局加强监管，督促施工单位对问题进行彻底整改，当前已整改完毕；三是绩效运行监控发现项目实际执行与预期不一致，申请扣减预算支出。例如洛羊街道办事处大冲社区东冲顶小区自来水管网改造工程项目，申请扣减预算62.75万元。</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四、绩效评价管理</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（一）</w:t>
      </w:r>
      <w:r>
        <w:rPr>
          <w:rFonts w:hint="default" w:ascii="Times New Roman" w:hAnsi="Times New Roman" w:eastAsia="楷体_GB2312" w:cs="Times New Roman"/>
          <w:kern w:val="2"/>
          <w:sz w:val="32"/>
          <w:szCs w:val="32"/>
          <w:lang w:val="en-US" w:eastAsia="zh-CN" w:bidi="ar"/>
        </w:rPr>
        <w:t>评价范围</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深入开展绩效评价，印发</w:t>
      </w:r>
      <w:r>
        <w:rPr>
          <w:rFonts w:hint="default" w:ascii="Times New Roman" w:hAnsi="Times New Roman" w:eastAsia="仿宋_GB2312" w:cs="Times New Roman"/>
          <w:sz w:val="32"/>
          <w:szCs w:val="32"/>
        </w:rPr>
        <w:t>《关于贯彻落实&lt;云南省项目支出绩效评价管理办法&gt;的实施意见》（昆经开财〔2020〕53号）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
        </w:rPr>
        <w:t>完善绩效自评和重点评价相结合的绩效评价体系，评价范围评价范围涵盖了一般公共预算</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政府性基金预算、国有资本经营预算</w:t>
      </w:r>
      <w:r>
        <w:rPr>
          <w:rFonts w:hint="eastAsia" w:ascii="Times New Roman" w:hAnsi="Times New Roman" w:eastAsia="仿宋_GB2312" w:cs="Times New Roman"/>
          <w:kern w:val="2"/>
          <w:sz w:val="32"/>
          <w:szCs w:val="32"/>
          <w:lang w:val="en-US" w:eastAsia="zh-CN" w:bidi="ar"/>
        </w:rPr>
        <w:t>三本预算，涉及政府购买服务、政府投资基金、地方政府债务或PPP项目</w:t>
      </w:r>
      <w:r>
        <w:rPr>
          <w:rFonts w:hint="default" w:ascii="Times New Roman" w:hAnsi="Times New Roman" w:eastAsia="仿宋_GB2312" w:cs="Times New Roman"/>
          <w:kern w:val="2"/>
          <w:sz w:val="32"/>
          <w:szCs w:val="32"/>
          <w:lang w:val="en-US" w:eastAsia="zh-CN" w:bidi="ar"/>
        </w:rPr>
        <w:t>，并组织开展了</w:t>
      </w:r>
      <w:r>
        <w:rPr>
          <w:rFonts w:hint="eastAsia" w:ascii="Times New Roman" w:hAnsi="Times New Roman" w:eastAsia="仿宋_GB2312" w:cs="Times New Roman"/>
          <w:kern w:val="2"/>
          <w:sz w:val="32"/>
          <w:szCs w:val="32"/>
          <w:lang w:val="en-US" w:eastAsia="zh-CN" w:bidi="ar"/>
        </w:rPr>
        <w:t>综合服务中心运营经费</w:t>
      </w:r>
      <w:r>
        <w:rPr>
          <w:rFonts w:hint="default" w:ascii="Times New Roman" w:hAnsi="Times New Roman" w:eastAsia="仿宋_GB2312" w:cs="Times New Roman"/>
          <w:kern w:val="2"/>
          <w:sz w:val="32"/>
          <w:szCs w:val="32"/>
          <w:lang w:val="en-US" w:eastAsia="zh-CN" w:bidi="ar"/>
        </w:rPr>
        <w:t>、“三有”物品保障经费</w:t>
      </w:r>
      <w:r>
        <w:rPr>
          <w:rFonts w:hint="eastAsia" w:ascii="Times New Roman" w:hAnsi="Times New Roman" w:eastAsia="仿宋_GB2312" w:cs="Times New Roman"/>
          <w:kern w:val="2"/>
          <w:sz w:val="32"/>
          <w:szCs w:val="32"/>
          <w:lang w:val="en-US" w:eastAsia="zh-CN" w:bidi="ar"/>
        </w:rPr>
        <w:t>、企业发展专项扶持</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kern w:val="2"/>
          <w:sz w:val="32"/>
          <w:szCs w:val="32"/>
          <w:lang w:val="en-US" w:eastAsia="zh-CN" w:bidi="ar"/>
        </w:rPr>
        <w:t>项目的绩效重点评价。</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（二）评价规模</w:t>
      </w:r>
    </w:p>
    <w:p>
      <w:pPr>
        <w:pStyle w:val="4"/>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按要求开展绩效自评</w:t>
      </w:r>
      <w:r>
        <w:rPr>
          <w:rFonts w:hint="eastAsia" w:ascii="Times New Roman" w:hAnsi="Times New Roman" w:eastAsia="仿宋_GB2312" w:cs="Times New Roman"/>
          <w:color w:val="auto"/>
          <w:kern w:val="2"/>
          <w:sz w:val="32"/>
          <w:szCs w:val="32"/>
          <w:lang w:val="en-US" w:eastAsia="zh-CN" w:bidi="ar"/>
        </w:rPr>
        <w:t>工作</w:t>
      </w:r>
      <w:r>
        <w:rPr>
          <w:rFonts w:hint="default" w:ascii="Times New Roman" w:hAnsi="Times New Roman" w:eastAsia="仿宋_GB2312" w:cs="Times New Roman"/>
          <w:color w:val="auto"/>
          <w:kern w:val="2"/>
          <w:sz w:val="32"/>
          <w:szCs w:val="32"/>
          <w:lang w:val="en-US" w:eastAsia="zh-CN" w:bidi="ar"/>
        </w:rPr>
        <w:t>，绩效自评对象为纳入我区2021年预算管理的所有财政性资金</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项目数</w:t>
      </w:r>
      <w:r>
        <w:rPr>
          <w:rFonts w:hint="eastAsia" w:ascii="Times New Roman" w:hAnsi="Times New Roman" w:eastAsia="仿宋_GB2312" w:cs="Times New Roman"/>
          <w:color w:val="auto"/>
          <w:kern w:val="2"/>
          <w:sz w:val="32"/>
          <w:szCs w:val="32"/>
          <w:lang w:val="en-US" w:eastAsia="zh-CN" w:bidi="ar"/>
        </w:rPr>
        <w:t>665</w:t>
      </w:r>
      <w:r>
        <w:rPr>
          <w:rFonts w:hint="default" w:ascii="Times New Roman" w:hAnsi="Times New Roman" w:eastAsia="仿宋_GB2312" w:cs="Times New Roman"/>
          <w:color w:val="auto"/>
          <w:kern w:val="2"/>
          <w:sz w:val="32"/>
          <w:szCs w:val="32"/>
          <w:lang w:val="en-US" w:eastAsia="zh-CN" w:bidi="ar"/>
        </w:rPr>
        <w:t>个，开展自评项目数</w:t>
      </w:r>
      <w:r>
        <w:rPr>
          <w:rFonts w:hint="eastAsia" w:ascii="Times New Roman" w:hAnsi="Times New Roman" w:eastAsia="仿宋_GB2312" w:cs="Times New Roman"/>
          <w:color w:val="auto"/>
          <w:kern w:val="2"/>
          <w:sz w:val="32"/>
          <w:szCs w:val="32"/>
          <w:lang w:val="en-US" w:eastAsia="zh-CN" w:bidi="ar"/>
        </w:rPr>
        <w:t>655</w:t>
      </w:r>
      <w:r>
        <w:rPr>
          <w:rFonts w:hint="default" w:ascii="Times New Roman" w:hAnsi="Times New Roman" w:eastAsia="仿宋_GB2312" w:cs="Times New Roman"/>
          <w:color w:val="auto"/>
          <w:kern w:val="2"/>
          <w:sz w:val="32"/>
          <w:szCs w:val="32"/>
          <w:lang w:val="en-US" w:eastAsia="zh-CN" w:bidi="ar"/>
        </w:rPr>
        <w:t>个，自评金额共计457,230.14万元。落实部门（单位）绩效评价主体责任，要求各部门（单位）按时对预算执行情况及实施效果开展绩效自评，自评涉及金额共计457,230.14万元。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结合部门（单位）自评情况，选取</w:t>
      </w:r>
      <w:r>
        <w:rPr>
          <w:rFonts w:hint="eastAsia" w:ascii="Times New Roman" w:hAnsi="Times New Roman" w:eastAsia="仿宋_GB2312" w:cs="Times New Roman"/>
          <w:sz w:val="32"/>
          <w:szCs w:val="32"/>
          <w:lang w:val="en-US" w:eastAsia="zh-CN"/>
        </w:rPr>
        <w:t>市场监管分局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商务金融服务局、洛羊街道办事处</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个部门整体支出，以及</w:t>
      </w:r>
      <w:r>
        <w:rPr>
          <w:rFonts w:hint="eastAsia" w:ascii="Times New Roman" w:hAnsi="Times New Roman" w:eastAsia="仿宋_GB2312" w:cs="Times New Roman"/>
          <w:kern w:val="2"/>
          <w:sz w:val="32"/>
          <w:szCs w:val="32"/>
          <w:lang w:val="en-US" w:eastAsia="zh-CN" w:bidi="ar"/>
        </w:rPr>
        <w:t>综合服务中心运营经费</w:t>
      </w:r>
      <w:r>
        <w:rPr>
          <w:rFonts w:hint="default" w:ascii="Times New Roman" w:hAnsi="Times New Roman" w:eastAsia="仿宋_GB2312" w:cs="Times New Roman"/>
          <w:kern w:val="2"/>
          <w:sz w:val="32"/>
          <w:szCs w:val="32"/>
          <w:lang w:val="en-US" w:eastAsia="zh-CN" w:bidi="ar"/>
        </w:rPr>
        <w:t>、“三有”物品保障经费</w:t>
      </w:r>
      <w:r>
        <w:rPr>
          <w:rFonts w:hint="eastAsia" w:ascii="Times New Roman" w:hAnsi="Times New Roman" w:eastAsia="仿宋_GB2312" w:cs="Times New Roman"/>
          <w:kern w:val="2"/>
          <w:sz w:val="32"/>
          <w:szCs w:val="32"/>
          <w:lang w:val="en-US" w:eastAsia="zh-CN" w:bidi="ar"/>
        </w:rPr>
        <w:t>、企业发展专项扶持</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5个项目支出作为财政重点评价对象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
        </w:rPr>
        <w:t>评价预算金额共计</w:t>
      </w:r>
      <w:r>
        <w:rPr>
          <w:rFonts w:hint="eastAsia" w:ascii="Times New Roman" w:hAnsi="Times New Roman" w:eastAsia="仿宋_GB2312" w:cs="Times New Roman"/>
          <w:kern w:val="2"/>
          <w:sz w:val="32"/>
          <w:szCs w:val="32"/>
          <w:lang w:val="en-US" w:eastAsia="zh-CN" w:bidi="ar"/>
        </w:rPr>
        <w:t>330,263.31</w:t>
      </w:r>
      <w:r>
        <w:rPr>
          <w:rFonts w:hint="default" w:ascii="Times New Roman" w:hAnsi="Times New Roman" w:eastAsia="仿宋_GB2312" w:cs="Times New Roman"/>
          <w:kern w:val="2"/>
          <w:sz w:val="32"/>
          <w:szCs w:val="32"/>
          <w:lang w:val="en-US" w:eastAsia="zh-CN" w:bidi="ar"/>
        </w:rPr>
        <w:t>万元。经评价，</w:t>
      </w:r>
      <w:r>
        <w:rPr>
          <w:rFonts w:hint="eastAsia" w:ascii="Times New Roman" w:hAnsi="Times New Roman" w:eastAsia="仿宋_GB2312" w:cs="仿宋_GB2312"/>
          <w:sz w:val="32"/>
          <w:szCs w:val="22"/>
        </w:rPr>
        <w:t>部门整体支出绩效评价1个部门评级为优，9个部门评级为良，项目支出绩效评价7个项目评级为优</w:t>
      </w:r>
      <w:r>
        <w:rPr>
          <w:rFonts w:hint="eastAsia" w:ascii="Times New Roman" w:hAnsi="Times New Roman" w:eastAsia="仿宋_GB2312" w:cs="仿宋_GB2312"/>
          <w:sz w:val="32"/>
          <w:szCs w:val="22"/>
          <w:lang w:eastAsia="zh-CN"/>
        </w:rPr>
        <w:t>，</w:t>
      </w:r>
      <w:r>
        <w:rPr>
          <w:rFonts w:hint="eastAsia" w:ascii="Times New Roman" w:hAnsi="Times New Roman" w:eastAsia="仿宋_GB2312" w:cs="仿宋_GB2312"/>
          <w:sz w:val="32"/>
          <w:szCs w:val="22"/>
        </w:rPr>
        <w:t>25个项目评级为良，3个项目评级为中</w:t>
      </w:r>
      <w:r>
        <w:rPr>
          <w:rFonts w:hint="eastAsia" w:ascii="Times New Roman" w:hAnsi="Times New Roman" w:eastAsia="仿宋_GB2312" w:cs="仿宋_GB2312"/>
          <w:sz w:val="32"/>
          <w:szCs w:val="22"/>
          <w:lang w:eastAsia="zh-CN"/>
        </w:rPr>
        <w:t>，</w:t>
      </w:r>
      <w:r>
        <w:rPr>
          <w:rFonts w:hint="default" w:ascii="Times New Roman" w:hAnsi="Times New Roman" w:eastAsia="仿宋_GB2312" w:cs="Times New Roman"/>
          <w:kern w:val="2"/>
          <w:sz w:val="32"/>
          <w:szCs w:val="32"/>
          <w:lang w:val="en-US" w:eastAsia="zh-CN" w:bidi="ar"/>
        </w:rPr>
        <w:t>优秀率</w:t>
      </w:r>
      <w:r>
        <w:rPr>
          <w:rFonts w:hint="eastAsia" w:ascii="Times New Roman" w:hAnsi="Times New Roman" w:eastAsia="仿宋_GB2312" w:cs="Times New Roman"/>
          <w:kern w:val="2"/>
          <w:sz w:val="32"/>
          <w:szCs w:val="32"/>
          <w:lang w:val="en-US" w:eastAsia="zh-CN" w:bidi="ar"/>
        </w:rPr>
        <w:t>17.7</w:t>
      </w:r>
      <w:r>
        <w:rPr>
          <w:rFonts w:hint="default" w:ascii="Times New Roman" w:hAnsi="Times New Roman" w:eastAsia="仿宋_GB2312" w:cs="Times New Roman"/>
          <w:kern w:val="2"/>
          <w:sz w:val="32"/>
          <w:szCs w:val="32"/>
          <w:lang w:val="en-US" w:eastAsia="zh-CN" w:bidi="ar"/>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（三）结果应用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sz w:val="32"/>
          <w:szCs w:val="32"/>
        </w:rPr>
        <w:t>重点绩效评价</w:t>
      </w:r>
      <w:r>
        <w:rPr>
          <w:rFonts w:hint="default" w:ascii="Times New Roman" w:hAnsi="Times New Roman" w:eastAsia="仿宋_GB2312" w:cs="Times New Roman"/>
          <w:sz w:val="32"/>
          <w:szCs w:val="32"/>
          <w:lang w:val="en-US" w:eastAsia="zh-CN"/>
        </w:rPr>
        <w:t>结束后，</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局及时将绩效评价结果反馈给被评价</w:t>
      </w:r>
      <w:r>
        <w:rPr>
          <w:rFonts w:hint="default" w:ascii="Times New Roman" w:hAnsi="Times New Roman" w:eastAsia="仿宋_GB2312" w:cs="Times New Roman"/>
          <w:sz w:val="32"/>
          <w:szCs w:val="32"/>
          <w:lang w:eastAsia="zh-CN"/>
        </w:rPr>
        <w:t>部门（单位）</w:t>
      </w:r>
      <w:r>
        <w:rPr>
          <w:rFonts w:hint="default" w:ascii="Times New Roman" w:hAnsi="Times New Roman" w:eastAsia="仿宋_GB2312" w:cs="Times New Roman"/>
          <w:sz w:val="32"/>
          <w:szCs w:val="32"/>
        </w:rPr>
        <w:t>，并形成综合报告</w:t>
      </w:r>
      <w:r>
        <w:rPr>
          <w:rFonts w:hint="default" w:ascii="Times New Roman" w:hAnsi="Times New Roman" w:eastAsia="仿宋_GB2312" w:cs="Times New Roman"/>
          <w:sz w:val="32"/>
          <w:szCs w:val="32"/>
          <w:lang w:eastAsia="zh-CN"/>
        </w:rPr>
        <w:t>报</w:t>
      </w:r>
      <w:r>
        <w:rPr>
          <w:rFonts w:hint="eastAsia" w:ascii="Times New Roman" w:hAnsi="Times New Roman" w:eastAsia="仿宋_GB2312" w:cs="Times New Roman"/>
          <w:sz w:val="32"/>
          <w:szCs w:val="32"/>
          <w:lang w:val="en-US" w:eastAsia="zh-CN"/>
        </w:rPr>
        <w:t>党工委会议</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rPr>
        <w:t>要求各相关部门</w:t>
      </w:r>
      <w:r>
        <w:rPr>
          <w:rFonts w:hint="default" w:ascii="Times New Roman" w:hAnsi="Times New Roman" w:eastAsia="仿宋_GB2312" w:cs="Times New Roman"/>
          <w:sz w:val="32"/>
          <w:szCs w:val="32"/>
          <w:lang w:eastAsia="zh-CN"/>
        </w:rPr>
        <w:t>（单位）要</w:t>
      </w:r>
      <w:r>
        <w:rPr>
          <w:rFonts w:hint="default" w:ascii="Times New Roman" w:hAnsi="Times New Roman" w:eastAsia="仿宋_GB2312" w:cs="Times New Roman"/>
          <w:b w:val="0"/>
          <w:bCs w:val="0"/>
          <w:iCs w:val="0"/>
          <w:color w:val="auto"/>
          <w:kern w:val="2"/>
          <w:sz w:val="32"/>
          <w:szCs w:val="32"/>
          <w:lang w:val="en-US" w:eastAsia="zh-CN" w:bidi="ar-SA"/>
        </w:rPr>
        <w:t>针对发现的问题，认真研究，落实整改，在收到评价报告两个月内，反馈整改情况，评价结果和整改情况作为下一年度预算安排的依据。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bidi w:val="0"/>
        <w:snapToGrid/>
        <w:spacing w:before="0" w:beforeLines="0" w:after="0" w:afterLines="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昆明市财政局昆明经济技术开发区财政分局</w:t>
      </w:r>
    </w:p>
    <w:p>
      <w:pPr>
        <w:pStyle w:val="4"/>
        <w:keepNext w:val="0"/>
        <w:keepLines w:val="0"/>
        <w:pageBreakBefore w:val="0"/>
        <w:widowControl w:val="0"/>
        <w:numPr>
          <w:ilvl w:val="0"/>
          <w:numId w:val="0"/>
        </w:numPr>
        <w:kinsoku/>
        <w:wordWrap/>
        <w:overflowPunct/>
        <w:topLinePunct w:val="0"/>
        <w:autoSpaceDE/>
        <w:bidi w:val="0"/>
        <w:snapToGrid/>
        <w:spacing w:before="0" w:beforeLines="0" w:after="0" w:afterLines="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202</w:t>
      </w:r>
      <w:r>
        <w:rPr>
          <w:rFonts w:hint="eastAsia" w:ascii="Times New Roman" w:hAnsi="Times New Roman" w:eastAsia="仿宋_GB2312" w:cs="Times New Roman"/>
          <w:b w:val="0"/>
          <w:bCs w:val="0"/>
          <w:iCs w:val="0"/>
          <w:color w:val="auto"/>
          <w:kern w:val="2"/>
          <w:sz w:val="32"/>
          <w:szCs w:val="32"/>
          <w:lang w:val="en-US" w:eastAsia="zh-CN" w:bidi="ar-SA"/>
        </w:rPr>
        <w:t>3</w:t>
      </w:r>
      <w:r>
        <w:rPr>
          <w:rFonts w:hint="default" w:ascii="Times New Roman" w:hAnsi="Times New Roman" w:eastAsia="仿宋_GB2312" w:cs="Times New Roman"/>
          <w:b w:val="0"/>
          <w:bCs w:val="0"/>
          <w:iCs w:val="0"/>
          <w:color w:val="auto"/>
          <w:kern w:val="2"/>
          <w:sz w:val="32"/>
          <w:szCs w:val="32"/>
          <w:lang w:val="en-US" w:eastAsia="zh-CN" w:bidi="ar-SA"/>
        </w:rPr>
        <w:t>年</w:t>
      </w:r>
      <w:r>
        <w:rPr>
          <w:rFonts w:hint="eastAsia" w:ascii="Times New Roman" w:hAnsi="Times New Roman" w:eastAsia="仿宋_GB2312" w:cs="Times New Roman"/>
          <w:b w:val="0"/>
          <w:bCs w:val="0"/>
          <w:iCs w:val="0"/>
          <w:color w:val="auto"/>
          <w:kern w:val="2"/>
          <w:sz w:val="32"/>
          <w:szCs w:val="32"/>
          <w:lang w:val="en-US" w:eastAsia="zh-CN" w:bidi="ar-SA"/>
        </w:rPr>
        <w:t>9</w:t>
      </w:r>
      <w:r>
        <w:rPr>
          <w:rFonts w:hint="default" w:ascii="Times New Roman" w:hAnsi="Times New Roman" w:eastAsia="仿宋_GB2312" w:cs="Times New Roman"/>
          <w:b w:val="0"/>
          <w:bCs w:val="0"/>
          <w:iCs w:val="0"/>
          <w:color w:val="auto"/>
          <w:kern w:val="2"/>
          <w:sz w:val="32"/>
          <w:szCs w:val="32"/>
          <w:lang w:val="en-US" w:eastAsia="zh-CN" w:bidi="ar-SA"/>
        </w:rPr>
        <w:t>月</w:t>
      </w:r>
      <w:r>
        <w:rPr>
          <w:rFonts w:hint="eastAsia" w:ascii="Times New Roman" w:hAnsi="Times New Roman" w:eastAsia="仿宋_GB2312" w:cs="Times New Roman"/>
          <w:b w:val="0"/>
          <w:bCs w:val="0"/>
          <w:iCs w:val="0"/>
          <w:color w:val="auto"/>
          <w:kern w:val="2"/>
          <w:sz w:val="32"/>
          <w:szCs w:val="32"/>
          <w:lang w:val="en-US" w:eastAsia="zh-CN" w:bidi="ar-SA"/>
        </w:rPr>
        <w:t>7</w:t>
      </w:r>
      <w:r>
        <w:rPr>
          <w:rFonts w:hint="default" w:ascii="Times New Roman" w:hAnsi="Times New Roman" w:eastAsia="仿宋_GB2312" w:cs="Times New Roman"/>
          <w:b w:val="0"/>
          <w:bCs w:val="0"/>
          <w:iCs w:val="0"/>
          <w:color w:val="auto"/>
          <w:kern w:val="2"/>
          <w:sz w:val="32"/>
          <w:szCs w:val="32"/>
          <w:lang w:val="en-US" w:eastAsia="zh-CN" w:bidi="ar-SA"/>
        </w:rPr>
        <w:t>日</w:t>
      </w:r>
    </w:p>
    <w:p>
      <w:pPr>
        <w:pStyle w:val="4"/>
        <w:keepNext w:val="0"/>
        <w:keepLines w:val="0"/>
        <w:pageBreakBefore w:val="0"/>
        <w:widowControl w:val="0"/>
        <w:numPr>
          <w:ilvl w:val="0"/>
          <w:numId w:val="0"/>
        </w:numPr>
        <w:kinsoku/>
        <w:wordWrap/>
        <w:overflowPunct/>
        <w:topLinePunct w:val="0"/>
        <w:autoSpaceDE/>
        <w:bidi w:val="0"/>
        <w:snapToGrid/>
        <w:spacing w:before="0" w:beforeLines="0" w:after="0" w:afterLines="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w:t>
      </w:r>
    </w:p>
    <w:p>
      <w:pPr>
        <w:pStyle w:val="4"/>
        <w:ind w:firstLine="640"/>
        <w:rPr>
          <w:rFonts w:hint="eastAsia" w:ascii="仿宋_GB2312" w:hAnsi="仿宋_GB2312" w:eastAsia="仿宋_GB2312" w:cs="仿宋_GB2312"/>
          <w:color w:val="333333"/>
          <w:kern w:val="2"/>
          <w:sz w:val="32"/>
          <w:szCs w:val="32"/>
          <w:shd w:val="clear" w:color="auto" w:fill="FFFFFF"/>
          <w:lang w:val="en-US" w:eastAsia="zh-CN" w:bidi="ar-SA"/>
        </w:rPr>
      </w:pPr>
    </w:p>
    <w:p>
      <w:pPr>
        <w:pStyle w:val="4"/>
        <w:ind w:firstLine="640"/>
        <w:rPr>
          <w:rFonts w:hint="default" w:ascii="Times New Roman" w:hAnsi="Times New Roman" w:eastAsia="仿宋_GB2312" w:cs="Times New Roman"/>
          <w:color w:val="333333"/>
          <w:kern w:val="2"/>
          <w:sz w:val="32"/>
          <w:szCs w:val="32"/>
          <w:shd w:val="clear" w:color="auto" w:fill="FFFFFF"/>
          <w:lang w:val="en-US" w:eastAsia="zh-CN" w:bidi="ar-SA"/>
        </w:rPr>
      </w:pPr>
    </w:p>
    <w:p>
      <w:pPr>
        <w:pStyle w:val="4"/>
        <w:numPr>
          <w:ilvl w:val="0"/>
          <w:numId w:val="0"/>
        </w:numPr>
        <w:rPr>
          <w:rFonts w:hint="default" w:ascii="楷体_GB2312" w:hAnsi="楷体_GB2312" w:eastAsia="楷体_GB2312" w:cs="楷体_GB2312"/>
          <w:kern w:val="2"/>
          <w:sz w:val="32"/>
          <w:szCs w:val="32"/>
          <w:lang w:val="en-US" w:eastAsia="zh-CN" w:bidi="ar"/>
        </w:rPr>
      </w:pPr>
    </w:p>
    <w:p>
      <w:pPr>
        <w:pStyle w:val="4"/>
        <w:numPr>
          <w:ilvl w:val="0"/>
          <w:numId w:val="0"/>
        </w:numPr>
        <w:ind w:left="320" w:leftChars="0"/>
        <w:rPr>
          <w:rFonts w:hint="default" w:eastAsia="仿宋_GB2312" w:cs="Times New Roman"/>
          <w:kern w:val="2"/>
          <w:sz w:val="32"/>
          <w:szCs w:val="32"/>
          <w:lang w:val="en-US" w:eastAsia="zh-CN" w:bidi="ar"/>
        </w:rPr>
      </w:pPr>
    </w:p>
    <w:p>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
        </w:rPr>
      </w:pPr>
    </w:p>
    <w:p>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9CEF3"/>
    <w:multiLevelType w:val="singleLevel"/>
    <w:tmpl w:val="55B9CEF3"/>
    <w:lvl w:ilvl="0" w:tentative="0">
      <w:start w:val="2"/>
      <w:numFmt w:val="chineseCounting"/>
      <w:suff w:val="nothing"/>
      <w:lvlText w:val="（%1）"/>
      <w:lvlJc w:val="left"/>
      <w:rPr>
        <w:rFonts w:hint="eastAsia"/>
      </w:rPr>
    </w:lvl>
  </w:abstractNum>
  <w:abstractNum w:abstractNumId="1">
    <w:nsid w:val="6B3230C9"/>
    <w:multiLevelType w:val="singleLevel"/>
    <w:tmpl w:val="6B3230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51DC"/>
    <w:rsid w:val="02AD1871"/>
    <w:rsid w:val="030D5B84"/>
    <w:rsid w:val="03560D95"/>
    <w:rsid w:val="048B01F5"/>
    <w:rsid w:val="07166AA2"/>
    <w:rsid w:val="093D1475"/>
    <w:rsid w:val="0BAB0558"/>
    <w:rsid w:val="0D6E60A1"/>
    <w:rsid w:val="0E042561"/>
    <w:rsid w:val="0E3177FA"/>
    <w:rsid w:val="13AE71F7"/>
    <w:rsid w:val="148E43C3"/>
    <w:rsid w:val="14A30D26"/>
    <w:rsid w:val="15233C15"/>
    <w:rsid w:val="18E92A80"/>
    <w:rsid w:val="19C71013"/>
    <w:rsid w:val="19E971DB"/>
    <w:rsid w:val="1AB23A71"/>
    <w:rsid w:val="1AE54751"/>
    <w:rsid w:val="1CCC4B92"/>
    <w:rsid w:val="1DE2263A"/>
    <w:rsid w:val="1DE859FC"/>
    <w:rsid w:val="1E685864"/>
    <w:rsid w:val="201F4F04"/>
    <w:rsid w:val="216602B3"/>
    <w:rsid w:val="2208041A"/>
    <w:rsid w:val="226E387B"/>
    <w:rsid w:val="233D0598"/>
    <w:rsid w:val="237C10C0"/>
    <w:rsid w:val="23DF6B60"/>
    <w:rsid w:val="24C462E8"/>
    <w:rsid w:val="25777D91"/>
    <w:rsid w:val="25B17BC0"/>
    <w:rsid w:val="280478D6"/>
    <w:rsid w:val="2BCE22CC"/>
    <w:rsid w:val="2ED33016"/>
    <w:rsid w:val="2F7D2448"/>
    <w:rsid w:val="312C0EDD"/>
    <w:rsid w:val="31B41A25"/>
    <w:rsid w:val="31DD71CE"/>
    <w:rsid w:val="33A32862"/>
    <w:rsid w:val="33BD3E0E"/>
    <w:rsid w:val="35246EC1"/>
    <w:rsid w:val="37CD0F4E"/>
    <w:rsid w:val="37E2346C"/>
    <w:rsid w:val="383C34D3"/>
    <w:rsid w:val="38A5656B"/>
    <w:rsid w:val="38A95732"/>
    <w:rsid w:val="3AC727C9"/>
    <w:rsid w:val="3BDA3E9D"/>
    <w:rsid w:val="3C3814A4"/>
    <w:rsid w:val="3D6C7658"/>
    <w:rsid w:val="3E1A160D"/>
    <w:rsid w:val="3F03223E"/>
    <w:rsid w:val="3FE46026"/>
    <w:rsid w:val="401A08A4"/>
    <w:rsid w:val="40B44660"/>
    <w:rsid w:val="434370AD"/>
    <w:rsid w:val="440B5E1C"/>
    <w:rsid w:val="44F468B0"/>
    <w:rsid w:val="45372C41"/>
    <w:rsid w:val="456B456B"/>
    <w:rsid w:val="4A9E19BF"/>
    <w:rsid w:val="4D970721"/>
    <w:rsid w:val="4E08517B"/>
    <w:rsid w:val="4E7D7917"/>
    <w:rsid w:val="4FB530E0"/>
    <w:rsid w:val="51AC6BF8"/>
    <w:rsid w:val="537D0649"/>
    <w:rsid w:val="559838E9"/>
    <w:rsid w:val="55C027DF"/>
    <w:rsid w:val="56071D00"/>
    <w:rsid w:val="562C1C22"/>
    <w:rsid w:val="563D798B"/>
    <w:rsid w:val="57811AFA"/>
    <w:rsid w:val="59AC5554"/>
    <w:rsid w:val="59F2455A"/>
    <w:rsid w:val="5B4E6197"/>
    <w:rsid w:val="5C5617A7"/>
    <w:rsid w:val="5C7659A5"/>
    <w:rsid w:val="5E1B2CA8"/>
    <w:rsid w:val="5ED03A93"/>
    <w:rsid w:val="5F090D52"/>
    <w:rsid w:val="5FAB3BB8"/>
    <w:rsid w:val="60C06369"/>
    <w:rsid w:val="62127F1E"/>
    <w:rsid w:val="675F3C06"/>
    <w:rsid w:val="69177307"/>
    <w:rsid w:val="69335CA3"/>
    <w:rsid w:val="69EB1CDC"/>
    <w:rsid w:val="6AD77F57"/>
    <w:rsid w:val="6B661582"/>
    <w:rsid w:val="6B6E00B6"/>
    <w:rsid w:val="6C7D6C05"/>
    <w:rsid w:val="6CDB1F80"/>
    <w:rsid w:val="6E0C797B"/>
    <w:rsid w:val="6E601FD8"/>
    <w:rsid w:val="70422316"/>
    <w:rsid w:val="709F5073"/>
    <w:rsid w:val="749F7D37"/>
    <w:rsid w:val="7C6F6241"/>
    <w:rsid w:val="7D292894"/>
    <w:rsid w:val="7D95230D"/>
    <w:rsid w:val="7E7933A7"/>
    <w:rsid w:val="7EDB7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widowControl/>
      <w:spacing w:line="560" w:lineRule="exact"/>
      <w:ind w:firstLine="200"/>
      <w:jc w:val="left"/>
      <w:outlineLvl w:val="1"/>
    </w:pPr>
    <w:rPr>
      <w:rFonts w:ascii="Cambria" w:hAnsi="Cambria" w:eastAsia="楷体_GB2312" w:cs="宋体"/>
      <w:bCs/>
      <w:sz w:val="30"/>
      <w:szCs w:val="32"/>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 w:val="21"/>
      <w:szCs w:val="21"/>
    </w:rPr>
  </w:style>
  <w:style w:type="paragraph" w:styleId="4">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2021-12-22T02:10:05Z</dcterms:created>
  <dc:creator>Administrator.ZXT-02107181225</dc:creator>
  <cp:lastModifiedBy>Administrator</cp:lastModifiedBy>
  <cp:lastPrinted>2021-12-24T02:18:12Z</cp:lastPrinted>
  <dcterms:modified xsi:type="dcterms:W3CDTF">2023-09-12T07:29:56Z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069B128689B6477B95B1A2E59B11FD53</vt:lpwstr>
  </property>
</Properties>
</file>