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昆明经开阿拉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云南鑫博艺家具有限公司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一般物体打击事故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调查报告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编制单位：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昆明经济技术开发区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管委会事故调查组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200"/>
        <w:jc w:val="lef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编制时间：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2024年5月14日</w:t>
      </w:r>
    </w:p>
    <w:p>
      <w:pPr>
        <w:pStyle w:val="2"/>
        <w:outlineLvl w:val="9"/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rPr>
          <w:rFonts w:ascii="宋体" w:hAnsi="宋体" w:eastAsia="宋体" w:cs="Times New Roman"/>
          <w:kern w:val="2"/>
          <w:sz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rPr>
          <w:rFonts w:ascii="宋体" w:hAnsi="宋体" w:eastAsia="宋体" w:cs="Times New Roman"/>
          <w:kern w:val="2"/>
          <w:sz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目录</w:t>
      </w:r>
    </w:p>
    <w:p>
      <w:pPr>
        <w:pStyle w:val="14"/>
      </w:pPr>
    </w:p>
    <w:p>
      <w:pPr>
        <w:pStyle w:val="8"/>
        <w:tabs>
          <w:tab w:val="right" w:leader="dot" w:pos="8845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\l _Toc8769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一、事故基本情况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PAGEREF _Toc8769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- 3 -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_Toc3403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（一）事故发生单位概况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_Toc3403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- 3 -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_Toc1098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（二）事故相关单位概况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_Toc1098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- 4 -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_Toc31721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（三）事故单位关联情况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_Toc31721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- 5 -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_Toc12395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（四）事故发生单位安全管理情况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_Toc12395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- 5 -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_Toc27955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（五）事故发生经过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_Toc27955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- 5 -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_Toc25248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（六）事故现场情况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_Toc25248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- 6 -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_Toc3838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（七）人员伤亡和直接经济损失情况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_Toc3838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- 7 -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8"/>
        <w:tabs>
          <w:tab w:val="right" w:leader="dot" w:pos="8845"/>
        </w:tabs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\l _Toc29730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事故应急处置及评估情况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PAGEREF _Toc29730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- 7 -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_Toc5487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事故信息接报及响应情况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_Toc5487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- 7 -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_Toc20748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事故现场应急处置情况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_Toc20748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- 7 -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_Toc19092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（三）医疗救治和善后情况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_Toc19092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- 8 -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_Toc30737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事故应急处置评估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_Toc30737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- 8 -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8"/>
        <w:tabs>
          <w:tab w:val="right" w:leader="dot" w:pos="8845"/>
        </w:tabs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\l _Toc970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事故原因分析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PAGEREF _Toc970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- 9 -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_Toc15556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直接原因分析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_Toc15556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- 9 -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_Toc29528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事故相关检验检测和鉴定情况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_Toc29528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- 9 -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_Toc2375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其他可能因素排除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_Toc2375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- 9 -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_Toc16362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间接原因分析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_Toc16362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- 9 -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8"/>
        <w:tabs>
          <w:tab w:val="right" w:leader="dot" w:pos="8845"/>
        </w:tabs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\l _Toc609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对有关责任人员和责任单位的处理建议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PAGEREF _Toc609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- 9 -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pStyle w:val="8"/>
        <w:tabs>
          <w:tab w:val="right" w:leader="dot" w:pos="8845"/>
        </w:tabs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\l _Toc22732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事故主要教训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PAGEREF _Toc22732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- 11 -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pStyle w:val="8"/>
        <w:tabs>
          <w:tab w:val="right" w:leader="dot" w:pos="8845"/>
        </w:tabs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\l _Toc18757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事故整改和防范措施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PAGEREF _Toc18757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- 11 -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_Toc29977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事故单位整改和防范措施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_Toc29977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- 11 -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9"/>
        <w:tabs>
          <w:tab w:val="right" w:leader="dot" w:pos="8845"/>
        </w:tabs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_Toc12434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有关监管部门整改和防范措施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_Toc12434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- 11 -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8"/>
        <w:tabs>
          <w:tab w:val="right" w:leader="dot" w:pos="8845"/>
        </w:tabs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\l _Toc23861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 PAGEREF _Toc23861 \h 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- 12 -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</w:p>
    <w:p>
      <w:p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昆明经开阿拉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云南鑫博艺家具有限公司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一般物体打击事故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调查报告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20时30分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左右，阿拉街道办事处清水社区清水下村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号云南鑫博艺家具有限公司发生一起事故，造成一人死亡。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根据《生产安全事故报告和调查处理条例》（国务院令第493号）及国家相关法律规定，拟由城市管理局牵头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市场监管分局、总工会、公安分局、阿拉街道办事处、阿拉派出所联合成立昆明经济技术开发区202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年“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”事故调查组（以下简称事故调查组）。事故调查组坚持“四不放过”和“科学严谨、依法依规、实事求是、注重实效”的原则，通过现场勘察、调查取证、综合分析研判、查明了事故发生的经过、原因、人员伤亡和财产损失，认定了事故性质和责任，提出对有关责任单位、人员的处理意见，以及加强和改进防范措施和整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Style w:val="1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经调查认定，昆明经开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阿拉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云南鑫博艺家具有限公司“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”一般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物体打击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事故是一起一般生产安全事故。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Toc8769"/>
      <w:r>
        <w:rPr>
          <w:rFonts w:hint="eastAsia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事故基本情况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" w:name="_Toc3403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（一）事故发生单位概况</w:t>
      </w:r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事故单位为云南鑫博艺家具有限公司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类型：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有限责任公司(自然人独资)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；统一社会信用代码：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91530100MA6N1N1C1K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；住所：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云南省昆明经济区阿拉街道办事处清水社区清水下村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号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；法定代表人：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李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军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；注册资本：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壹佰万元整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；成立日期：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2018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03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日；营业期限：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2018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03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无固定限期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；经营范围：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家具的生产销售；国内贸易、物资供销（危险化学品、涉氨制冷业及国家限定违禁管制品除外）（不得在经开区内从事本区产业政策中限制类、禁止类行业）（依法须经批准的项目，经相关部门批准后方可开展经营活动）。</w:t>
      </w:r>
    </w:p>
    <w:p>
      <w:pPr>
        <w:pStyle w:val="13"/>
        <w:outlineLvl w:val="1"/>
        <w:rPr>
          <w:rFonts w:hint="default"/>
          <w:lang w:val="en-US" w:eastAsia="zh-CN"/>
        </w:rPr>
      </w:pPr>
      <w:bookmarkStart w:id="2" w:name="_Toc1098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5"/>
          <w:rFonts w:hint="eastAsia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</w:t>
      </w:r>
      <w:r>
        <w:rPr>
          <w:rStyle w:val="15"/>
          <w:rFonts w:hint="eastAsia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相关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单位概况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bookmarkStart w:id="3" w:name="_Toc7858"/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1.安宁创柏润木材经营部，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类型：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个体工商户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；统一社会信用代码：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9253018MA7CRLK297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；住所：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云南省昆明市安宁市金方街道办事处云安农林天下A1仓储区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栋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号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；法定代表人：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初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；成立日期：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2021年11月10日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；营业期限：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2021年11月10日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无固定限期；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经营范围：</w:t>
      </w:r>
      <w:bookmarkEnd w:id="3"/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一般项目：木材加工；木材销售；家具销售；家具安装和维修服务（依法须经批准的项目，经相关部门批准后方可开展经营活动）。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bookmarkStart w:id="4" w:name="_Toc29419"/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2.吴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，类型：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自然人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身份证号码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532129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***************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；住所：</w:t>
      </w:r>
      <w:bookmarkEnd w:id="4"/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云南省昭通市彝良县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*****************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5" w:name="_Toc31721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）事故单位</w:t>
      </w:r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关联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情况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与安宁创柏润木材经营部为长期合作关系，2024年4月2日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向安宁创柏润木材经营部购买了一车家具木材原料。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2.吴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富日常驾驶轻型板栏货车A6SB21送货拉货。2024年4月2日安宁创柏润木材经营部负责人陈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豹电话联系吴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富让其送一车木材原料货物至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6" w:name="_Toc12395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）事故发生单位安全管理情况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经过调查取证，云南鑫博艺家具有限公司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制定了粉尘清扫制度，开展过消防安全教育。主要存在问题：未建立健全安全生产责任制度，未建立健全安全生产规章制度和操作规程，未制定并实施安全生产教育和培训计划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，未对外来人员进行统一协调管理，未为从业人员提供符合国家标准或者行业标准的劳动防护用品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7" w:name="_Toc27955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）事故发生经过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通过询问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笔录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、调阅视频资料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现场勘探调查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2024年4月2日下午15时20分左右，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负责人李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军联系安宁创柏润木材经营部负责人陈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豹，向其公司购买了一车共15方木料，陈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豹又联系了专职在市场里面拉货的货车司机吴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富，让其送货；下午17时左右装完货后吴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富开始送货，19时10分吴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富电话联系了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老板娘陈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英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（陈*英与吴*富系同乡表亲）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，告知其马上到公司门口，因当时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工人都已经下班，陈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英就安排了木方车间管理员林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云收货，并请吴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富帮忙卸货。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19时20分左右，吴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富驾驶货车到了厂房门口，刚到厂房门口准备回宿舍的工人李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兵看见后就将厂房的门打开，这时林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云也到了，吴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按照陈*英的安排，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进入厂房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去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驾驶叉车开始在林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云的指挥下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帮忙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卸货，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在卸第三包木料时吴*富按照林*云的指挥准备将木料码在厂房门口立柱旁边的物料上，吴*富尝试放置了两次未果，且物料上方右侧用来放置叉车托盘和货架的垫方也掉下几块，吴*富就停下叉车查看，发现叉车右前轮被一小块木料挡住，将木块清开后吴*富又重新登上叉车准备接着放置木料，这时在旁边看到垫方掉落的林*云就从货叉下方穿过到物料右侧，将掉落的垫方捡起来放好，放好后林*云就在堆放处继续指挥叉车放木料，吴*富就操作叉车向前继续放货，因地面不平整，吴*富在操作叉车时产生晃动，货叉上的木料失去平衡向右侧掉落砸中林*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8" w:name="_Toc25248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）事故现场情况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事故发生地点位于阿拉街道办事处清水社区清水下村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号云南鑫博艺家具有限公司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厂区内部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84" w:firstLineChars="200"/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事故涉及木料包内含木方条300条左右，重约550kg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84" w:firstLineChars="200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3.叉车名称：内燃平衡重式叉车；型号：CPC；额定起重量：3500kg；自重：4885kg；最大起升高度：4000mm；</w:t>
      </w:r>
    </w:p>
    <w:p>
      <w:pPr>
        <w:pStyle w:val="2"/>
        <w:ind w:firstLine="684" w:firstLineChars="200"/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事发时死者身上未穿戴安全帽。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9" w:name="_Toc3838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）人员伤亡和直接经济损失情况</w:t>
      </w:r>
      <w:bookmarkEnd w:id="9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1.死者：林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云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女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，住址：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广西平乐县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************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，身份证号码：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452330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****</w:t>
      </w:r>
      <w:bookmarkStart w:id="33" w:name="_GoBack"/>
      <w:bookmarkEnd w:id="33"/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************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事故导致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林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云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1人死亡，造成直接经济损失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100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0" w:name="_Toc29730"/>
      <w:r>
        <w:rPr>
          <w:rFonts w:hint="eastAsia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事故应急处置及评估情况</w:t>
      </w:r>
      <w:bookmarkEnd w:id="1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1" w:name="_Toc5487"/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事故信息接报及响应情况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时左右，城市管理局接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公安分局通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报：阿拉街道办事处清水社区清水下村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号云南鑫博艺家具有限公司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发生一起人员死亡事件。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接报后，区城市管理局、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阿拉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街道办事处、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市场监管分局、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公安分局立即安排有关人员赶往事故现场开展调查取证工作，及时组织事故单位相关人员召开现场工作会，安排布置善后事宜，要求事故单位立刻成立善后处置工作小组，安抚家属情绪，全力做好死者善后工作，防止造成不良社会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2" w:name="_Toc20748"/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事故现场应急处置情况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下午19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分，事故发生后，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*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立即大声呼救，在厂区外面的工人李*兵听到呼救声后就进到厂区内查看情况，看到林*云被压在一堆木料下方，李*兵就立即电话通知老板李*军，后又电话通知在宿舍休息的叉车驾驶员吴*东来帮忙救援，吴*东到现场后先是拨打了120急救电话，再与其他人一起合力将林*云救出，救出后林*云已经失去意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bookmarkStart w:id="13" w:name="_Toc19092"/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（三）医疗救治和善后情况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下午20时06分左右120急救人员达到，对林*云进行抢救无效后宣布林*云死亡，李*荣军安排吴*东拨打110电话报警。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事故发生后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ascii="Times New Roman" w:hAnsi="Times New Roman" w:cs="Times New Roman"/>
          <w:spacing w:val="11"/>
          <w:kern w:val="2"/>
          <w:sz w:val="32"/>
          <w:szCs w:val="32"/>
          <w:lang w:val="en-US" w:eastAsia="zh-CN" w:bidi="ar-SA"/>
        </w:rPr>
        <w:t>死者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家属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达成赔偿协议，由云南鑫博艺家具有限公司向死者家属支付</w:t>
      </w:r>
      <w:r>
        <w:rPr>
          <w:rFonts w:hint="eastAsia" w:ascii="Times New Roman" w:hAnsi="Times New Roman" w:cs="Times New Roman"/>
          <w:spacing w:val="11"/>
          <w:kern w:val="2"/>
          <w:sz w:val="32"/>
          <w:szCs w:val="32"/>
          <w:lang w:val="en-US" w:eastAsia="zh-CN" w:bidi="ar-SA"/>
        </w:rPr>
        <w:t>共计100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万元赔偿费，善后工作及时妥善处理，社会舆情平稳。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4" w:name="_Toc30737"/>
      <w:r>
        <w:rPr>
          <w:rStyle w:val="15"/>
          <w:rFonts w:hint="eastAsia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事故应急处置评估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在事故发生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后，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现场人员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第一时间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组织救援，同时通知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相关负责人和拨打120急救电话，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符合事故应急要求。事故发生单位积极开展善后工作，未将事态扩大，未造成其它不良影响。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2.昆明经开区相关部门在该起事故发生后，及时响应，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及时开展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善后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处置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安抚家属情绪，全力做好死者善后工作，城市管理局、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市场监管分局、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公安、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阿拉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街道办事处等部门职责清楚、分工明确、联动协同、快速反应、应急处置得当，信息发布及时，善后工作有序，符合应急处置措施程序及要求。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5" w:name="_Toc970"/>
      <w:r>
        <w:rPr>
          <w:rFonts w:hint="eastAsia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事故原因分析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事故的直接原因是：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死者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林*云被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吴*富驾驶叉车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时货叉上掉落的货物击中头部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是造成此起事故的直接原因。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6" w:name="_Toc15556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（一）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直接原因分析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死者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林*云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安全意识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淡薄，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未与作业中的叉车保持足够的安全距离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是造成此起事故的直接原因。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84" w:firstLineChars="200"/>
        <w:outlineLvl w:val="9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吴*富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安全意识淡薄，在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林*云未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叉车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保持足够的安全距离下，违章操作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驾驶叉车作业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是造成此起事故的直接原因。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17" w:name="_Toc29528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事故相关检验检测和鉴定情况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该起事故未进行相关检验检测和鉴定。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18" w:name="_Toc2375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（三）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其他可能因素排除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通过事故现场勘查、询问和事故现场视频资料分析，排除人为故意伤害、突发设备损害因素等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影响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19" w:name="_Toc16362"/>
      <w:bookmarkStart w:id="20" w:name="_Toc1587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（四）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间接原因分析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bookmarkStart w:id="21" w:name="_Toc29860"/>
      <w:bookmarkStart w:id="22" w:name="_Toc25661"/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云南鑫博艺家具有限公司安全生产主体责任落实不到位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，未建立健全安全生产规章制度和操作规程，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未对外来人员（吴*富）进行统一协调管理；未为从业人员提供符合国家标准或者行业标准的劳动防护用品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是造成此起事故发生的间接原因。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3" w:name="_Toc609"/>
      <w:r>
        <w:rPr>
          <w:rFonts w:hint="eastAsia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对有关责任人员和责任单位的处理建议</w:t>
      </w:r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bookmarkStart w:id="24" w:name="_Toc13890"/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林*云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（死者）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安全意识不足，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未与作业中的叉车保持足够的安全距离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，对此起事故负有直接责任，鉴于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林*云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在此起事故中死亡，建议不追究其相关责任。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吴*富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安全意识淡薄，在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林*云未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叉车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保持足够的安全距离下违章操作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驾驶叉车作业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对此起事故负有责任。建议区城市管理局按照《中华人民共和国安全生产法》相关规定对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吴*富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予以立案查处。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从业人员陈*英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安全意识淡薄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，违规安排外来人员进入厂区进行作业，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建议云南鑫博艺家具有限公司按照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公司管理规定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对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陈*英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进行处理，并将处理结果报事故调查组。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主要负责人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李*军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，未严格履行主要负责人安全生产职责，未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组织建立健全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公司安全生产管理制度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，未制定叉车安全管理制度，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未制定并实施安全生产教育和培训计划等，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对此起事故负有责任。建议区城市管理局按照《中华人民共和国安全生产法》相关规定对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李*军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予以立案查处。</w:t>
      </w:r>
    </w:p>
    <w:bookmarkEnd w:id="2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 w:bidi="ar-SA"/>
        </w:rPr>
      </w:pPr>
      <w:bookmarkStart w:id="25" w:name="_Toc5916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云南鑫博艺家具有限公司安全生产主体责任落实不到位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，未建立健全安全生产规章制度和操作规程，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未对外来人员（吴*富）进行统一协调管理；未为从业人员提供符合国家标准或者行业标准的劳动防护用品，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对此起事故负有责任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建议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区城市管理局按照《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中华人民共和国安全生产法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相关规定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云南鑫博艺家具有限公司予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以立案查处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-10" w:leftChars="0" w:firstLine="640" w:firstLine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6" w:name="_Toc22732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事故主要教训</w:t>
      </w:r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此起事故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反映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出由于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生产经营单位未建立健全安全生产管理制度，安全管理不到位，教育培训不到位导致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从业人员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违章作业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进而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引发的安全事故。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-10" w:leftChars="0" w:firstLine="640" w:firstLineChars="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7" w:name="_Toc18757"/>
      <w:bookmarkStart w:id="28" w:name="_Toc7289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事故整改和防范措施</w:t>
      </w:r>
      <w:bookmarkEnd w:id="27"/>
      <w:bookmarkEnd w:id="2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29" w:name="_Toc25507"/>
      <w:bookmarkStart w:id="30" w:name="_Toc29977"/>
      <w:r>
        <w:rPr>
          <w:rStyle w:val="15"/>
          <w:rFonts w:hint="eastAsia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（一）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事故单位整改和防范措施</w:t>
      </w:r>
      <w:bookmarkEnd w:id="29"/>
      <w:bookmarkEnd w:id="30"/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云南鑫博艺家具有限公司要严格落实安全生产主体责任，严格执行《中华人民共和国安全生产法》等法律法规，深刻吸取事故教训，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建立健全并落实安全管理规章制度；加强对外来人员的管理；加强对从业人员的安全生产教育及培训，提高从业人员的安全意识；为从业人员提供符合国家标准或者行业标准的劳动防护用品，并监督、教育从业人员按照使用规则佩戴使用，切实防止类似事故再次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9"/>
        <w:rPr>
          <w:rStyle w:val="15"/>
          <w:rFonts w:hint="default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31" w:name="_Toc13524"/>
      <w:r>
        <w:rPr>
          <w:rStyle w:val="15"/>
          <w:rFonts w:hint="eastAsia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吴*富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要深刻吸取事故教训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认真学习</w:t>
      </w:r>
      <w:r>
        <w:rPr>
          <w:rFonts w:hint="default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《中华人民共和国安全生产法》等法律法规，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切实提高</w:t>
      </w:r>
      <w:r>
        <w:rPr>
          <w:rFonts w:hint="eastAsia" w:eastAsia="仿宋_GB2312" w:cs="Times New Roman"/>
          <w:spacing w:val="11"/>
          <w:kern w:val="2"/>
          <w:sz w:val="32"/>
          <w:szCs w:val="32"/>
          <w:lang w:val="en-US" w:eastAsia="zh-CN" w:bidi="ar-SA"/>
        </w:rPr>
        <w:t>自身</w:t>
      </w:r>
      <w:r>
        <w:rPr>
          <w:rFonts w:hint="eastAsia" w:ascii="Times New Roman" w:hAnsi="Times New Roman" w:eastAsia="仿宋_GB2312" w:cs="Times New Roman"/>
          <w:spacing w:val="11"/>
          <w:kern w:val="2"/>
          <w:sz w:val="32"/>
          <w:szCs w:val="32"/>
          <w:lang w:val="en-US" w:eastAsia="zh-CN" w:bidi="ar-SA"/>
        </w:rPr>
        <w:t>的风险观念、增强风险意识和安全素质。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</w:pPr>
      <w:bookmarkStart w:id="32" w:name="_Toc12434"/>
      <w:r>
        <w:rPr>
          <w:rStyle w:val="15"/>
          <w:rFonts w:hint="eastAsia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（二）</w:t>
      </w:r>
      <w:r>
        <w:rPr>
          <w:rStyle w:val="15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有关监管部门整改和防范措施</w:t>
      </w:r>
      <w:bookmarkEnd w:id="31"/>
      <w:bookmarkEnd w:id="32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687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11"/>
          <w:kern w:val="2"/>
          <w:sz w:val="32"/>
          <w:szCs w:val="32"/>
          <w:lang w:val="en-US" w:eastAsia="zh-CN" w:bidi="ar-SA"/>
        </w:rPr>
        <w:t>各相关部门</w:t>
      </w:r>
      <w:r>
        <w:rPr>
          <w:rFonts w:hint="default" w:ascii="Times New Roman" w:hAnsi="Times New Roman" w:eastAsia="仿宋_GB2312" w:cs="Times New Roman"/>
          <w:color w:val="auto"/>
          <w:spacing w:val="11"/>
          <w:kern w:val="2"/>
          <w:sz w:val="32"/>
          <w:szCs w:val="32"/>
          <w:lang w:val="en-US" w:eastAsia="zh-CN" w:bidi="ar-SA"/>
        </w:rPr>
        <w:t>要压实工作责任，强化监管执法，重点整治隐患大、风险高的企业，对违法违规和不落实整改措施的企业严格落实停产停业整顿、关闭取缔等执法措施，确保重大风险管控到位，重大隐患整改到位。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要严格落实属地管理原则，进一步强化安全管理责任，充分发挥和调动街道、社区基层监管力量，层层抓好落实、层层压实责任，摸清辖区企业风险状况，夯实工作基础，加强与相关职能部门联系，加大隐患排查治理力度，做到早发现、早汇报、早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righ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昆明经济技术开发区202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”事故调查组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7E311-FC09-436D-B858-8984DE4C1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3B449F-B893-4FAB-9121-C9E1931E140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8370EA6-4E38-4497-9F3F-8FFFCE4C64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5DE016D-5F85-48C9-B582-AAAC41159D65}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D178485-2442-4F6B-BA62-A317BDF239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yZTdiMTk1ZDQwMjZjNDRmMDczMDgwMWUwYzkifQ=="/>
  </w:docVars>
  <w:rsids>
    <w:rsidRoot w:val="61DD2B49"/>
    <w:rsid w:val="004D4BBD"/>
    <w:rsid w:val="035835FB"/>
    <w:rsid w:val="042B1B65"/>
    <w:rsid w:val="049C5E6A"/>
    <w:rsid w:val="06896195"/>
    <w:rsid w:val="076625B0"/>
    <w:rsid w:val="089F1804"/>
    <w:rsid w:val="0B70121E"/>
    <w:rsid w:val="0D4D02D1"/>
    <w:rsid w:val="0E824954"/>
    <w:rsid w:val="0FE75B64"/>
    <w:rsid w:val="10173DF5"/>
    <w:rsid w:val="122A5E32"/>
    <w:rsid w:val="126B356A"/>
    <w:rsid w:val="13452764"/>
    <w:rsid w:val="134B7033"/>
    <w:rsid w:val="16305120"/>
    <w:rsid w:val="174F6F43"/>
    <w:rsid w:val="18F3464E"/>
    <w:rsid w:val="190A6EA1"/>
    <w:rsid w:val="19821E18"/>
    <w:rsid w:val="1ACF413E"/>
    <w:rsid w:val="1BB2644B"/>
    <w:rsid w:val="1BE9633E"/>
    <w:rsid w:val="1C325DCD"/>
    <w:rsid w:val="1C4456A0"/>
    <w:rsid w:val="1CBF49DF"/>
    <w:rsid w:val="1CCB59AA"/>
    <w:rsid w:val="1DB21FDA"/>
    <w:rsid w:val="1DBA3B5B"/>
    <w:rsid w:val="213378F8"/>
    <w:rsid w:val="2240687C"/>
    <w:rsid w:val="224E24D7"/>
    <w:rsid w:val="22806934"/>
    <w:rsid w:val="228757E3"/>
    <w:rsid w:val="232C654C"/>
    <w:rsid w:val="24247062"/>
    <w:rsid w:val="252F2B27"/>
    <w:rsid w:val="27006C89"/>
    <w:rsid w:val="27855A68"/>
    <w:rsid w:val="284B0E5A"/>
    <w:rsid w:val="28953273"/>
    <w:rsid w:val="28B929EF"/>
    <w:rsid w:val="28D14861"/>
    <w:rsid w:val="2A042B68"/>
    <w:rsid w:val="2A263EF8"/>
    <w:rsid w:val="2A8F2129"/>
    <w:rsid w:val="2ACE2FF1"/>
    <w:rsid w:val="2AFB76D6"/>
    <w:rsid w:val="2B9A0A7C"/>
    <w:rsid w:val="2DFF4038"/>
    <w:rsid w:val="2E6920C9"/>
    <w:rsid w:val="2F8F1C84"/>
    <w:rsid w:val="2FCF700D"/>
    <w:rsid w:val="325517CD"/>
    <w:rsid w:val="32565922"/>
    <w:rsid w:val="33CC717D"/>
    <w:rsid w:val="35BA14CC"/>
    <w:rsid w:val="37A12B68"/>
    <w:rsid w:val="3A167BEC"/>
    <w:rsid w:val="3A8D5245"/>
    <w:rsid w:val="3BF977EC"/>
    <w:rsid w:val="3D402EF0"/>
    <w:rsid w:val="3E5F540E"/>
    <w:rsid w:val="3E6D3687"/>
    <w:rsid w:val="3F3E08C3"/>
    <w:rsid w:val="3F4070D5"/>
    <w:rsid w:val="401E1809"/>
    <w:rsid w:val="40A05DD3"/>
    <w:rsid w:val="40F74DA2"/>
    <w:rsid w:val="42017EBC"/>
    <w:rsid w:val="42366486"/>
    <w:rsid w:val="438B36A7"/>
    <w:rsid w:val="44416AB6"/>
    <w:rsid w:val="452A4D91"/>
    <w:rsid w:val="45373762"/>
    <w:rsid w:val="456F7B59"/>
    <w:rsid w:val="464943C9"/>
    <w:rsid w:val="48450857"/>
    <w:rsid w:val="4AA14DCA"/>
    <w:rsid w:val="4D5A3970"/>
    <w:rsid w:val="4E1D071C"/>
    <w:rsid w:val="4F9051E2"/>
    <w:rsid w:val="5039383B"/>
    <w:rsid w:val="50F809EE"/>
    <w:rsid w:val="515A3F3F"/>
    <w:rsid w:val="51D8151C"/>
    <w:rsid w:val="525A1FA9"/>
    <w:rsid w:val="52802FF2"/>
    <w:rsid w:val="58EF598F"/>
    <w:rsid w:val="594910BA"/>
    <w:rsid w:val="5B787669"/>
    <w:rsid w:val="5E652D85"/>
    <w:rsid w:val="5EC9275E"/>
    <w:rsid w:val="5F9C5EC6"/>
    <w:rsid w:val="5FBB01FB"/>
    <w:rsid w:val="618F428D"/>
    <w:rsid w:val="61DD2B49"/>
    <w:rsid w:val="62922031"/>
    <w:rsid w:val="635637BB"/>
    <w:rsid w:val="636F225A"/>
    <w:rsid w:val="637E22F8"/>
    <w:rsid w:val="63DD7768"/>
    <w:rsid w:val="66B00944"/>
    <w:rsid w:val="67DE038C"/>
    <w:rsid w:val="68062038"/>
    <w:rsid w:val="69C560E2"/>
    <w:rsid w:val="6BAA605B"/>
    <w:rsid w:val="6C151F4E"/>
    <w:rsid w:val="6E543075"/>
    <w:rsid w:val="6F7C2F7F"/>
    <w:rsid w:val="711E1809"/>
    <w:rsid w:val="72A76461"/>
    <w:rsid w:val="738007E2"/>
    <w:rsid w:val="73B33554"/>
    <w:rsid w:val="73C76872"/>
    <w:rsid w:val="747F78B4"/>
    <w:rsid w:val="75596BC4"/>
    <w:rsid w:val="76D97613"/>
    <w:rsid w:val="79570BE0"/>
    <w:rsid w:val="7B321DE4"/>
    <w:rsid w:val="7C5144F9"/>
    <w:rsid w:val="7D643815"/>
    <w:rsid w:val="7E367938"/>
    <w:rsid w:val="7EB919F5"/>
    <w:rsid w:val="7FFD6980"/>
    <w:rsid w:val="B5D6773F"/>
    <w:rsid w:val="F7FFF0BA"/>
    <w:rsid w:val="FBEFC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rPr>
      <w:sz w:val="24"/>
    </w:rPr>
  </w:style>
  <w:style w:type="paragraph" w:customStyle="1" w:styleId="13">
    <w:name w:val="Body Text First Indent"/>
    <w:basedOn w:val="4"/>
    <w:qFormat/>
    <w:uiPriority w:val="0"/>
    <w:pPr>
      <w:tabs>
        <w:tab w:val="left" w:pos="7655"/>
      </w:tabs>
      <w:ind w:firstLine="200" w:firstLineChars="200"/>
    </w:pPr>
  </w:style>
  <w:style w:type="paragraph" w:customStyle="1" w:styleId="1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character" w:customStyle="1" w:styleId="15">
    <w:name w:val="NormalCharacter"/>
    <w:qFormat/>
    <w:uiPriority w:val="0"/>
    <w:rPr>
      <w:kern w:val="2"/>
      <w:sz w:val="21"/>
      <w:lang w:val="en-US" w:eastAsia="zh-CN" w:bidi="ar-SA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4614</Words>
  <Characters>4870</Characters>
  <Lines>0</Lines>
  <Paragraphs>0</Paragraphs>
  <TotalTime>2424</TotalTime>
  <ScaleCrop>false</ScaleCrop>
  <LinksUpToDate>false</LinksUpToDate>
  <CharactersWithSpaces>4942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2023-04-06T23:57:00Z</dcterms:created>
  <dc:creator>智能校园网路由器</dc:creator>
  <cp:lastModifiedBy>恰似白月光</cp:lastModifiedBy>
  <cp:lastPrinted>2024-05-08T08:48:00Z</cp:lastPrinted>
  <dcterms:modified xsi:type="dcterms:W3CDTF">2024-05-16T07:23:06Z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5C87A7F7747246EFB857C39AB96B2E33</vt:lpwstr>
  </property>
</Properties>
</file>