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2023年昆明经济技术开发区国有资本经营预算变动情况说明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一、与 2022 年决算数相比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1.国有独资企业利润收入相比上年决算数增长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150.56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right="0" w:rightChars="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主要原因是 2023 年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color="auto" w:fill="auto"/>
          <w:lang w:eastAsia="zh-CN"/>
        </w:rPr>
        <w:t>昆明经济技术开发区投资（开发）集团有限公司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增加上缴利润，国资收益增加。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.解决历史遗留问题支出相比上年决算数下降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12.9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%。原因是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上级资金国有企业退休人员社会化补助拨付减少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4.国有企业资本金注入相比上年决算数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100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%。主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要原因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现阶段地方财力有限，财政刚性支出不减反增，自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2023 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起暂不对昆明经济技术开发区投资（开发）集团有限公司资本金注入。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5.其他国有资本经营预算支出相比上年决算数下降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2.5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%，主要原因是 2023 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部分国资监管支出。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二、与 2023 年预算数相比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1.国有独资企业利润收入完成年初预算数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2.国有企业资本金注入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因现阶段地方财力有限，财政刚性支出不减反增，自</w:t>
      </w: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 2023 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起暂不对昆明经济技术开发区投资（开发）集团有限公司资本金注入，故未做预测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640" w:firstLineChars="200"/>
        <w:jc w:val="both"/>
        <w:textAlignment w:val="auto"/>
        <w:outlineLvl w:val="9"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 xml:space="preserve">3.其他国有资本经营预算支出完成年初预算数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50.1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%，主要原因是 2023 年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减少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部分国资监管支出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3D474E"/>
    <w:rsid w:val="07805948"/>
    <w:rsid w:val="083724FE"/>
    <w:rsid w:val="0DD64EDC"/>
    <w:rsid w:val="1CBB0F71"/>
    <w:rsid w:val="21F7758C"/>
    <w:rsid w:val="27824DEF"/>
    <w:rsid w:val="30D73605"/>
    <w:rsid w:val="332331A5"/>
    <w:rsid w:val="56D614F5"/>
    <w:rsid w:val="5948204D"/>
    <w:rsid w:val="5ACD5E03"/>
    <w:rsid w:val="5B1B630A"/>
    <w:rsid w:val="5B5976F5"/>
    <w:rsid w:val="5F08113C"/>
    <w:rsid w:val="753D47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2024-09-05T06:00:00Z</dcterms:created>
  <dc:creator>李静</dc:creator>
  <cp:lastModifiedBy>伏佳</cp:lastModifiedBy>
  <dcterms:modified xsi:type="dcterms:W3CDTF">2024-09-06T02:41:35Z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4E689CDA7FEF4B00807F89B54247DC76</vt:lpwstr>
  </property>
</Properties>
</file>