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</w:rPr>
        <w:t>2023年昆明经济技术开发区</w:t>
      </w:r>
      <w:bookmarkStart w:id="0" w:name="_GoBack"/>
      <w:bookmarkEnd w:id="0"/>
      <w:r>
        <w:rPr>
          <w:rFonts w:hint="eastAsia" w:ascii="Times New Roman" w:hAnsi="Times New Roman" w:eastAsia="方正小标宋_GBK"/>
          <w:b/>
          <w:sz w:val="44"/>
          <w:szCs w:val="44"/>
        </w:rPr>
        <w:t>一般公共预算、政府性基金预算、国有资本经营预算执行变动情况的说明</w:t>
      </w:r>
    </w:p>
    <w:p>
      <w:pPr>
        <w:spacing w:line="560" w:lineRule="exact"/>
        <w:jc w:val="center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一、一般公共预算支出变动情况</w:t>
      </w:r>
    </w:p>
    <w:p>
      <w:pPr>
        <w:spacing w:line="56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（一）一般</w:t>
      </w:r>
      <w:r>
        <w:rPr>
          <w:rFonts w:ascii="Times New Roman" w:hAnsi="Times New Roman" w:eastAsia="楷体"/>
          <w:sz w:val="32"/>
          <w:szCs w:val="32"/>
        </w:rPr>
        <w:t>公共服务支出</w:t>
      </w:r>
      <w:r>
        <w:rPr>
          <w:rFonts w:hint="eastAsia" w:ascii="Times New Roman" w:hAnsi="Times New Roman" w:eastAsia="楷体"/>
          <w:sz w:val="32"/>
          <w:szCs w:val="32"/>
        </w:rPr>
        <w:t>比上年决算数下降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22.16</w:t>
      </w:r>
      <w:r>
        <w:rPr>
          <w:rFonts w:hint="eastAsia" w:ascii="Times New Roman" w:hAnsi="Times New Roman" w:eastAsia="楷体"/>
          <w:sz w:val="32"/>
          <w:szCs w:val="32"/>
        </w:rPr>
        <w:t>%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主要原因是：一般公共服务支出</w:t>
      </w:r>
      <w:r>
        <w:rPr>
          <w:rFonts w:ascii="Times New Roman" w:hAnsi="Times New Roman" w:eastAsia="仿宋_GB2312"/>
          <w:sz w:val="32"/>
          <w:szCs w:val="32"/>
        </w:rPr>
        <w:t>的资金来源于一般公共预算收入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，上年同期，一般公共服务支科目有“昆明海关监管场所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2022年第一批省预算内基本建设专项资金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”的上级补助收入共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10,000万元，而本年无，决算数同比下降的原因是上级补助收入的同比减少所致。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（二）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科学技术</w:t>
      </w:r>
      <w:r>
        <w:rPr>
          <w:rFonts w:hint="eastAsia" w:ascii="Times New Roman" w:hAnsi="Times New Roman" w:eastAsia="楷体"/>
          <w:sz w:val="32"/>
          <w:szCs w:val="32"/>
        </w:rPr>
        <w:t>支出比上年决算数下降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32.75</w:t>
      </w:r>
      <w:r>
        <w:rPr>
          <w:rFonts w:hint="eastAsia" w:ascii="Times New Roman" w:hAnsi="Times New Roman" w:eastAsia="楷体"/>
          <w:sz w:val="32"/>
          <w:szCs w:val="32"/>
        </w:rPr>
        <w:t>%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主要原因是：科学技术支出</w:t>
      </w:r>
      <w:r>
        <w:rPr>
          <w:rFonts w:ascii="Times New Roman" w:hAnsi="Times New Roman" w:eastAsia="仿宋_GB2312"/>
          <w:sz w:val="32"/>
          <w:szCs w:val="32"/>
        </w:rPr>
        <w:t>的资金来源于一般公共预算收入，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年受国家增值税</w:t>
      </w:r>
      <w:r>
        <w:rPr>
          <w:rFonts w:ascii="Times New Roman" w:hAnsi="Times New Roman" w:eastAsia="仿宋_GB2312"/>
          <w:sz w:val="32"/>
          <w:szCs w:val="32"/>
        </w:rPr>
        <w:t>留抵退税政策</w:t>
      </w:r>
      <w:r>
        <w:rPr>
          <w:rFonts w:hint="eastAsia" w:ascii="Times New Roman" w:hAnsi="Times New Roman" w:eastAsia="仿宋_GB2312"/>
          <w:sz w:val="32"/>
          <w:szCs w:val="32"/>
        </w:rPr>
        <w:t>影响，年度税收</w:t>
      </w:r>
      <w:r>
        <w:rPr>
          <w:rFonts w:ascii="Times New Roman" w:hAnsi="Times New Roman" w:eastAsia="仿宋_GB2312"/>
          <w:sz w:val="32"/>
          <w:szCs w:val="32"/>
        </w:rPr>
        <w:t>收</w:t>
      </w:r>
      <w:r>
        <w:rPr>
          <w:rFonts w:hint="eastAsia" w:ascii="Times New Roman" w:hAnsi="Times New Roman" w:eastAsia="仿宋_GB2312"/>
          <w:sz w:val="32"/>
          <w:szCs w:val="32"/>
        </w:rPr>
        <w:t>入增长未</w:t>
      </w:r>
      <w:r>
        <w:rPr>
          <w:rFonts w:ascii="Times New Roman" w:hAnsi="Times New Roman" w:eastAsia="仿宋_GB2312"/>
          <w:sz w:val="32"/>
          <w:szCs w:val="32"/>
        </w:rPr>
        <w:t>达预期</w:t>
      </w:r>
      <w:r>
        <w:rPr>
          <w:rFonts w:hint="eastAsia" w:ascii="Times New Roman" w:hAnsi="Times New Roman" w:eastAsia="仿宋_GB2312"/>
          <w:sz w:val="32"/>
          <w:szCs w:val="32"/>
        </w:rPr>
        <w:t>，预算安排</w:t>
      </w:r>
      <w:r>
        <w:rPr>
          <w:rFonts w:ascii="Times New Roman" w:hAnsi="Times New Roman" w:eastAsia="仿宋_GB2312"/>
          <w:sz w:val="32"/>
          <w:szCs w:val="32"/>
        </w:rPr>
        <w:t>较上年</w:t>
      </w:r>
      <w:r>
        <w:rPr>
          <w:rFonts w:hint="eastAsia" w:ascii="Times New Roman" w:hAnsi="Times New Roman" w:eastAsia="仿宋_GB2312"/>
          <w:sz w:val="32"/>
          <w:szCs w:val="32"/>
        </w:rPr>
        <w:t>下降</w:t>
      </w:r>
      <w:r>
        <w:rPr>
          <w:rFonts w:ascii="Times New Roman" w:hAnsi="Times New Roman" w:eastAsia="仿宋_GB2312"/>
          <w:sz w:val="32"/>
          <w:szCs w:val="32"/>
        </w:rPr>
        <w:t>幅度较大，</w:t>
      </w:r>
      <w:r>
        <w:rPr>
          <w:rFonts w:hint="eastAsia" w:ascii="Times New Roman" w:hAnsi="Times New Roman" w:eastAsia="仿宋_GB2312"/>
          <w:sz w:val="32"/>
          <w:szCs w:val="32"/>
        </w:rPr>
        <w:t>部分</w:t>
      </w:r>
      <w:r>
        <w:rPr>
          <w:rFonts w:ascii="Times New Roman" w:hAnsi="Times New Roman" w:eastAsia="仿宋_GB2312"/>
          <w:sz w:val="32"/>
          <w:szCs w:val="32"/>
        </w:rPr>
        <w:t>项目未能形成支出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楷体"/>
          <w:sz w:val="32"/>
          <w:szCs w:val="32"/>
        </w:rPr>
        <w:t>）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文化旅游体育与传媒</w:t>
      </w:r>
      <w:r>
        <w:rPr>
          <w:rFonts w:hint="eastAsia" w:ascii="Times New Roman" w:hAnsi="Times New Roman" w:eastAsia="楷体"/>
          <w:sz w:val="32"/>
          <w:szCs w:val="32"/>
        </w:rPr>
        <w:t>支出比上年决算数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86.88</w:t>
      </w:r>
      <w:r>
        <w:rPr>
          <w:rFonts w:hint="eastAsia" w:ascii="Times New Roman" w:hAnsi="Times New Roman" w:eastAsia="楷体"/>
          <w:sz w:val="32"/>
          <w:szCs w:val="32"/>
        </w:rPr>
        <w:t>%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主要原因是：文化旅游体育与传媒支出</w:t>
      </w:r>
      <w:r>
        <w:rPr>
          <w:rFonts w:ascii="Times New Roman" w:hAnsi="Times New Roman" w:eastAsia="仿宋_GB2312"/>
          <w:sz w:val="32"/>
          <w:szCs w:val="32"/>
        </w:rPr>
        <w:t>的资金来源于一般公共预算收入，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本科目收到的上级补助收入与上年相比较多，例如文旅企业贷款贴息资金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519万元，故支出决算数增长较大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楷体"/>
          <w:sz w:val="32"/>
          <w:szCs w:val="32"/>
        </w:rPr>
        <w:t>）卫生健康支出比上年决算数增长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28.24</w:t>
      </w:r>
      <w:r>
        <w:rPr>
          <w:rFonts w:hint="eastAsia" w:ascii="Times New Roman" w:hAnsi="Times New Roman" w:eastAsia="楷体"/>
          <w:sz w:val="32"/>
          <w:szCs w:val="32"/>
        </w:rPr>
        <w:t>%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上年度因国家肿瘤区域中心建设项目新增上级补助收入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20,300万元并于上年度形成支出，本年因该项目退库退股事宜新增支出27,000万元，该项目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同比净增加支出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6,700万元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（四）节能环保支出比上年决算数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59.16</w:t>
      </w:r>
      <w:r>
        <w:rPr>
          <w:rFonts w:hint="eastAsia" w:ascii="Times New Roman" w:hAnsi="Times New Roman" w:eastAsia="楷体"/>
          <w:sz w:val="32"/>
          <w:szCs w:val="32"/>
        </w:rPr>
        <w:t>%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主要原因是：一是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上年有</w:t>
      </w:r>
      <w:r>
        <w:rPr>
          <w:rFonts w:hint="eastAsia" w:ascii="Times New Roman" w:hAnsi="Times New Roman" w:eastAsia="仿宋_GB2312"/>
          <w:sz w:val="32"/>
          <w:szCs w:val="32"/>
        </w:rPr>
        <w:t>结转</w:t>
      </w:r>
      <w:r>
        <w:rPr>
          <w:rFonts w:ascii="Times New Roman" w:hAnsi="Times New Roman" w:eastAsia="仿宋_GB2312"/>
          <w:sz w:val="32"/>
          <w:szCs w:val="32"/>
        </w:rPr>
        <w:t>结余资金在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当年</w:t>
      </w:r>
      <w:r>
        <w:rPr>
          <w:rFonts w:ascii="Times New Roman" w:hAnsi="Times New Roman" w:eastAsia="仿宋_GB2312"/>
          <w:sz w:val="32"/>
          <w:szCs w:val="32"/>
        </w:rPr>
        <w:t>形成</w:t>
      </w:r>
      <w:r>
        <w:rPr>
          <w:rFonts w:hint="eastAsia" w:ascii="Times New Roman" w:hAnsi="Times New Roman" w:eastAsia="仿宋_GB2312"/>
          <w:sz w:val="32"/>
          <w:szCs w:val="32"/>
        </w:rPr>
        <w:t>支出</w:t>
      </w:r>
      <w:r>
        <w:rPr>
          <w:rFonts w:ascii="Times New Roman" w:hAnsi="Times New Roman" w:eastAsia="仿宋_GB2312"/>
          <w:sz w:val="32"/>
          <w:szCs w:val="32"/>
        </w:rPr>
        <w:t>，具体是</w:t>
      </w:r>
      <w:r>
        <w:rPr>
          <w:rFonts w:hint="eastAsia" w:ascii="Times New Roman" w:hAnsi="Times New Roman" w:eastAsia="仿宋_GB2312"/>
          <w:sz w:val="32"/>
          <w:szCs w:val="32"/>
        </w:rPr>
        <w:t>2019年产业扶持专项资金5</w:t>
      </w:r>
      <w:r>
        <w:rPr>
          <w:rFonts w:ascii="Times New Roman" w:hAnsi="Times New Roman" w:eastAsia="仿宋_GB2312"/>
          <w:sz w:val="32"/>
          <w:szCs w:val="32"/>
        </w:rPr>
        <w:t>,</w:t>
      </w:r>
      <w:r>
        <w:rPr>
          <w:rFonts w:hint="eastAsia" w:ascii="Times New Roman" w:hAnsi="Times New Roman" w:eastAsia="仿宋_GB2312"/>
          <w:sz w:val="32"/>
          <w:szCs w:val="32"/>
        </w:rPr>
        <w:t>000万元，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而本年无，造成上年支出基数较大。</w:t>
      </w:r>
      <w:r>
        <w:rPr>
          <w:rFonts w:ascii="Times New Roman" w:hAnsi="Times New Roman" w:eastAsia="仿宋_GB2312"/>
          <w:sz w:val="32"/>
          <w:szCs w:val="32"/>
        </w:rPr>
        <w:t>二是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本年污染防治方面收到的上级补助资金较上年相比减少约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5,000万元，加之本级财力预算安排同比上年减少约5,000万元，导致支出规模进一步缩减。</w:t>
      </w:r>
    </w:p>
    <w:p>
      <w:pPr>
        <w:spacing w:line="56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（五）城乡社区支出比上年决算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数下降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25.41</w:t>
      </w:r>
      <w:r>
        <w:rPr>
          <w:rFonts w:hint="eastAsia" w:ascii="Times New Roman" w:hAnsi="Times New Roman" w:eastAsia="楷体"/>
          <w:sz w:val="32"/>
          <w:szCs w:val="32"/>
        </w:rPr>
        <w:t>%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主要原因</w:t>
      </w:r>
      <w:r>
        <w:rPr>
          <w:rFonts w:ascii="Times New Roman" w:hAnsi="Times New Roman" w:eastAsia="仿宋_GB2312"/>
          <w:sz w:val="32"/>
          <w:szCs w:val="32"/>
        </w:rPr>
        <w:t>是：</w:t>
      </w:r>
      <w:r>
        <w:rPr>
          <w:rFonts w:hint="eastAsia" w:ascii="Times New Roman" w:hAnsi="Times New Roman" w:eastAsia="仿宋_GB2312"/>
          <w:sz w:val="32"/>
          <w:szCs w:val="32"/>
        </w:rPr>
        <w:t>一是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上年有大额</w:t>
      </w:r>
      <w:r>
        <w:rPr>
          <w:rFonts w:ascii="Times New Roman" w:hAnsi="Times New Roman" w:eastAsia="仿宋_GB2312"/>
          <w:sz w:val="32"/>
          <w:szCs w:val="32"/>
        </w:rPr>
        <w:t>上级补助收入，具体为</w:t>
      </w:r>
      <w:r>
        <w:rPr>
          <w:rFonts w:hint="eastAsia" w:ascii="Times New Roman" w:hAnsi="Times New Roman" w:eastAsia="仿宋_GB2312"/>
          <w:sz w:val="32"/>
          <w:szCs w:val="32"/>
        </w:rPr>
        <w:t>磨憨国际口岸城市建设综合财力补助资金4</w:t>
      </w:r>
      <w:r>
        <w:rPr>
          <w:rFonts w:ascii="Times New Roman" w:hAnsi="Times New Roman" w:eastAsia="仿宋_GB2312"/>
          <w:sz w:val="32"/>
          <w:szCs w:val="32"/>
        </w:rPr>
        <w:t>,</w:t>
      </w:r>
      <w:r>
        <w:rPr>
          <w:rFonts w:hint="eastAsia" w:ascii="Times New Roman" w:hAnsi="Times New Roman" w:eastAsia="仿宋_GB2312"/>
          <w:sz w:val="32"/>
          <w:szCs w:val="32"/>
        </w:rPr>
        <w:t>900万元，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造成上年支出基数过大。</w:t>
      </w:r>
      <w:r>
        <w:rPr>
          <w:rFonts w:ascii="Times New Roman" w:hAnsi="Times New Roman" w:eastAsia="仿宋_GB2312"/>
          <w:sz w:val="32"/>
          <w:szCs w:val="32"/>
        </w:rPr>
        <w:t>二是</w:t>
      </w:r>
      <w:r>
        <w:rPr>
          <w:rFonts w:hint="eastAsia" w:ascii="Times New Roman" w:hAnsi="Times New Roman" w:eastAsia="仿宋_GB2312"/>
          <w:sz w:val="32"/>
          <w:szCs w:val="32"/>
        </w:rPr>
        <w:t>受房地产行业政策调控影响，土地挂牌交易情况较上年持续下降</w:t>
      </w:r>
      <w:r>
        <w:rPr>
          <w:rFonts w:ascii="Times New Roman" w:hAnsi="Times New Roman" w:eastAsia="仿宋_GB2312"/>
          <w:sz w:val="32"/>
          <w:szCs w:val="32"/>
        </w:rPr>
        <w:t>，基础设施建设项目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开工数量同比下降较多，本级财力安排的基础设施建设预算资金同比缩减较大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（六）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农林水</w:t>
      </w:r>
      <w:r>
        <w:rPr>
          <w:rFonts w:hint="eastAsia" w:ascii="Times New Roman" w:hAnsi="Times New Roman" w:eastAsia="楷体"/>
          <w:sz w:val="32"/>
          <w:szCs w:val="32"/>
        </w:rPr>
        <w:t>支出比上年决算数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57.77</w:t>
      </w:r>
      <w:r>
        <w:rPr>
          <w:rFonts w:hint="eastAsia" w:ascii="Times New Roman" w:hAnsi="Times New Roman" w:eastAsia="楷体"/>
          <w:sz w:val="32"/>
          <w:szCs w:val="32"/>
        </w:rPr>
        <w:t>%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主要原因是上年度本级财力安排水资源管理管理经费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5,006万元，造成支出基数较大，而本年因可用财力紧张，在该项目上仅安排财政预算50万元，预算缩减幅度较大造成决算数同比下降较大。</w:t>
      </w:r>
    </w:p>
    <w:p>
      <w:pPr>
        <w:spacing w:line="56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楷体"/>
          <w:sz w:val="32"/>
          <w:szCs w:val="32"/>
        </w:rPr>
        <w:t>）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资源勘探信息的等</w:t>
      </w:r>
      <w:r>
        <w:rPr>
          <w:rFonts w:hint="eastAsia" w:ascii="Times New Roman" w:hAnsi="Times New Roman" w:eastAsia="楷体"/>
          <w:sz w:val="32"/>
          <w:szCs w:val="32"/>
        </w:rPr>
        <w:t>支出比上年决算数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55.03</w:t>
      </w:r>
      <w:r>
        <w:rPr>
          <w:rFonts w:hint="eastAsia" w:ascii="Times New Roman" w:hAnsi="Times New Roman" w:eastAsia="楷体"/>
          <w:sz w:val="32"/>
          <w:szCs w:val="32"/>
        </w:rPr>
        <w:t>%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主要原因是本年上级补助收入同比大幅增长，具体为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2023年第三批省预算内基本建设投资计划资金（临港科技城）7500万元，造成决算数同比增长较大。</w:t>
      </w:r>
    </w:p>
    <w:p>
      <w:pPr>
        <w:spacing w:line="56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楷体"/>
          <w:sz w:val="32"/>
          <w:szCs w:val="32"/>
        </w:rPr>
        <w:t>）商业服务业支出比上年决算数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76.67</w:t>
      </w:r>
      <w:r>
        <w:rPr>
          <w:rFonts w:hint="eastAsia" w:ascii="Times New Roman" w:hAnsi="Times New Roman" w:eastAsia="楷体"/>
          <w:sz w:val="32"/>
          <w:szCs w:val="32"/>
        </w:rPr>
        <w:t>%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主要原因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是</w:t>
      </w:r>
      <w:r>
        <w:rPr>
          <w:rFonts w:hint="eastAsia" w:ascii="Times New Roman" w:hAnsi="Times New Roman" w:eastAsia="仿宋_GB2312"/>
          <w:sz w:val="32"/>
          <w:szCs w:val="32"/>
        </w:rPr>
        <w:t>上级补助收入减少所致，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具体为：</w:t>
      </w:r>
      <w:r>
        <w:rPr>
          <w:rFonts w:hint="eastAsia" w:ascii="Times New Roman" w:hAnsi="Times New Roman" w:eastAsia="仿宋_GB2312"/>
          <w:sz w:val="32"/>
          <w:szCs w:val="32"/>
        </w:rPr>
        <w:t>上年有2022年第一批商贸进出口专项经费支持外贸稳增长项目经费7894万元，2022年中央外经贸专项资金支持对外投资项目经费2363万元，云南省2022年4至6月推动外贸保稳提质支持重点企业经费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13,000万</w:t>
      </w:r>
      <w:r>
        <w:rPr>
          <w:rFonts w:hint="eastAsia" w:ascii="Times New Roman" w:hAnsi="Times New Roman" w:eastAsia="仿宋_GB2312"/>
          <w:sz w:val="32"/>
          <w:szCs w:val="32"/>
        </w:rPr>
        <w:t>元实现支出，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造成上年基数过大，本年下降较为明显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九</w:t>
      </w:r>
      <w:r>
        <w:rPr>
          <w:rFonts w:hint="eastAsia" w:ascii="Times New Roman" w:hAnsi="Times New Roman" w:eastAsia="楷体"/>
          <w:sz w:val="32"/>
          <w:szCs w:val="32"/>
        </w:rPr>
        <w:t>）金融支出比上年决算数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326.47</w:t>
      </w:r>
      <w:r>
        <w:rPr>
          <w:rFonts w:hint="eastAsia" w:ascii="Times New Roman" w:hAnsi="Times New Roman" w:eastAsia="楷体"/>
          <w:sz w:val="32"/>
          <w:szCs w:val="32"/>
        </w:rPr>
        <w:t>%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主要原因是金融机构扶持政策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有关项目推进顺利，</w:t>
      </w:r>
      <w:r>
        <w:rPr>
          <w:rFonts w:hint="eastAsia" w:ascii="Times New Roman" w:hAnsi="Times New Roman" w:eastAsia="仿宋_GB2312"/>
          <w:sz w:val="32"/>
          <w:szCs w:val="32"/>
        </w:rPr>
        <w:t>兑现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奖补</w:t>
      </w:r>
      <w:r>
        <w:rPr>
          <w:rFonts w:hint="eastAsia" w:ascii="Times New Roman" w:hAnsi="Times New Roman" w:eastAsia="仿宋_GB2312"/>
          <w:sz w:val="32"/>
          <w:szCs w:val="32"/>
        </w:rPr>
        <w:t>经费60万元，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兑现</w:t>
      </w:r>
      <w:r>
        <w:rPr>
          <w:rFonts w:hint="eastAsia" w:ascii="Times New Roman" w:hAnsi="Times New Roman" w:eastAsia="仿宋_GB2312"/>
          <w:sz w:val="32"/>
          <w:szCs w:val="32"/>
        </w:rPr>
        <w:t>建设专项经费69万元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，故同比增长较大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楷体"/>
          <w:sz w:val="32"/>
          <w:szCs w:val="32"/>
        </w:rPr>
        <w:t>）粮油物资储备支出比上年决算数下降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43.38</w:t>
      </w:r>
      <w:r>
        <w:rPr>
          <w:rFonts w:hint="eastAsia" w:ascii="Times New Roman" w:hAnsi="Times New Roman" w:eastAsia="楷体"/>
          <w:sz w:val="32"/>
          <w:szCs w:val="32"/>
        </w:rPr>
        <w:t>%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主要原因是根据</w:t>
      </w:r>
      <w:r>
        <w:rPr>
          <w:rFonts w:ascii="Times New Roman" w:hAnsi="Times New Roman" w:eastAsia="仿宋_GB2312"/>
          <w:sz w:val="32"/>
          <w:szCs w:val="32"/>
        </w:rPr>
        <w:t>项目实际开展情况，</w:t>
      </w:r>
      <w:r>
        <w:rPr>
          <w:rFonts w:hint="eastAsia" w:ascii="Times New Roman" w:hAnsi="Times New Roman" w:eastAsia="仿宋_GB2312"/>
          <w:sz w:val="32"/>
          <w:szCs w:val="32"/>
        </w:rPr>
        <w:t>本年预算</w:t>
      </w:r>
      <w:r>
        <w:rPr>
          <w:rFonts w:ascii="Times New Roman" w:hAnsi="Times New Roman" w:eastAsia="仿宋_GB2312"/>
          <w:sz w:val="32"/>
          <w:szCs w:val="32"/>
        </w:rPr>
        <w:t>安排同比减少</w:t>
      </w:r>
      <w:r>
        <w:rPr>
          <w:rFonts w:hint="eastAsia" w:ascii="Times New Roman" w:hAnsi="Times New Roman" w:eastAsia="仿宋_GB2312"/>
          <w:sz w:val="32"/>
          <w:szCs w:val="32"/>
        </w:rPr>
        <w:t>，202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安排</w:t>
      </w:r>
      <w:r>
        <w:rPr>
          <w:rFonts w:hint="eastAsia" w:ascii="Times New Roman" w:hAnsi="Times New Roman" w:eastAsia="仿宋_GB2312"/>
          <w:sz w:val="32"/>
          <w:szCs w:val="32"/>
        </w:rPr>
        <w:t>粮油物资储备支出</w:t>
      </w:r>
      <w:r>
        <w:rPr>
          <w:rFonts w:ascii="Times New Roman" w:hAnsi="Times New Roman" w:eastAsia="仿宋_GB2312"/>
          <w:sz w:val="32"/>
          <w:szCs w:val="32"/>
        </w:rPr>
        <w:t>预算资金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231</w:t>
      </w:r>
      <w:r>
        <w:rPr>
          <w:rFonts w:hint="eastAsia" w:ascii="Times New Roman" w:hAnsi="Times New Roman" w:eastAsia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二、政府性基金预算支出执行变动情况</w:t>
      </w:r>
    </w:p>
    <w:p>
      <w:pPr>
        <w:spacing w:line="56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（一）城乡社区支出比上年决算数下降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72.98</w:t>
      </w:r>
      <w:r>
        <w:rPr>
          <w:rFonts w:hint="eastAsia" w:ascii="Times New Roman" w:hAnsi="Times New Roman" w:eastAsia="楷体"/>
          <w:sz w:val="32"/>
          <w:szCs w:val="32"/>
        </w:rPr>
        <w:t>%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主要原因是202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年，受房地产行业政策调控影响，土地挂牌交易情况较上年持续下降，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房地产市场供求关系的新形势，对土地出让收入的影响十分深切，地方土地出让收入普遍大幅度下滑，</w:t>
      </w:r>
      <w:r>
        <w:rPr>
          <w:rFonts w:hint="eastAsia" w:ascii="Times New Roman" w:hAnsi="Times New Roman" w:eastAsia="仿宋_GB2312"/>
          <w:sz w:val="32"/>
          <w:szCs w:val="32"/>
        </w:rPr>
        <w:t>根据</w:t>
      </w:r>
      <w:r>
        <w:rPr>
          <w:rFonts w:ascii="Times New Roman" w:hAnsi="Times New Roman" w:eastAsia="仿宋_GB2312"/>
          <w:sz w:val="32"/>
          <w:szCs w:val="32"/>
        </w:rPr>
        <w:t>政府性基金</w:t>
      </w:r>
      <w:r>
        <w:rPr>
          <w:rFonts w:hint="eastAsia" w:ascii="Times New Roman" w:hAnsi="Times New Roman" w:eastAsia="仿宋_GB2312"/>
          <w:sz w:val="32"/>
          <w:szCs w:val="32"/>
        </w:rPr>
        <w:t>“以收定支”原则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度安排的</w:t>
      </w:r>
      <w:r>
        <w:rPr>
          <w:rFonts w:hint="eastAsia" w:ascii="Times New Roman" w:hAnsi="Times New Roman" w:eastAsia="仿宋_GB2312"/>
          <w:sz w:val="32"/>
          <w:szCs w:val="32"/>
        </w:rPr>
        <w:t>城乡</w:t>
      </w:r>
      <w:r>
        <w:rPr>
          <w:rFonts w:ascii="Times New Roman" w:hAnsi="Times New Roman" w:eastAsia="仿宋_GB2312"/>
          <w:sz w:val="32"/>
          <w:szCs w:val="32"/>
        </w:rPr>
        <w:t>社区支出政府性基金预算</w:t>
      </w:r>
      <w:r>
        <w:rPr>
          <w:rFonts w:hint="eastAsia" w:ascii="Times New Roman" w:hAnsi="Times New Roman" w:eastAsia="仿宋_GB2312"/>
          <w:sz w:val="32"/>
          <w:szCs w:val="32"/>
        </w:rPr>
        <w:t>同比</w:t>
      </w:r>
      <w:r>
        <w:rPr>
          <w:rFonts w:ascii="Times New Roman" w:hAnsi="Times New Roman" w:eastAsia="仿宋_GB2312"/>
          <w:sz w:val="32"/>
          <w:szCs w:val="32"/>
        </w:rPr>
        <w:t>下降较大。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（二）其他支出比上年决算数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99.96</w:t>
      </w:r>
      <w:r>
        <w:rPr>
          <w:rFonts w:hint="eastAsia" w:ascii="Times New Roman" w:hAnsi="Times New Roman" w:eastAsia="楷体"/>
          <w:sz w:val="32"/>
          <w:szCs w:val="32"/>
        </w:rPr>
        <w:t>%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主要原因是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上年</w:t>
      </w:r>
      <w:r>
        <w:rPr>
          <w:rFonts w:ascii="Times New Roman" w:hAnsi="Times New Roman" w:eastAsia="仿宋_GB2312"/>
          <w:sz w:val="32"/>
          <w:szCs w:val="32"/>
        </w:rPr>
        <w:t>有新增专项债券</w:t>
      </w:r>
      <w:r>
        <w:rPr>
          <w:rFonts w:hint="eastAsia" w:ascii="Times New Roman" w:hAnsi="Times New Roman" w:eastAsia="仿宋_GB2312"/>
          <w:sz w:val="32"/>
          <w:szCs w:val="32"/>
        </w:rPr>
        <w:t>36</w:t>
      </w:r>
      <w:r>
        <w:rPr>
          <w:rFonts w:ascii="Times New Roman" w:hAnsi="Times New Roman" w:eastAsia="仿宋_GB2312"/>
          <w:sz w:val="32"/>
          <w:szCs w:val="32"/>
        </w:rPr>
        <w:t>,</w:t>
      </w:r>
      <w:r>
        <w:rPr>
          <w:rFonts w:hint="eastAsia" w:ascii="Times New Roman" w:hAnsi="Times New Roman" w:eastAsia="仿宋_GB2312"/>
          <w:sz w:val="32"/>
          <w:szCs w:val="32"/>
        </w:rPr>
        <w:t>000万元</w:t>
      </w:r>
      <w:r>
        <w:rPr>
          <w:rFonts w:ascii="Times New Roman" w:hAnsi="Times New Roman" w:eastAsia="仿宋_GB2312"/>
          <w:sz w:val="32"/>
          <w:szCs w:val="32"/>
        </w:rPr>
        <w:t>于当年形成支出，用于</w:t>
      </w:r>
      <w:r>
        <w:rPr>
          <w:rFonts w:hint="eastAsia" w:ascii="Times New Roman" w:hAnsi="Times New Roman" w:eastAsia="仿宋_GB2312"/>
          <w:sz w:val="32"/>
          <w:szCs w:val="32"/>
        </w:rPr>
        <w:t>沪滇临港昆明科技园项目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，而本年无，造成其他支出上年基数过大，故同比下降较为明显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三、国有资本经营预算支出执行变动情况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国有资本经营预算支出比上年决算数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64.21</w:t>
      </w:r>
      <w:r>
        <w:rPr>
          <w:rFonts w:hint="eastAsia" w:ascii="Times New Roman" w:hAnsi="Times New Roman" w:eastAsia="仿宋_GB2312"/>
          <w:sz w:val="32"/>
          <w:szCs w:val="32"/>
        </w:rPr>
        <w:t>%，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主要原因有二，一是国有企业退休人员社会化管理补助支出项目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2023年度累计支出229万元，同比上年减支292万元，减少的主要原因是2023年同比收到的上级补助减少292万元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2022年度存在国资管理部门向国有企业注入资本金391万元，而2023年度无。综上所述，故国有资本经营预算支出下降较大。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89473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ZTgwOWE3NzhjMzFlMjU2NTBjNGFkZTQzMzhmMjUifQ=="/>
  </w:docVars>
  <w:rsids>
    <w:rsidRoot w:val="00AA0957"/>
    <w:rsid w:val="00000134"/>
    <w:rsid w:val="00020B2D"/>
    <w:rsid w:val="0002434D"/>
    <w:rsid w:val="00033B90"/>
    <w:rsid w:val="00051102"/>
    <w:rsid w:val="000517F1"/>
    <w:rsid w:val="00092FD7"/>
    <w:rsid w:val="0009432A"/>
    <w:rsid w:val="000A0759"/>
    <w:rsid w:val="000B679D"/>
    <w:rsid w:val="000E5940"/>
    <w:rsid w:val="000F12C7"/>
    <w:rsid w:val="00102C40"/>
    <w:rsid w:val="001168D5"/>
    <w:rsid w:val="001172D4"/>
    <w:rsid w:val="00120646"/>
    <w:rsid w:val="00146BEA"/>
    <w:rsid w:val="00150E67"/>
    <w:rsid w:val="001600B7"/>
    <w:rsid w:val="00162180"/>
    <w:rsid w:val="001738C3"/>
    <w:rsid w:val="00175F08"/>
    <w:rsid w:val="00181691"/>
    <w:rsid w:val="001858DC"/>
    <w:rsid w:val="001B048A"/>
    <w:rsid w:val="001C0503"/>
    <w:rsid w:val="001C21CD"/>
    <w:rsid w:val="001D4155"/>
    <w:rsid w:val="001E0D35"/>
    <w:rsid w:val="001F555D"/>
    <w:rsid w:val="002221BE"/>
    <w:rsid w:val="00223B1A"/>
    <w:rsid w:val="00227CC1"/>
    <w:rsid w:val="002367BC"/>
    <w:rsid w:val="00252449"/>
    <w:rsid w:val="00271CEB"/>
    <w:rsid w:val="00273572"/>
    <w:rsid w:val="002A10F8"/>
    <w:rsid w:val="002F7565"/>
    <w:rsid w:val="003140BE"/>
    <w:rsid w:val="00326C13"/>
    <w:rsid w:val="00332925"/>
    <w:rsid w:val="0033301E"/>
    <w:rsid w:val="003706AF"/>
    <w:rsid w:val="003A55F1"/>
    <w:rsid w:val="003B7A1E"/>
    <w:rsid w:val="003C7DAC"/>
    <w:rsid w:val="003D123C"/>
    <w:rsid w:val="004032BC"/>
    <w:rsid w:val="00434B24"/>
    <w:rsid w:val="00437438"/>
    <w:rsid w:val="00443B45"/>
    <w:rsid w:val="00451745"/>
    <w:rsid w:val="00475158"/>
    <w:rsid w:val="0048493D"/>
    <w:rsid w:val="004A3EEC"/>
    <w:rsid w:val="004B70FF"/>
    <w:rsid w:val="004D35CE"/>
    <w:rsid w:val="004E6B3B"/>
    <w:rsid w:val="004F20F7"/>
    <w:rsid w:val="00525DDA"/>
    <w:rsid w:val="005304AC"/>
    <w:rsid w:val="00537843"/>
    <w:rsid w:val="00571B41"/>
    <w:rsid w:val="00582099"/>
    <w:rsid w:val="0058374E"/>
    <w:rsid w:val="00583DF8"/>
    <w:rsid w:val="005B297E"/>
    <w:rsid w:val="005C4061"/>
    <w:rsid w:val="005E4151"/>
    <w:rsid w:val="005F3636"/>
    <w:rsid w:val="00620C3B"/>
    <w:rsid w:val="00647D81"/>
    <w:rsid w:val="006A0FF8"/>
    <w:rsid w:val="006D0A16"/>
    <w:rsid w:val="006D66DB"/>
    <w:rsid w:val="006E0580"/>
    <w:rsid w:val="006E144B"/>
    <w:rsid w:val="006E2DF2"/>
    <w:rsid w:val="00702588"/>
    <w:rsid w:val="00714B65"/>
    <w:rsid w:val="007204B2"/>
    <w:rsid w:val="00725325"/>
    <w:rsid w:val="00733EB7"/>
    <w:rsid w:val="00796124"/>
    <w:rsid w:val="007B3C28"/>
    <w:rsid w:val="007B41D8"/>
    <w:rsid w:val="007D1FEE"/>
    <w:rsid w:val="007E0B49"/>
    <w:rsid w:val="007F3E11"/>
    <w:rsid w:val="00801ACC"/>
    <w:rsid w:val="00803079"/>
    <w:rsid w:val="00806935"/>
    <w:rsid w:val="008236F3"/>
    <w:rsid w:val="00831186"/>
    <w:rsid w:val="00833869"/>
    <w:rsid w:val="00844AED"/>
    <w:rsid w:val="00850536"/>
    <w:rsid w:val="00854A6B"/>
    <w:rsid w:val="00857C6E"/>
    <w:rsid w:val="00857F0F"/>
    <w:rsid w:val="008632DE"/>
    <w:rsid w:val="00870C89"/>
    <w:rsid w:val="008862AF"/>
    <w:rsid w:val="00887870"/>
    <w:rsid w:val="00890D5A"/>
    <w:rsid w:val="00892EB8"/>
    <w:rsid w:val="00894B97"/>
    <w:rsid w:val="008A5EF6"/>
    <w:rsid w:val="008A6A6C"/>
    <w:rsid w:val="008B6653"/>
    <w:rsid w:val="008E531F"/>
    <w:rsid w:val="008F3AAD"/>
    <w:rsid w:val="00901DDA"/>
    <w:rsid w:val="009103D7"/>
    <w:rsid w:val="00944407"/>
    <w:rsid w:val="00956BA8"/>
    <w:rsid w:val="009672D9"/>
    <w:rsid w:val="009861A3"/>
    <w:rsid w:val="009955A7"/>
    <w:rsid w:val="009D4483"/>
    <w:rsid w:val="009E2401"/>
    <w:rsid w:val="009E2F7A"/>
    <w:rsid w:val="009E47D2"/>
    <w:rsid w:val="009F766B"/>
    <w:rsid w:val="00A033F6"/>
    <w:rsid w:val="00A221BC"/>
    <w:rsid w:val="00A42E06"/>
    <w:rsid w:val="00A6091C"/>
    <w:rsid w:val="00A64A1A"/>
    <w:rsid w:val="00A64D98"/>
    <w:rsid w:val="00A95C3F"/>
    <w:rsid w:val="00AA0957"/>
    <w:rsid w:val="00AC25B9"/>
    <w:rsid w:val="00AC4EF0"/>
    <w:rsid w:val="00AC68FE"/>
    <w:rsid w:val="00AE2FD3"/>
    <w:rsid w:val="00AF1BBB"/>
    <w:rsid w:val="00B02F41"/>
    <w:rsid w:val="00B05B59"/>
    <w:rsid w:val="00B06442"/>
    <w:rsid w:val="00B071FB"/>
    <w:rsid w:val="00B23D26"/>
    <w:rsid w:val="00B46BE9"/>
    <w:rsid w:val="00BA4C3B"/>
    <w:rsid w:val="00BB1099"/>
    <w:rsid w:val="00BB7D23"/>
    <w:rsid w:val="00BD0A1A"/>
    <w:rsid w:val="00BE3889"/>
    <w:rsid w:val="00C020D0"/>
    <w:rsid w:val="00C058AA"/>
    <w:rsid w:val="00C152D7"/>
    <w:rsid w:val="00C16891"/>
    <w:rsid w:val="00C25E43"/>
    <w:rsid w:val="00C32147"/>
    <w:rsid w:val="00C3451D"/>
    <w:rsid w:val="00C64F14"/>
    <w:rsid w:val="00C65D58"/>
    <w:rsid w:val="00C66BFE"/>
    <w:rsid w:val="00C76731"/>
    <w:rsid w:val="00C76CB6"/>
    <w:rsid w:val="00C86734"/>
    <w:rsid w:val="00C86E06"/>
    <w:rsid w:val="00C90E39"/>
    <w:rsid w:val="00C9569C"/>
    <w:rsid w:val="00CB22F7"/>
    <w:rsid w:val="00CB6E67"/>
    <w:rsid w:val="00CD7F2E"/>
    <w:rsid w:val="00CE5005"/>
    <w:rsid w:val="00CF08CA"/>
    <w:rsid w:val="00CF3C12"/>
    <w:rsid w:val="00CF79D0"/>
    <w:rsid w:val="00D03AF5"/>
    <w:rsid w:val="00D17D0D"/>
    <w:rsid w:val="00D24D5F"/>
    <w:rsid w:val="00D770EA"/>
    <w:rsid w:val="00D933B6"/>
    <w:rsid w:val="00DA49FA"/>
    <w:rsid w:val="00DB1FDC"/>
    <w:rsid w:val="00DC6463"/>
    <w:rsid w:val="00DD01A9"/>
    <w:rsid w:val="00DF0A6F"/>
    <w:rsid w:val="00E11655"/>
    <w:rsid w:val="00E12EF9"/>
    <w:rsid w:val="00E36F1A"/>
    <w:rsid w:val="00E44071"/>
    <w:rsid w:val="00E70F9E"/>
    <w:rsid w:val="00E748EF"/>
    <w:rsid w:val="00E809B2"/>
    <w:rsid w:val="00E96780"/>
    <w:rsid w:val="00EA2090"/>
    <w:rsid w:val="00EA538C"/>
    <w:rsid w:val="00EB015D"/>
    <w:rsid w:val="00ED1891"/>
    <w:rsid w:val="00F03C6C"/>
    <w:rsid w:val="00F0417A"/>
    <w:rsid w:val="00F07D1C"/>
    <w:rsid w:val="00F10904"/>
    <w:rsid w:val="00F159F3"/>
    <w:rsid w:val="00F23F2C"/>
    <w:rsid w:val="00F37E30"/>
    <w:rsid w:val="00F65AC5"/>
    <w:rsid w:val="00F710A1"/>
    <w:rsid w:val="00F73CCF"/>
    <w:rsid w:val="00F7452F"/>
    <w:rsid w:val="00FB1E5C"/>
    <w:rsid w:val="00FB7420"/>
    <w:rsid w:val="00FC3673"/>
    <w:rsid w:val="00FC718C"/>
    <w:rsid w:val="00FD46D9"/>
    <w:rsid w:val="00FE4B98"/>
    <w:rsid w:val="00FF70B1"/>
    <w:rsid w:val="09D52A80"/>
    <w:rsid w:val="0A947037"/>
    <w:rsid w:val="0EE01851"/>
    <w:rsid w:val="12662B65"/>
    <w:rsid w:val="1E0C72DD"/>
    <w:rsid w:val="219723C9"/>
    <w:rsid w:val="21D9366D"/>
    <w:rsid w:val="24F83AD3"/>
    <w:rsid w:val="26B96AF1"/>
    <w:rsid w:val="2AEB4CB3"/>
    <w:rsid w:val="2BF506EA"/>
    <w:rsid w:val="2DB4536F"/>
    <w:rsid w:val="319C5F3C"/>
    <w:rsid w:val="36BD3B1D"/>
    <w:rsid w:val="38363B90"/>
    <w:rsid w:val="3A29762E"/>
    <w:rsid w:val="3B6F2E52"/>
    <w:rsid w:val="3E843743"/>
    <w:rsid w:val="3F7B3BBF"/>
    <w:rsid w:val="465A34EE"/>
    <w:rsid w:val="4B6B0077"/>
    <w:rsid w:val="4E362315"/>
    <w:rsid w:val="4F7257A3"/>
    <w:rsid w:val="51C559E0"/>
    <w:rsid w:val="58B24E3E"/>
    <w:rsid w:val="5ADD30E3"/>
    <w:rsid w:val="5ADE789D"/>
    <w:rsid w:val="5ED07A6F"/>
    <w:rsid w:val="610338C8"/>
    <w:rsid w:val="64AC5354"/>
    <w:rsid w:val="64AF46D3"/>
    <w:rsid w:val="660A3F5C"/>
    <w:rsid w:val="68CC29D3"/>
    <w:rsid w:val="6E1554D2"/>
    <w:rsid w:val="776E4B73"/>
    <w:rsid w:val="78ED52EE"/>
    <w:rsid w:val="7ACA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1629</Words>
  <Characters>1816</Characters>
  <Lines>12</Lines>
  <Paragraphs>3</Paragraphs>
  <TotalTime>0</TotalTime>
  <ScaleCrop>false</ScaleCrop>
  <LinksUpToDate>false</LinksUpToDate>
  <CharactersWithSpaces>1876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2021-07-26T06:50:00Z</dcterms:created>
  <dc:creator>伏佳</dc:creator>
  <cp:lastModifiedBy>伏佳</cp:lastModifiedBy>
  <dcterms:modified xsi:type="dcterms:W3CDTF">2024-09-06T02:43:39Z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B258F3B0F6B648CEA88557BC91DAAD4C</vt:lpwstr>
  </property>
</Properties>
</file>