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topLinePunct w:val="0"/>
        <w:bidi w:val="0"/>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2023年昆明经济技术开发区</w:t>
      </w:r>
      <w:r>
        <w:rPr>
          <w:rFonts w:hint="eastAsia" w:ascii="方正小标宋_GBK" w:hAnsi="方正小标宋_GBK" w:eastAsia="方正小标宋_GBK" w:cs="方正小标宋_GBK"/>
          <w:sz w:val="44"/>
          <w:szCs w:val="44"/>
        </w:rPr>
        <w:t>预算绩效管理工作开展情况</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说明</w:t>
      </w:r>
    </w:p>
    <w:p>
      <w:pPr>
        <w:pageBreakBefore w:val="0"/>
        <w:kinsoku/>
        <w:wordWrap/>
        <w:topLinePunct w:val="0"/>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根据《预算</w:t>
      </w:r>
      <w:r>
        <w:rPr>
          <w:rFonts w:hint="eastAsia" w:ascii="仿宋_GB2312" w:hAnsi="仿宋_GB2312" w:eastAsia="仿宋_GB2312" w:cs="仿宋_GB2312"/>
          <w:sz w:val="32"/>
          <w:szCs w:val="32"/>
          <w:lang w:eastAsia="zh-CN"/>
        </w:rPr>
        <w:t>法</w:t>
      </w:r>
      <w:r>
        <w:rPr>
          <w:rFonts w:hint="eastAsia" w:ascii="仿宋_GB2312" w:hAnsi="仿宋_GB2312" w:eastAsia="仿宋_GB2312" w:cs="仿宋_GB2312"/>
          <w:sz w:val="32"/>
          <w:szCs w:val="32"/>
        </w:rPr>
        <w:t>》、《预算法实施条例》等相关规定，现将经开区</w:t>
      </w:r>
      <w:r>
        <w:rPr>
          <w:rFonts w:hint="eastAsia" w:ascii="Times New Roman" w:hAnsi="Times New Roman" w:eastAsia="仿宋_GB2312" w:cs="Times New Roman"/>
          <w:kern w:val="2"/>
          <w:sz w:val="32"/>
          <w:szCs w:val="32"/>
          <w:lang w:val="en-US" w:eastAsia="zh-CN" w:bidi="ar-SA"/>
        </w:rPr>
        <w:t xml:space="preserve"> 202</w:t>
      </w:r>
      <w:r>
        <w:rPr>
          <w:rFonts w:hint="eastAsia" w:eastAsia="仿宋_GB2312" w:cs="Times New Roman"/>
          <w:kern w:val="2"/>
          <w:sz w:val="32"/>
          <w:szCs w:val="32"/>
          <w:lang w:val="en-US" w:eastAsia="zh-CN" w:bidi="ar-SA"/>
        </w:rPr>
        <w:t>3</w:t>
      </w:r>
      <w:r>
        <w:rPr>
          <w:rFonts w:hint="eastAsia" w:ascii="仿宋_GB2312" w:hAnsi="仿宋_GB2312" w:eastAsia="仿宋_GB2312" w:cs="仿宋_GB2312"/>
          <w:sz w:val="32"/>
          <w:szCs w:val="32"/>
        </w:rPr>
        <w:t>年预算绩效管理工作开展情况说明如下：</w:t>
      </w:r>
    </w:p>
    <w:p>
      <w:pPr>
        <w:pageBreakBefore w:val="0"/>
        <w:numPr>
          <w:ilvl w:val="0"/>
          <w:numId w:val="1"/>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基础工作</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楷体_GB2312" w:cs="Times New Roman"/>
          <w:sz w:val="32"/>
          <w:szCs w:val="32"/>
          <w:lang w:val="en-US" w:eastAsia="zh-CN"/>
        </w:rPr>
        <w:t>（一）制度建设</w:t>
      </w:r>
    </w:p>
    <w:p>
      <w:pPr>
        <w:pStyle w:val="2"/>
        <w:pageBreakBefore w:val="0"/>
        <w:kinsoku/>
        <w:wordWrap/>
        <w:topLinePunct w:val="0"/>
        <w:bidi w:val="0"/>
        <w:spacing w:line="560" w:lineRule="exact"/>
        <w:ind w:firstLine="640" w:firstLineChars="200"/>
        <w:textAlignment w:val="auto"/>
        <w:rPr>
          <w:rFonts w:hint="default"/>
          <w:lang w:eastAsia="zh-CN"/>
        </w:rPr>
      </w:pPr>
      <w:r>
        <w:rPr>
          <w:rFonts w:hint="default" w:ascii="Times New Roman" w:hAnsi="Times New Roman" w:eastAsia="仿宋_GB2312" w:cs="Times New Roman"/>
          <w:sz w:val="32"/>
          <w:szCs w:val="32"/>
          <w:lang w:eastAsia="zh-CN"/>
        </w:rPr>
        <w:t>根据《中华人民共和国预算法》、《中华人民共和国预算法实施条例》的相关规定，经开区高度重视预算绩效管理工作，印发</w:t>
      </w:r>
      <w:r>
        <w:rPr>
          <w:rFonts w:hint="default" w:ascii="Times New Roman" w:hAnsi="Times New Roman" w:eastAsia="仿宋_GB2312" w:cs="Times New Roman"/>
          <w:sz w:val="32"/>
          <w:szCs w:val="32"/>
        </w:rPr>
        <w:t>《中共中国（云南）自由贸易试验区昆明片区工作委员会中共昆明经济技术开发区工作委员会关于全面实施预算绩效管理的实施意见》（昆自贸党笺〔2021〕8号）</w:t>
      </w:r>
      <w:r>
        <w:rPr>
          <w:rFonts w:hint="default" w:ascii="Times New Roman" w:hAnsi="Times New Roman" w:eastAsia="仿宋_GB2312" w:cs="Times New Roman"/>
          <w:sz w:val="32"/>
          <w:szCs w:val="32"/>
          <w:lang w:eastAsia="zh-CN"/>
        </w:rPr>
        <w:t>，并制定了</w:t>
      </w:r>
      <w:r>
        <w:rPr>
          <w:rFonts w:hint="default" w:ascii="Times New Roman" w:hAnsi="Times New Roman" w:eastAsia="仿宋_GB2312" w:cs="Times New Roman"/>
          <w:sz w:val="32"/>
          <w:szCs w:val="32"/>
        </w:rPr>
        <w:t>《昆明经济技术开发区财政预算绩效管理暂行办法》（昆经开办〔2016〕47号 ）、《经开区区本级项目支出事前绩效评估管理暂行办法》（昆经开财〔2018〕86号）、《经开区区本级预算绩效跟踪管理暂行办法》（昆经开财〔2019〕51号）、《关于贯彻落实&lt;云南省项目支出绩效评价管理办法&gt;的实施意见》（昆经开财〔2020〕53号）</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val="0"/>
          <w:bCs w:val="0"/>
          <w:iCs w:val="0"/>
          <w:color w:val="auto"/>
          <w:kern w:val="2"/>
          <w:sz w:val="32"/>
          <w:szCs w:val="32"/>
          <w:highlight w:val="none"/>
          <w:lang w:val="en-US" w:eastAsia="zh-CN" w:bidi="ar-SA"/>
        </w:rPr>
        <w:t>《昆明市财政局昆明经济技术开发区财政分局关于规范第三方机构参与预算绩效管理的通知》</w:t>
      </w:r>
      <w:r>
        <w:rPr>
          <w:rFonts w:hint="default" w:ascii="Times New Roman" w:hAnsi="Times New Roman" w:eastAsia="仿宋_GB2312" w:cs="Times New Roman"/>
          <w:sz w:val="32"/>
          <w:szCs w:val="32"/>
          <w:highlight w:val="none"/>
        </w:rPr>
        <w:t>（昆经开财〔202</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昆明市财政局昆明经济技术开发区财政分局关于印发预算绩效管理参考指标体系的通知》（</w:t>
      </w:r>
      <w:r>
        <w:rPr>
          <w:rFonts w:hint="default" w:ascii="Times New Roman" w:hAnsi="Times New Roman" w:eastAsia="仿宋_GB2312" w:cs="Times New Roman"/>
          <w:b w:val="0"/>
          <w:bCs w:val="0"/>
          <w:iCs w:val="0"/>
          <w:color w:val="auto"/>
          <w:kern w:val="2"/>
          <w:sz w:val="32"/>
          <w:szCs w:val="32"/>
          <w:highlight w:val="none"/>
          <w:lang w:val="en-US" w:eastAsia="zh-CN" w:bidi="ar-SA"/>
        </w:rPr>
        <w:t>昆经开财〔202</w:t>
      </w:r>
      <w:r>
        <w:rPr>
          <w:rFonts w:hint="eastAsia" w:ascii="Times New Roman" w:hAnsi="Times New Roman" w:eastAsia="仿宋_GB2312" w:cs="Times New Roman"/>
          <w:b w:val="0"/>
          <w:bCs w:val="0"/>
          <w:iCs w:val="0"/>
          <w:color w:val="auto"/>
          <w:kern w:val="2"/>
          <w:sz w:val="32"/>
          <w:szCs w:val="32"/>
          <w:highlight w:val="none"/>
          <w:lang w:val="en-US" w:eastAsia="zh-CN" w:bidi="ar-SA"/>
        </w:rPr>
        <w:t>1</w:t>
      </w:r>
      <w:r>
        <w:rPr>
          <w:rFonts w:hint="default" w:ascii="Times New Roman" w:hAnsi="Times New Roman" w:eastAsia="仿宋_GB2312" w:cs="Times New Roman"/>
          <w:b w:val="0"/>
          <w:bCs w:val="0"/>
          <w:iCs w:val="0"/>
          <w:color w:val="auto"/>
          <w:kern w:val="2"/>
          <w:sz w:val="32"/>
          <w:szCs w:val="32"/>
          <w:highlight w:val="none"/>
          <w:lang w:val="en-US" w:eastAsia="zh-CN" w:bidi="ar-SA"/>
        </w:rPr>
        <w:t>〕</w:t>
      </w:r>
      <w:r>
        <w:rPr>
          <w:rFonts w:hint="eastAsia" w:ascii="Times New Roman" w:hAnsi="Times New Roman" w:eastAsia="仿宋_GB2312" w:cs="Times New Roman"/>
          <w:b w:val="0"/>
          <w:bCs w:val="0"/>
          <w:iCs w:val="0"/>
          <w:color w:val="auto"/>
          <w:kern w:val="2"/>
          <w:sz w:val="32"/>
          <w:szCs w:val="32"/>
          <w:highlight w:val="none"/>
          <w:lang w:val="en-US" w:eastAsia="zh-CN" w:bidi="ar-SA"/>
        </w:rPr>
        <w:t>41</w:t>
      </w:r>
      <w:r>
        <w:rPr>
          <w:rFonts w:hint="default" w:ascii="Times New Roman" w:hAnsi="Times New Roman" w:eastAsia="仿宋_GB2312" w:cs="Times New Roman"/>
          <w:b w:val="0"/>
          <w:bCs w:val="0"/>
          <w:iCs w:val="0"/>
          <w:color w:val="auto"/>
          <w:kern w:val="2"/>
          <w:sz w:val="32"/>
          <w:szCs w:val="32"/>
          <w:highlight w:val="none"/>
          <w:lang w:val="en-US" w:eastAsia="zh-CN" w:bidi="ar-SA"/>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《昆明经济技术开发区行政事业单位财政资金使用管理考核（</w:t>
      </w:r>
      <w:r>
        <w:rPr>
          <w:rFonts w:hint="default" w:ascii="Times New Roman" w:hAnsi="Times New Roman" w:eastAsia="仿宋_GB2312" w:cs="Times New Roman"/>
          <w:sz w:val="32"/>
          <w:szCs w:val="32"/>
        </w:rPr>
        <w:t>暂行）办法》</w:t>
      </w:r>
      <w:r>
        <w:rPr>
          <w:rFonts w:hint="eastAsia" w:ascii="Times New Roman" w:hAnsi="Times New Roman" w:eastAsia="仿宋_GB2312" w:cs="Times New Roman"/>
          <w:sz w:val="32"/>
          <w:szCs w:val="32"/>
          <w:lang w:eastAsia="zh-CN"/>
        </w:rPr>
        <w:t>、《昆明市财政局昆明经济技术开发区财政分局绩效评价质量控制机制（试行）》（</w:t>
      </w:r>
      <w:r>
        <w:rPr>
          <w:rFonts w:hint="default" w:ascii="Times New Roman" w:hAnsi="Times New Roman" w:eastAsia="仿宋_GB2312" w:cs="Times New Roman"/>
          <w:sz w:val="32"/>
          <w:szCs w:val="32"/>
          <w:highlight w:val="none"/>
        </w:rPr>
        <w:t>昆经开财〔202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40</w:t>
      </w:r>
      <w:r>
        <w:rPr>
          <w:rFonts w:hint="default" w:ascii="Times New Roman" w:hAnsi="Times New Roman" w:eastAsia="仿宋_GB2312" w:cs="Times New Roman"/>
          <w:sz w:val="32"/>
          <w:szCs w:val="32"/>
          <w:highlight w:val="none"/>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等配套制度办法。</w:t>
      </w:r>
    </w:p>
    <w:p>
      <w:pPr>
        <w:pageBreakBefore w:val="0"/>
        <w:numPr>
          <w:ilvl w:val="0"/>
          <w:numId w:val="2"/>
        </w:numPr>
        <w:kinsoku/>
        <w:wordWrap/>
        <w:topLinePunct w:val="0"/>
        <w:bidi w:val="0"/>
        <w:spacing w:line="56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指标体系建设</w:t>
      </w:r>
    </w:p>
    <w:p>
      <w:pPr>
        <w:pageBreakBefore w:val="0"/>
        <w:kinsoku/>
        <w:wordWrap/>
        <w:topLinePunct w:val="0"/>
        <w:bidi w:val="0"/>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在学习借鉴中央、省市相关文件的基础上，结合近年来预算绩效管理实践，我局已对相关指标体系进行了筛选和摘录，并印发</w:t>
      </w:r>
      <w:r>
        <w:rPr>
          <w:rFonts w:hint="default" w:ascii="Times New Roman" w:hAnsi="Times New Roman" w:eastAsia="仿宋_GB2312" w:cs="Times New Roman"/>
          <w:sz w:val="32"/>
          <w:szCs w:val="32"/>
          <w:highlight w:val="none"/>
          <w:lang w:val="en-US" w:eastAsia="zh-CN"/>
        </w:rPr>
        <w:t xml:space="preserve"> 《昆明市财政局昆明经济技术开发区财政分局  关于印发预算绩效管理参考指标体系的通知》（</w:t>
      </w:r>
      <w:r>
        <w:rPr>
          <w:rFonts w:hint="default" w:ascii="Times New Roman" w:hAnsi="Times New Roman" w:eastAsia="仿宋_GB2312" w:cs="Times New Roman"/>
          <w:b w:val="0"/>
          <w:bCs w:val="0"/>
          <w:iCs w:val="0"/>
          <w:color w:val="auto"/>
          <w:kern w:val="2"/>
          <w:sz w:val="32"/>
          <w:szCs w:val="32"/>
          <w:highlight w:val="none"/>
          <w:lang w:val="en-US" w:eastAsia="zh-CN" w:bidi="ar-SA"/>
        </w:rPr>
        <w:t>昆经开财〔202</w:t>
      </w:r>
      <w:r>
        <w:rPr>
          <w:rFonts w:hint="eastAsia" w:ascii="Times New Roman" w:hAnsi="Times New Roman" w:eastAsia="仿宋_GB2312" w:cs="Times New Roman"/>
          <w:b w:val="0"/>
          <w:bCs w:val="0"/>
          <w:iCs w:val="0"/>
          <w:color w:val="auto"/>
          <w:kern w:val="2"/>
          <w:sz w:val="32"/>
          <w:szCs w:val="32"/>
          <w:highlight w:val="none"/>
          <w:lang w:val="en-US" w:eastAsia="zh-CN" w:bidi="ar-SA"/>
        </w:rPr>
        <w:t>1</w:t>
      </w:r>
      <w:r>
        <w:rPr>
          <w:rFonts w:hint="default" w:ascii="Times New Roman" w:hAnsi="Times New Roman" w:eastAsia="仿宋_GB2312" w:cs="Times New Roman"/>
          <w:b w:val="0"/>
          <w:bCs w:val="0"/>
          <w:iCs w:val="0"/>
          <w:color w:val="auto"/>
          <w:kern w:val="2"/>
          <w:sz w:val="32"/>
          <w:szCs w:val="32"/>
          <w:highlight w:val="none"/>
          <w:lang w:val="en-US" w:eastAsia="zh-CN" w:bidi="ar-SA"/>
        </w:rPr>
        <w:t>〕</w:t>
      </w:r>
      <w:r>
        <w:rPr>
          <w:rFonts w:hint="eastAsia" w:ascii="Times New Roman" w:hAnsi="Times New Roman" w:eastAsia="仿宋_GB2312" w:cs="Times New Roman"/>
          <w:b w:val="0"/>
          <w:bCs w:val="0"/>
          <w:iCs w:val="0"/>
          <w:color w:val="auto"/>
          <w:kern w:val="2"/>
          <w:sz w:val="32"/>
          <w:szCs w:val="32"/>
          <w:highlight w:val="none"/>
          <w:lang w:val="en-US" w:eastAsia="zh-CN" w:bidi="ar-SA"/>
        </w:rPr>
        <w:t>41</w:t>
      </w:r>
      <w:r>
        <w:rPr>
          <w:rFonts w:hint="default" w:ascii="Times New Roman" w:hAnsi="Times New Roman" w:eastAsia="仿宋_GB2312" w:cs="Times New Roman"/>
          <w:b w:val="0"/>
          <w:bCs w:val="0"/>
          <w:iCs w:val="0"/>
          <w:color w:val="auto"/>
          <w:kern w:val="2"/>
          <w:sz w:val="32"/>
          <w:szCs w:val="32"/>
          <w:highlight w:val="none"/>
          <w:lang w:val="en-US" w:eastAsia="zh-CN" w:bidi="ar-SA"/>
        </w:rPr>
        <w:t>号</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lang w:eastAsia="zh-CN"/>
        </w:rPr>
        <w:t>供各预算部门（单位）在预算绩效管理工作中参考。在接下来的工作中，将继续会同预算部门（单位）结合工作推进情况，不断充实和完善预算绩效管理指标体系，实现动态调整、共建共享。</w:t>
      </w:r>
    </w:p>
    <w:p>
      <w:pPr>
        <w:pageBreakBefore w:val="0"/>
        <w:numPr>
          <w:ilvl w:val="0"/>
          <w:numId w:val="2"/>
        </w:numPr>
        <w:kinsoku/>
        <w:wordWrap/>
        <w:topLinePunct w:val="0"/>
        <w:bidi w:val="0"/>
        <w:spacing w:line="560" w:lineRule="exact"/>
        <w:ind w:left="0" w:leftChars="0"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业务培训</w:t>
      </w:r>
    </w:p>
    <w:p>
      <w:pPr>
        <w:pStyle w:val="2"/>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为进一步提高预算绩效管理水平，强化部门绩效管理主体责任意识，不断适应新形势下的预算管理要求</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我局</w:t>
      </w:r>
      <w:r>
        <w:rPr>
          <w:rFonts w:hint="eastAsia" w:ascii="Times New Roman" w:hAnsi="Times New Roman" w:eastAsia="仿宋_GB2312" w:cs="Times New Roman"/>
          <w:kern w:val="2"/>
          <w:sz w:val="32"/>
          <w:szCs w:val="32"/>
          <w:lang w:val="en-US" w:eastAsia="zh-CN" w:bidi="ar-SA"/>
        </w:rPr>
        <w:t>于2023年8月23日开展了</w:t>
      </w:r>
      <w:r>
        <w:rPr>
          <w:rFonts w:hint="default" w:ascii="Times New Roman" w:hAnsi="Times New Roman" w:eastAsia="仿宋_GB2312" w:cs="Times New Roman"/>
          <w:sz w:val="32"/>
          <w:szCs w:val="32"/>
          <w:lang w:val="en-US" w:eastAsia="zh-CN"/>
        </w:rPr>
        <w:t>预算绩效目标编制审核业务培训，培训邀请预算绩效管理专家从绩效目标编制审核的政策依据、重要性、实施方式和具体案例等方面进行了详细讲解，并对与会部门提出的问题进行了现场解答。全区各预算部门的财务负责人、绩效管理业务骨干、财政分局专管员等</w:t>
      </w:r>
      <w:r>
        <w:rPr>
          <w:rFonts w:hint="eastAsia" w:ascii="Times New Roman" w:hAnsi="Times New Roman" w:eastAsia="仿宋_GB2312" w:cs="Times New Roman"/>
          <w:sz w:val="32"/>
          <w:szCs w:val="32"/>
          <w:lang w:val="en-US" w:eastAsia="zh-CN"/>
        </w:rPr>
        <w:t>70余</w:t>
      </w:r>
      <w:r>
        <w:rPr>
          <w:rFonts w:hint="default" w:ascii="Times New Roman" w:hAnsi="Times New Roman" w:eastAsia="仿宋_GB2312" w:cs="Times New Roman"/>
          <w:sz w:val="32"/>
          <w:szCs w:val="32"/>
          <w:lang w:val="en-US" w:eastAsia="zh-CN"/>
        </w:rPr>
        <w:t>人参加了培训</w:t>
      </w:r>
      <w:r>
        <w:rPr>
          <w:rFonts w:hint="eastAsia" w:ascii="Times New Roman" w:hAnsi="Times New Roman" w:eastAsia="仿宋_GB2312" w:cs="Times New Roman"/>
          <w:kern w:val="2"/>
          <w:sz w:val="32"/>
          <w:szCs w:val="32"/>
          <w:lang w:val="en-US" w:eastAsia="zh-CN" w:bidi="ar-SA"/>
        </w:rPr>
        <w:t>。</w:t>
      </w:r>
    </w:p>
    <w:p>
      <w:pPr>
        <w:pageBreakBefore w:val="0"/>
        <w:numPr>
          <w:ilvl w:val="0"/>
          <w:numId w:val="1"/>
        </w:numPr>
        <w:kinsoku/>
        <w:wordWrap/>
        <w:topLinePunct w:val="0"/>
        <w:bidi w:val="0"/>
        <w:spacing w:line="560" w:lineRule="exact"/>
        <w:ind w:left="0" w:leftChars="0" w:firstLine="640" w:firstLineChars="200"/>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绩效评估管理</w:t>
      </w:r>
    </w:p>
    <w:p>
      <w:pPr>
        <w:pStyle w:val="2"/>
        <w:pageBreakBefore w:val="0"/>
        <w:numPr>
          <w:ilvl w:val="0"/>
          <w:numId w:val="0"/>
        </w:numPr>
        <w:kinsoku/>
        <w:wordWrap/>
        <w:topLinePunct w:val="0"/>
        <w:bidi w:val="0"/>
        <w:spacing w:line="560" w:lineRule="exact"/>
        <w:ind w:leftChars="200"/>
        <w:textAlignment w:val="auto"/>
        <w:rPr>
          <w:rFonts w:hint="default" w:ascii="Times New Roman" w:hAnsi="Times New Roman" w:eastAsia="楷体_GB2312" w:cs="Times New Roman"/>
          <w:sz w:val="32"/>
          <w:szCs w:val="32"/>
          <w:lang w:val="en-US" w:eastAsia="zh-CN"/>
        </w:rPr>
      </w:pPr>
      <w:r>
        <w:rPr>
          <w:rFonts w:hint="eastAsia"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val="en-US" w:eastAsia="zh-CN"/>
        </w:rPr>
        <w:t>管理范围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建立绩效评估机制，印发</w:t>
      </w:r>
      <w:r>
        <w:rPr>
          <w:rFonts w:ascii="Times New Roman" w:hAnsi="Times New Roman" w:eastAsia="仿宋_GB2312" w:cs="Times New Roman"/>
          <w:color w:val="000000"/>
          <w:kern w:val="30"/>
          <w:sz w:val="32"/>
          <w:szCs w:val="30"/>
        </w:rPr>
        <w:t>《经开区区本级项目支出事前绩效评估管理暂行办法的通知》（昆经开财〔2019〕86号）</w:t>
      </w:r>
      <w:r>
        <w:rPr>
          <w:rFonts w:hint="default" w:ascii="Times New Roman" w:hAnsi="Times New Roman" w:eastAsia="仿宋_GB2312" w:cs="Times New Roman"/>
          <w:kern w:val="2"/>
          <w:sz w:val="32"/>
          <w:szCs w:val="32"/>
          <w:highlight w:val="none"/>
          <w:lang w:val="en-US" w:eastAsia="zh-CN" w:bidi="ar"/>
        </w:rPr>
        <w:t>，要求各</w:t>
      </w:r>
      <w:r>
        <w:rPr>
          <w:rFonts w:hint="default" w:ascii="Times New Roman" w:hAnsi="Times New Roman" w:eastAsia="仿宋_GB2312" w:cs="Times New Roman"/>
          <w:kern w:val="2"/>
          <w:sz w:val="32"/>
          <w:szCs w:val="32"/>
          <w:lang w:val="en-US" w:eastAsia="zh-CN" w:bidi="ar"/>
        </w:rPr>
        <w:t>部门（单位）在新出台政策、启动项目时开展事前绩效评估，论证立项必要性、投入经济性、绩效目标合理性、实施方案可行性、筹资合规性等，评估结果作为申请预算的必备要件。</w:t>
      </w:r>
      <w:r>
        <w:rPr>
          <w:rFonts w:hint="default" w:ascii="Times New Roman" w:hAnsi="Times New Roman" w:eastAsia="仿宋_GB2312" w:cs="Times New Roman"/>
          <w:color w:val="000000"/>
          <w:kern w:val="30"/>
          <w:sz w:val="32"/>
          <w:szCs w:val="30"/>
          <w:lang w:val="en-US" w:eastAsia="zh-CN"/>
        </w:rPr>
        <w:t>编制202</w:t>
      </w:r>
      <w:r>
        <w:rPr>
          <w:rFonts w:hint="eastAsia" w:ascii="Times New Roman" w:hAnsi="Times New Roman" w:eastAsia="仿宋_GB2312" w:cs="Times New Roman"/>
          <w:color w:val="000000"/>
          <w:kern w:val="30"/>
          <w:sz w:val="32"/>
          <w:szCs w:val="30"/>
          <w:lang w:val="en-US" w:eastAsia="zh-CN"/>
        </w:rPr>
        <w:t>3</w:t>
      </w:r>
      <w:r>
        <w:rPr>
          <w:rFonts w:hint="default" w:ascii="Times New Roman" w:hAnsi="Times New Roman" w:eastAsia="仿宋_GB2312" w:cs="Times New Roman"/>
          <w:color w:val="000000"/>
          <w:kern w:val="30"/>
          <w:sz w:val="32"/>
          <w:szCs w:val="30"/>
          <w:lang w:val="en-US" w:eastAsia="zh-CN"/>
        </w:rPr>
        <w:t>年预算时，在预算绩效目标审核的基础上，</w:t>
      </w:r>
      <w:r>
        <w:rPr>
          <w:rFonts w:hint="default" w:ascii="Times New Roman" w:hAnsi="Times New Roman" w:eastAsia="仿宋_GB2312" w:cs="Times New Roman"/>
          <w:b w:val="0"/>
          <w:bCs w:val="0"/>
          <w:sz w:val="32"/>
          <w:szCs w:val="32"/>
          <w:lang w:val="en-US" w:eastAsia="zh-CN"/>
        </w:rPr>
        <w:t>选取5家单位的6个项目开展项目支出事前绩效重点评估，项目总投资36,055万元，预算申报金额5,291.39万元。经评估，项目平均得分87分，综合评价等级为“良”。评价等级为“优”的项目2个，评价等级为“良”的项目3个，评价等级为“中”的项目1个。</w:t>
      </w:r>
      <w:r>
        <w:rPr>
          <w:rFonts w:hint="eastAsia" w:ascii="Times New Roman" w:hAnsi="Times New Roman" w:eastAsia="仿宋_GB2312" w:cs="Times New Roman"/>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（二）结果应用</w:t>
      </w:r>
    </w:p>
    <w:p>
      <w:pPr>
        <w:pStyle w:val="3"/>
        <w:pageBreakBefore w:val="0"/>
        <w:kinsoku/>
        <w:wordWrap/>
        <w:overflowPunct w:val="0"/>
        <w:topLinePunct w:val="0"/>
        <w:autoSpaceDE w:val="0"/>
        <w:autoSpaceDN w:val="0"/>
        <w:bidi w:val="0"/>
        <w:adjustRightInd w:val="0"/>
        <w:snapToGrid w:val="0"/>
        <w:spacing w:line="560" w:lineRule="exact"/>
        <w:ind w:left="0" w:leftChars="0" w:firstLine="640" w:firstLineChars="200"/>
        <w:contextualSpacing/>
        <w:textAlignment w:val="auto"/>
        <w:rPr>
          <w:rFonts w:hint="default" w:ascii="Times New Roman" w:hAnsi="Times New Roman" w:eastAsia="仿宋_GB2312" w:cs="Times New Roman"/>
          <w:color w:val="000000"/>
          <w:kern w:val="30"/>
          <w:sz w:val="32"/>
          <w:szCs w:val="30"/>
          <w:lang w:val="en-US" w:eastAsia="zh-CN"/>
        </w:rPr>
      </w:pPr>
      <w:r>
        <w:rPr>
          <w:rFonts w:hint="eastAsia" w:ascii="Times New Roman" w:hAnsi="Times New Roman" w:eastAsia="仿宋_GB2312" w:cs="Times New Roman"/>
          <w:b w:val="0"/>
          <w:bCs w:val="0"/>
          <w:sz w:val="32"/>
          <w:szCs w:val="32"/>
          <w:lang w:val="en-US" w:eastAsia="zh-CN"/>
        </w:rPr>
        <w:t>2023年，通过建立事前绩效评估机制，</w:t>
      </w:r>
      <w:r>
        <w:rPr>
          <w:rFonts w:hint="default" w:ascii="Times New Roman" w:hAnsi="Times New Roman" w:eastAsia="仿宋_GB2312" w:cs="Times New Roman"/>
          <w:b w:val="0"/>
          <w:bCs w:val="0"/>
          <w:sz w:val="32"/>
          <w:szCs w:val="32"/>
          <w:lang w:val="en-US" w:eastAsia="zh-CN"/>
        </w:rPr>
        <w:t>审减预算经费1,468万元。</w:t>
      </w:r>
      <w:r>
        <w:rPr>
          <w:rFonts w:hint="eastAsia" w:ascii="Times New Roman" w:hAnsi="Times New Roman" w:eastAsia="仿宋_GB2312" w:cs="Times New Roman"/>
          <w:b w:val="0"/>
          <w:bCs w:val="0"/>
          <w:sz w:val="32"/>
          <w:szCs w:val="32"/>
          <w:lang w:val="en-US" w:eastAsia="zh-CN"/>
        </w:rPr>
        <w:t>对评估发现的问题诸如</w:t>
      </w:r>
      <w:r>
        <w:rPr>
          <w:rFonts w:hint="default" w:ascii="Times New Roman" w:hAnsi="Times New Roman" w:eastAsia="仿宋_GB2312" w:cs="Times New Roman"/>
          <w:b w:val="0"/>
          <w:bCs w:val="0"/>
          <w:sz w:val="32"/>
          <w:szCs w:val="32"/>
          <w:lang w:val="en-US" w:eastAsia="zh-CN"/>
        </w:rPr>
        <w:t>绩效指标设置不明确，未细化量化，项目投资估算不科学，实施方案不全面，道路建设设计方案未充分考虑路口对行驶视线的影响等，</w:t>
      </w:r>
      <w:r>
        <w:rPr>
          <w:rFonts w:hint="eastAsia" w:ascii="Times New Roman" w:hAnsi="Times New Roman" w:eastAsia="仿宋_GB2312" w:cs="Times New Roman"/>
          <w:b w:val="0"/>
          <w:bCs w:val="0"/>
          <w:sz w:val="32"/>
          <w:szCs w:val="32"/>
          <w:lang w:val="en-US" w:eastAsia="zh-CN"/>
        </w:rPr>
        <w:t>指导问题部门完成整改</w:t>
      </w:r>
      <w:r>
        <w:rPr>
          <w:rFonts w:hint="eastAsia" w:ascii="Times New Roman" w:hAnsi="Times New Roman" w:eastAsia="仿宋_GB2312" w:cs="Times New Roman"/>
          <w:kern w:val="2"/>
          <w:sz w:val="32"/>
          <w:szCs w:val="32"/>
          <w:lang w:val="en-US" w:eastAsia="zh-CN" w:bidi="ar"/>
        </w:rPr>
        <w:t>。</w:t>
      </w:r>
    </w:p>
    <w:p>
      <w:pPr>
        <w:pStyle w:val="3"/>
        <w:pageBreakBefore w:val="0"/>
        <w:kinsoku/>
        <w:wordWrap/>
        <w:overflowPunct w:val="0"/>
        <w:topLinePunct w:val="0"/>
        <w:autoSpaceDE w:val="0"/>
        <w:autoSpaceDN w:val="0"/>
        <w:bidi w:val="0"/>
        <w:adjustRightInd w:val="0"/>
        <w:snapToGrid w:val="0"/>
        <w:spacing w:line="560" w:lineRule="exact"/>
        <w:ind w:left="0" w:leftChars="0" w:firstLine="640" w:firstLineChars="200"/>
        <w:contextualSpacing/>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三、绩效目标及运行监控管理</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（一）目标管理</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强化绩效目标管理，要求各部门（单位）</w:t>
      </w:r>
      <w:r>
        <w:rPr>
          <w:rFonts w:hint="default" w:ascii="Times New Roman" w:hAnsi="Times New Roman" w:eastAsia="仿宋_GB2312" w:cs="Times New Roman"/>
          <w:b w:val="0"/>
          <w:bCs w:val="0"/>
          <w:sz w:val="32"/>
          <w:szCs w:val="32"/>
          <w:lang w:val="en-US" w:eastAsia="zh-CN"/>
        </w:rPr>
        <w:t>在编制年度预算时，全范围同步编制绩效目标，</w:t>
      </w:r>
      <w:r>
        <w:rPr>
          <w:rFonts w:hint="eastAsia" w:ascii="Times New Roman" w:hAnsi="Times New Roman" w:eastAsia="仿宋_GB2312" w:cs="Times New Roman"/>
          <w:b w:val="0"/>
          <w:bCs w:val="0"/>
          <w:sz w:val="32"/>
          <w:szCs w:val="32"/>
          <w:lang w:val="en-US" w:eastAsia="zh-CN"/>
        </w:rPr>
        <w:t>强化</w:t>
      </w:r>
      <w:r>
        <w:rPr>
          <w:rFonts w:hint="default" w:ascii="Times New Roman" w:hAnsi="Times New Roman" w:eastAsia="仿宋_GB2312" w:cs="Times New Roman"/>
          <w:b w:val="0"/>
          <w:bCs w:val="0"/>
          <w:sz w:val="32"/>
          <w:szCs w:val="32"/>
          <w:lang w:val="en-US" w:eastAsia="zh-CN"/>
        </w:rPr>
        <w:t>结果应用，对绩效目标审核的预算审减情况和目标评分情况排名通报，督促部门提高绩效目标管理水平，强化预算执行主体责任。2023年预算“一上”时，37家预算部门（单位）申报基本支出预算66,787.21万元，绩效评审建议安排65,430.35万元，审减1,356.89万元，审减率2.03%；申报794个项目支出预算574,100.87万元，绩效评审建议安排436,316.62万元，审减金额137,784.25万元，审减率24%</w:t>
      </w:r>
      <w:r>
        <w:rPr>
          <w:rFonts w:hint="default" w:ascii="Times New Roman" w:hAnsi="Times New Roman" w:eastAsia="仿宋_GB2312" w:cs="Times New Roman"/>
          <w:color w:val="auto"/>
          <w:kern w:val="2"/>
          <w:sz w:val="32"/>
          <w:szCs w:val="32"/>
          <w:lang w:val="en-US" w:eastAsia="zh-CN" w:bidi="ar"/>
        </w:rPr>
        <w:t>。</w:t>
      </w:r>
    </w:p>
    <w:p>
      <w:pPr>
        <w:pageBreakBefore w:val="0"/>
        <w:numPr>
          <w:ilvl w:val="0"/>
          <w:numId w:val="0"/>
        </w:numPr>
        <w:kinsoku/>
        <w:wordWrap/>
        <w:topLinePunct w:val="0"/>
        <w:bidi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建立项目支出绩效目标复审制度，部门整体支出预算绩效目标共计19个（一级预算部门），评分达90分（含90分）以上的部门共19个。项目支出绩效目标共计707个，一审审核评分达90分（含90分）以上项目共185个；80分（含80分）-89分项目共379个；70分（含70分）-80分的项目共计138个；70分以下的项目共计5个；二审审核评分达90分（含90分）以上项目共计707个。</w:t>
      </w:r>
    </w:p>
    <w:p>
      <w:pPr>
        <w:pStyle w:val="3"/>
        <w:pageBreakBefore w:val="0"/>
        <w:kinsoku/>
        <w:wordWrap/>
        <w:overflowPunct w:val="0"/>
        <w:topLinePunct w:val="0"/>
        <w:autoSpaceDE w:val="0"/>
        <w:autoSpaceDN w:val="0"/>
        <w:bidi w:val="0"/>
        <w:adjustRightInd w:val="0"/>
        <w:snapToGrid w:val="0"/>
        <w:spacing w:line="560" w:lineRule="exact"/>
        <w:ind w:firstLine="640" w:firstLineChars="200"/>
        <w:contextualSpacing/>
        <w:textAlignment w:val="auto"/>
        <w:rPr>
          <w:rFonts w:hint="default" w:ascii="Times New Roman" w:hAnsi="Times New Roman" w:eastAsia="楷体_GB2312" w:cs="Times New Roman"/>
          <w:bCs/>
          <w:kern w:val="2"/>
          <w:sz w:val="32"/>
          <w:szCs w:val="32"/>
          <w:lang w:val="en-US" w:eastAsia="zh-CN" w:bidi="ar"/>
        </w:rPr>
      </w:pPr>
      <w:r>
        <w:rPr>
          <w:rFonts w:hint="default" w:ascii="Times New Roman" w:hAnsi="Times New Roman" w:eastAsia="楷体_GB2312" w:cs="Times New Roman"/>
          <w:bCs/>
          <w:kern w:val="2"/>
          <w:sz w:val="32"/>
          <w:szCs w:val="32"/>
          <w:lang w:val="en-US" w:eastAsia="zh-CN" w:bidi="ar"/>
        </w:rPr>
        <w:t>（</w:t>
      </w:r>
      <w:r>
        <w:rPr>
          <w:rFonts w:hint="eastAsia" w:ascii="Times New Roman" w:hAnsi="Times New Roman" w:cs="Times New Roman"/>
          <w:bCs/>
          <w:kern w:val="2"/>
          <w:sz w:val="32"/>
          <w:szCs w:val="32"/>
          <w:lang w:val="en-US" w:eastAsia="zh-CN" w:bidi="ar"/>
        </w:rPr>
        <w:t>二</w:t>
      </w:r>
      <w:r>
        <w:rPr>
          <w:rFonts w:hint="default" w:ascii="Times New Roman" w:hAnsi="Times New Roman" w:eastAsia="楷体_GB2312" w:cs="Times New Roman"/>
          <w:bCs/>
          <w:kern w:val="2"/>
          <w:sz w:val="32"/>
          <w:szCs w:val="32"/>
          <w:lang w:val="en-US" w:eastAsia="zh-CN" w:bidi="ar"/>
        </w:rPr>
        <w:t>）运行监控管理范围</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强化预算执行过程管理，对绩效目标实现程度和预算执行进度实行全范围“双监控”，预算部门（单位）按季度在预算一体化系统采集填报监控信息，财政分局集中监控。同时，组织部门（单位）对监控发现的问题及时查找原因，实时纠偏，对存在严重问题的项目，暂缓或停止预算拨款。2023年，经过过程监控，部门主动申请调减预算额度1,930万元，财政集中收回额度2,544万元。</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（三）</w:t>
      </w:r>
      <w:r>
        <w:rPr>
          <w:rFonts w:hint="default" w:ascii="Times New Roman" w:hAnsi="Times New Roman" w:eastAsia="楷体_GB2312" w:cs="Times New Roman"/>
          <w:kern w:val="2"/>
          <w:sz w:val="32"/>
          <w:szCs w:val="32"/>
          <w:lang w:val="en-US" w:eastAsia="zh-CN" w:bidi="ar"/>
        </w:rPr>
        <w:t>结果应用</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eastAsia" w:ascii="Times New Roman" w:hAnsi="Times New Roman" w:eastAsia="仿宋_GB2312" w:cs="Times New Roman"/>
          <w:b w:val="0"/>
          <w:bCs w:val="0"/>
          <w:sz w:val="32"/>
          <w:szCs w:val="32"/>
          <w:lang w:val="en-US" w:eastAsia="zh-CN"/>
        </w:rPr>
        <w:t>强化绩效目标管理，实行绩效目标复审机制，</w:t>
      </w:r>
      <w:r>
        <w:rPr>
          <w:rFonts w:hint="default" w:ascii="Times New Roman" w:hAnsi="Times New Roman" w:eastAsia="仿宋_GB2312" w:cs="Times New Roman"/>
          <w:b w:val="0"/>
          <w:bCs w:val="0"/>
          <w:sz w:val="32"/>
          <w:szCs w:val="32"/>
          <w:lang w:val="en-US" w:eastAsia="zh-CN"/>
        </w:rPr>
        <w:t>审减</w:t>
      </w:r>
      <w:r>
        <w:rPr>
          <w:rFonts w:hint="eastAsia" w:ascii="Times New Roman" w:hAnsi="Times New Roman" w:eastAsia="仿宋_GB2312" w:cs="Times New Roman"/>
          <w:b w:val="0"/>
          <w:bCs w:val="0"/>
          <w:sz w:val="32"/>
          <w:szCs w:val="32"/>
          <w:lang w:val="en-US" w:eastAsia="zh-CN"/>
        </w:rPr>
        <w:t>预算经费</w:t>
      </w:r>
      <w:r>
        <w:rPr>
          <w:rFonts w:hint="default" w:ascii="Times New Roman" w:hAnsi="Times New Roman" w:eastAsia="仿宋_GB2312" w:cs="Times New Roman"/>
          <w:b w:val="0"/>
          <w:bCs w:val="0"/>
          <w:sz w:val="32"/>
          <w:szCs w:val="32"/>
          <w:lang w:val="en-US" w:eastAsia="zh-CN"/>
        </w:rPr>
        <w:t>13</w:t>
      </w:r>
      <w:r>
        <w:rPr>
          <w:rFonts w:hint="eastAsia" w:ascii="Times New Roman" w:hAnsi="Times New Roman" w:eastAsia="仿宋_GB2312" w:cs="Times New Roman"/>
          <w:b w:val="0"/>
          <w:bCs w:val="0"/>
          <w:sz w:val="32"/>
          <w:szCs w:val="32"/>
          <w:lang w:val="en-US" w:eastAsia="zh-CN"/>
        </w:rPr>
        <w:t>9</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141</w:t>
      </w:r>
      <w:r>
        <w:rPr>
          <w:rFonts w:hint="default" w:ascii="Times New Roman" w:hAnsi="Times New Roman" w:eastAsia="仿宋_GB2312" w:cs="Times New Roman"/>
          <w:b w:val="0"/>
          <w:bCs w:val="0"/>
          <w:sz w:val="32"/>
          <w:szCs w:val="32"/>
          <w:lang w:val="en-US" w:eastAsia="zh-CN"/>
        </w:rPr>
        <w:t>万元，审减率2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加强绩效运行监控，</w:t>
      </w:r>
      <w:r>
        <w:rPr>
          <w:rFonts w:hint="default" w:ascii="Times New Roman" w:hAnsi="Times New Roman" w:eastAsia="仿宋_GB2312" w:cs="Times New Roman"/>
          <w:color w:val="000000"/>
          <w:kern w:val="30"/>
          <w:sz w:val="32"/>
          <w:szCs w:val="30"/>
          <w:highlight w:val="none"/>
          <w:lang w:val="en-US" w:eastAsia="zh-CN"/>
        </w:rPr>
        <w:t>对发现的问题实时纠偏，对存在严重问题的项目，暂缓或停止预算拨款，</w:t>
      </w:r>
      <w:r>
        <w:rPr>
          <w:rFonts w:hint="eastAsia" w:ascii="Times New Roman" w:hAnsi="Times New Roman" w:eastAsia="仿宋_GB2312" w:cs="Times New Roman"/>
          <w:color w:val="000000"/>
          <w:kern w:val="30"/>
          <w:sz w:val="32"/>
          <w:szCs w:val="30"/>
          <w:highlight w:val="none"/>
          <w:lang w:val="en-US" w:eastAsia="zh-CN"/>
        </w:rPr>
        <w:t>监控过程中，</w:t>
      </w:r>
      <w:r>
        <w:rPr>
          <w:rFonts w:hint="default" w:ascii="Times New Roman" w:hAnsi="Times New Roman" w:eastAsia="仿宋_GB2312" w:cs="Times New Roman"/>
          <w:color w:val="000000"/>
          <w:kern w:val="30"/>
          <w:sz w:val="32"/>
          <w:szCs w:val="30"/>
          <w:highlight w:val="none"/>
          <w:lang w:val="en-US" w:eastAsia="zh-CN"/>
        </w:rPr>
        <w:t>部门主动申请调减预算额度1,930万元，财政集中收回额度2,544万元</w:t>
      </w:r>
      <w:r>
        <w:rPr>
          <w:rFonts w:hint="eastAsia" w:ascii="Times New Roman" w:hAnsi="Times New Roman" w:eastAsia="仿宋_GB2312" w:cs="Times New Roman"/>
          <w:color w:val="000000"/>
          <w:kern w:val="30"/>
          <w:sz w:val="32"/>
          <w:szCs w:val="30"/>
          <w:highlight w:val="none"/>
          <w:lang w:val="en-US" w:eastAsia="zh-CN"/>
        </w:rPr>
        <w:t>。</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黑体" w:cs="Times New Roman"/>
          <w:kern w:val="2"/>
          <w:sz w:val="32"/>
          <w:szCs w:val="32"/>
          <w:lang w:val="en-US" w:eastAsia="zh-CN" w:bidi="ar"/>
        </w:rPr>
      </w:pPr>
      <w:r>
        <w:rPr>
          <w:rFonts w:hint="default" w:ascii="Times New Roman" w:hAnsi="Times New Roman" w:eastAsia="黑体" w:cs="Times New Roman"/>
          <w:kern w:val="2"/>
          <w:sz w:val="32"/>
          <w:szCs w:val="32"/>
          <w:lang w:val="en-US" w:eastAsia="zh-CN" w:bidi="ar"/>
        </w:rPr>
        <w:t>四、绩效评价管理</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eastAsia" w:ascii="Times New Roman" w:hAnsi="Times New Roman" w:eastAsia="楷体_GB2312" w:cs="Times New Roman"/>
          <w:kern w:val="2"/>
          <w:sz w:val="32"/>
          <w:szCs w:val="32"/>
          <w:lang w:val="en-US" w:eastAsia="zh-CN" w:bidi="ar"/>
        </w:rPr>
        <w:t>（一）</w:t>
      </w:r>
      <w:r>
        <w:rPr>
          <w:rFonts w:hint="default" w:ascii="Times New Roman" w:hAnsi="Times New Roman" w:eastAsia="楷体_GB2312" w:cs="Times New Roman"/>
          <w:kern w:val="2"/>
          <w:sz w:val="32"/>
          <w:szCs w:val="32"/>
          <w:lang w:val="en-US" w:eastAsia="zh-CN" w:bidi="ar"/>
        </w:rPr>
        <w:t>评价范围</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建立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部门（单位）自评+财政重点评价</w:t>
      </w:r>
      <w:r>
        <w:rPr>
          <w:rFonts w:hint="eastAsia" w:ascii="Times New Roman" w:hAnsi="Times New Roman" w:eastAsia="仿宋_GB2312" w:cs="Times New Roman"/>
          <w:sz w:val="32"/>
          <w:szCs w:val="32"/>
          <w:lang w:val="en-US" w:eastAsia="zh-CN"/>
        </w:rPr>
        <w:t>”联动</w:t>
      </w:r>
      <w:r>
        <w:rPr>
          <w:rFonts w:hint="default" w:ascii="Times New Roman" w:hAnsi="Times New Roman" w:eastAsia="仿宋_GB2312" w:cs="Times New Roman"/>
          <w:sz w:val="32"/>
          <w:szCs w:val="32"/>
          <w:lang w:val="en-US" w:eastAsia="zh-CN"/>
        </w:rPr>
        <w:t>机制。2023年，在绩效自评全覆盖的基础上，按照覆盖面广、影响力大、实施周期长、社会关注度高等标准，选取2个部门整体</w:t>
      </w:r>
      <w:r>
        <w:rPr>
          <w:rFonts w:hint="eastAsia" w:eastAsia="仿宋_GB2312" w:cs="Times New Roman"/>
          <w:sz w:val="32"/>
          <w:szCs w:val="32"/>
          <w:lang w:val="en-US" w:eastAsia="zh-CN"/>
        </w:rPr>
        <w:t>以及</w:t>
      </w:r>
      <w:r>
        <w:rPr>
          <w:rFonts w:hint="default" w:ascii="Times New Roman" w:hAnsi="Times New Roman" w:eastAsia="仿宋_GB2312" w:cs="Times New Roman"/>
          <w:sz w:val="32"/>
          <w:szCs w:val="32"/>
          <w:lang w:val="en-US" w:eastAsia="zh-CN"/>
        </w:rPr>
        <w:t>19个项目，开展财政重点评价，评价金额共计4.9亿元，评价范围覆盖三本预算（经开区不涉及社会保险基金预算），内容包括基本建设、购买服务、PPP项目等</w:t>
      </w:r>
      <w:r>
        <w:rPr>
          <w:rFonts w:hint="default" w:ascii="Times New Roman" w:hAnsi="Times New Roman" w:eastAsia="仿宋_GB2312" w:cs="Times New Roman"/>
          <w:kern w:val="2"/>
          <w:sz w:val="32"/>
          <w:szCs w:val="32"/>
          <w:lang w:val="en-US" w:eastAsia="zh-CN" w:bidi="ar"/>
        </w:rPr>
        <w:t>。</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（二）评价规模</w:t>
      </w:r>
    </w:p>
    <w:p>
      <w:pPr>
        <w:pStyle w:val="4"/>
        <w:pageBreakBefore w:val="0"/>
        <w:numPr>
          <w:ilvl w:val="0"/>
          <w:numId w:val="0"/>
        </w:numPr>
        <w:kinsoku/>
        <w:wordWrap/>
        <w:topLinePunct w:val="0"/>
        <w:bidi w:val="0"/>
        <w:spacing w:after="0" w:line="560" w:lineRule="exact"/>
        <w:ind w:firstLine="640" w:firstLineChars="200"/>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按要求开展绩效自评</w:t>
      </w:r>
      <w:r>
        <w:rPr>
          <w:rFonts w:hint="eastAsia" w:ascii="Times New Roman" w:hAnsi="Times New Roman" w:eastAsia="仿宋_GB2312" w:cs="Times New Roman"/>
          <w:color w:val="auto"/>
          <w:kern w:val="2"/>
          <w:sz w:val="32"/>
          <w:szCs w:val="32"/>
          <w:lang w:val="en-US" w:eastAsia="zh-CN" w:bidi="ar"/>
        </w:rPr>
        <w:t>工作</w:t>
      </w:r>
      <w:r>
        <w:rPr>
          <w:rFonts w:hint="default" w:ascii="Times New Roman" w:hAnsi="Times New Roman" w:eastAsia="仿宋_GB2312" w:cs="Times New Roman"/>
          <w:color w:val="auto"/>
          <w:kern w:val="2"/>
          <w:sz w:val="32"/>
          <w:szCs w:val="32"/>
          <w:lang w:val="en-US" w:eastAsia="zh-CN" w:bidi="ar"/>
        </w:rPr>
        <w:t>，绩效自评对象为纳入我区202</w:t>
      </w:r>
      <w:r>
        <w:rPr>
          <w:rFonts w:hint="eastAsia" w:eastAsia="仿宋_GB2312" w:cs="Times New Roman"/>
          <w:color w:val="auto"/>
          <w:kern w:val="2"/>
          <w:sz w:val="32"/>
          <w:szCs w:val="32"/>
          <w:lang w:val="en-US" w:eastAsia="zh-CN" w:bidi="ar"/>
        </w:rPr>
        <w:t>2</w:t>
      </w:r>
      <w:r>
        <w:rPr>
          <w:rFonts w:hint="default" w:ascii="Times New Roman" w:hAnsi="Times New Roman" w:eastAsia="仿宋_GB2312" w:cs="Times New Roman"/>
          <w:color w:val="auto"/>
          <w:kern w:val="2"/>
          <w:sz w:val="32"/>
          <w:szCs w:val="32"/>
          <w:lang w:val="en-US" w:eastAsia="zh-CN" w:bidi="ar"/>
        </w:rPr>
        <w:t>年预算管理的所有财政性资金。落实部门（单位）绩效评价主体责任，要求各部门（单位）按时对预算执行情况及实施效果开展绩效自评。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sz w:val="32"/>
          <w:szCs w:val="32"/>
          <w:lang w:val="en-US" w:eastAsia="zh-CN"/>
        </w:rPr>
        <w:t>结合部门（单位）自评情况，选取市场监管分局、消防大队2个部门整体，</w:t>
      </w:r>
      <w:r>
        <w:rPr>
          <w:rFonts w:hint="eastAsia" w:ascii="Times New Roman" w:hAnsi="Times New Roman" w:eastAsia="仿宋_GB2312" w:cs="Times New Roman"/>
          <w:sz w:val="32"/>
          <w:szCs w:val="32"/>
          <w:highlight w:val="none"/>
          <w:lang w:val="en-US" w:eastAsia="zh-CN"/>
        </w:rPr>
        <w:t>以及</w:t>
      </w:r>
      <w:r>
        <w:rPr>
          <w:rFonts w:hint="default" w:ascii="Times New Roman" w:hAnsi="Times New Roman" w:eastAsia="仿宋_GB2312" w:cs="Times New Roman"/>
          <w:sz w:val="32"/>
          <w:szCs w:val="32"/>
          <w:highlight w:val="none"/>
          <w:lang w:val="en-US" w:eastAsia="zh-CN"/>
        </w:rPr>
        <w:t>昆明铁路国际班列海关监管作业场所建设、环卫</w:t>
      </w:r>
      <w:r>
        <w:rPr>
          <w:rFonts w:hint="default" w:ascii="Times New Roman" w:hAnsi="Times New Roman" w:eastAsia="仿宋_GB2312" w:cs="Times New Roman"/>
          <w:sz w:val="32"/>
          <w:szCs w:val="32"/>
          <w:lang w:val="en-US" w:eastAsia="zh-CN"/>
        </w:rPr>
        <w:t>一体化PPP等19个项目支出作为财政重点评价对象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2"/>
          <w:sz w:val="32"/>
          <w:szCs w:val="32"/>
          <w:lang w:val="en-US" w:eastAsia="zh-CN" w:bidi="ar"/>
        </w:rPr>
        <w:t>评价预算金额共计</w:t>
      </w:r>
      <w:r>
        <w:rPr>
          <w:rFonts w:hint="default" w:ascii="Times New Roman" w:hAnsi="Times New Roman" w:eastAsia="仿宋_GB2312" w:cs="Times New Roman"/>
          <w:sz w:val="32"/>
          <w:szCs w:val="32"/>
          <w:lang w:val="en-US" w:eastAsia="zh-CN"/>
        </w:rPr>
        <w:t>4.9亿元</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sz w:val="32"/>
          <w:szCs w:val="32"/>
          <w:lang w:val="en-US" w:eastAsia="zh-CN"/>
        </w:rPr>
        <w:t>经评价，2个部门整体绩效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1个评级为良，1个评级为中。19个项目绩效，16个评级为良，3个评级为中，平均得分83.47分。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kern w:val="2"/>
          <w:sz w:val="32"/>
          <w:szCs w:val="32"/>
          <w:lang w:val="en-US" w:eastAsia="zh-CN" w:bidi="ar"/>
        </w:rPr>
      </w:pPr>
      <w:r>
        <w:rPr>
          <w:rFonts w:hint="default" w:ascii="Times New Roman" w:hAnsi="Times New Roman" w:eastAsia="楷体_GB2312" w:cs="Times New Roman"/>
          <w:kern w:val="2"/>
          <w:sz w:val="32"/>
          <w:szCs w:val="32"/>
          <w:lang w:val="en-US" w:eastAsia="zh-CN" w:bidi="ar"/>
        </w:rPr>
        <w:t>（三）结果应用</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sz w:val="32"/>
          <w:szCs w:val="32"/>
        </w:rPr>
        <w:t>重点绩效评价</w:t>
      </w:r>
      <w:r>
        <w:rPr>
          <w:rFonts w:hint="default" w:ascii="Times New Roman" w:hAnsi="Times New Roman" w:eastAsia="仿宋_GB2312" w:cs="Times New Roman"/>
          <w:sz w:val="32"/>
          <w:szCs w:val="32"/>
          <w:lang w:val="en-US" w:eastAsia="zh-CN"/>
        </w:rPr>
        <w:t>结束后，</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及时将评价结果反馈给被评价</w:t>
      </w:r>
      <w:r>
        <w:rPr>
          <w:rFonts w:hint="default" w:ascii="Times New Roman" w:hAnsi="Times New Roman" w:eastAsia="仿宋_GB2312" w:cs="Times New Roman"/>
          <w:sz w:val="32"/>
          <w:szCs w:val="32"/>
          <w:lang w:eastAsia="zh-CN"/>
        </w:rPr>
        <w:t>部门（单位）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整理、归纳、分析绩效评价结果</w:t>
      </w:r>
      <w:r>
        <w:rPr>
          <w:rFonts w:hint="default" w:ascii="Times New Roman" w:hAnsi="Times New Roman" w:eastAsia="仿宋_GB2312" w:cs="Times New Roman"/>
          <w:sz w:val="32"/>
          <w:szCs w:val="32"/>
          <w:lang w:eastAsia="zh-CN"/>
        </w:rPr>
        <w:t>，尤其是存在的问题</w:t>
      </w:r>
      <w:r>
        <w:rPr>
          <w:rFonts w:hint="eastAsia" w:ascii="Times New Roman" w:hAnsi="Times New Roman" w:eastAsia="仿宋_GB2312" w:cs="Times New Roman"/>
          <w:sz w:val="32"/>
          <w:szCs w:val="32"/>
          <w:lang w:eastAsia="zh-CN"/>
        </w:rPr>
        <w:t>及结果应用建议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形成</w:t>
      </w:r>
      <w:r>
        <w:rPr>
          <w:rFonts w:hint="default" w:ascii="Times New Roman" w:hAnsi="Times New Roman" w:eastAsia="仿宋_GB2312" w:cs="Times New Roman"/>
          <w:sz w:val="32"/>
          <w:szCs w:val="32"/>
          <w:lang w:eastAsia="zh-CN"/>
        </w:rPr>
        <w:t>专报报经开区党工委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管委会相关领</w:t>
      </w:r>
      <w:r>
        <w:rPr>
          <w:rFonts w:hint="default" w:ascii="Times New Roman" w:hAnsi="Times New Roman" w:eastAsia="仿宋_GB2312" w:cs="Times New Roman"/>
          <w:sz w:val="32"/>
          <w:szCs w:val="32"/>
          <w:highlight w:val="none"/>
          <w:lang w:eastAsia="zh-CN"/>
        </w:rPr>
        <w:t>导，</w:t>
      </w:r>
      <w:r>
        <w:rPr>
          <w:rFonts w:hint="default" w:ascii="Times New Roman" w:hAnsi="Times New Roman" w:eastAsia="仿宋_GB2312" w:cs="Times New Roman"/>
          <w:sz w:val="32"/>
          <w:szCs w:val="32"/>
          <w:highlight w:val="none"/>
        </w:rPr>
        <w:t>供</w:t>
      </w:r>
      <w:r>
        <w:rPr>
          <w:rFonts w:hint="default" w:ascii="Times New Roman" w:hAnsi="Times New Roman" w:eastAsia="仿宋_GB2312" w:cs="Times New Roman"/>
          <w:sz w:val="32"/>
          <w:szCs w:val="32"/>
          <w:highlight w:val="none"/>
          <w:lang w:eastAsia="zh-CN"/>
        </w:rPr>
        <w:t>党工委、</w:t>
      </w:r>
      <w:r>
        <w:rPr>
          <w:rFonts w:hint="default" w:ascii="Times New Roman" w:hAnsi="Times New Roman" w:eastAsia="仿宋_GB2312" w:cs="Times New Roman"/>
          <w:sz w:val="32"/>
          <w:szCs w:val="32"/>
          <w:highlight w:val="none"/>
        </w:rPr>
        <w:t>管委会及时了解掌握</w:t>
      </w:r>
      <w:r>
        <w:rPr>
          <w:rFonts w:hint="default" w:ascii="Times New Roman" w:hAnsi="Times New Roman" w:eastAsia="仿宋_GB2312" w:cs="Times New Roman"/>
          <w:sz w:val="32"/>
          <w:szCs w:val="32"/>
          <w:highlight w:val="none"/>
          <w:lang w:eastAsia="zh-CN"/>
        </w:rPr>
        <w:t>部门管理和项目</w:t>
      </w:r>
      <w:r>
        <w:rPr>
          <w:rFonts w:hint="default" w:ascii="Times New Roman" w:hAnsi="Times New Roman" w:eastAsia="仿宋_GB2312" w:cs="Times New Roman"/>
          <w:sz w:val="32"/>
          <w:szCs w:val="32"/>
          <w:highlight w:val="none"/>
        </w:rPr>
        <w:t>实施情况，作为决策</w:t>
      </w:r>
      <w:r>
        <w:rPr>
          <w:rFonts w:hint="default" w:ascii="Times New Roman" w:hAnsi="Times New Roman" w:eastAsia="仿宋_GB2312" w:cs="Times New Roman"/>
          <w:sz w:val="32"/>
          <w:szCs w:val="32"/>
          <w:highlight w:val="none"/>
          <w:lang w:eastAsia="zh-CN"/>
        </w:rPr>
        <w:t>、评优评先和追责问责</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eastAsia="zh-CN"/>
        </w:rPr>
        <w:t>重要</w:t>
      </w:r>
      <w:r>
        <w:rPr>
          <w:rFonts w:hint="default" w:ascii="Times New Roman" w:hAnsi="Times New Roman" w:eastAsia="仿宋_GB2312" w:cs="Times New Roman"/>
          <w:sz w:val="32"/>
          <w:szCs w:val="32"/>
          <w:highlight w:val="none"/>
        </w:rPr>
        <w:t>依据</w:t>
      </w:r>
      <w:r>
        <w:rPr>
          <w:rFonts w:hint="default" w:ascii="Times New Roman" w:hAnsi="Times New Roman" w:eastAsia="仿宋_GB2312" w:cs="Times New Roman"/>
          <w:sz w:val="32"/>
          <w:szCs w:val="32"/>
          <w:highlight w:val="none"/>
          <w:lang w:eastAsia="zh-CN"/>
        </w:rPr>
        <w:t>。同时，</w:t>
      </w:r>
      <w:r>
        <w:rPr>
          <w:rFonts w:hint="default"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rPr>
        <w:t>求各相关部门</w:t>
      </w:r>
      <w:r>
        <w:rPr>
          <w:rFonts w:hint="default" w:ascii="Times New Roman" w:hAnsi="Times New Roman" w:eastAsia="仿宋_GB2312" w:cs="Times New Roman"/>
          <w:sz w:val="32"/>
          <w:szCs w:val="32"/>
          <w:lang w:eastAsia="zh-CN"/>
        </w:rPr>
        <w:t>（单位）</w:t>
      </w:r>
      <w:r>
        <w:rPr>
          <w:rFonts w:hint="default" w:ascii="Times New Roman" w:hAnsi="Times New Roman" w:eastAsia="仿宋_GB2312" w:cs="Times New Roman"/>
          <w:b w:val="0"/>
          <w:bCs w:val="0"/>
          <w:iCs w:val="0"/>
          <w:color w:val="auto"/>
          <w:kern w:val="2"/>
          <w:sz w:val="32"/>
          <w:szCs w:val="32"/>
          <w:lang w:val="en-US" w:eastAsia="zh-CN" w:bidi="ar-SA"/>
        </w:rPr>
        <w:t>针对发现的问题，认真研究，落实整改，在收到评价报告两个月内，向财政分局反馈整改情况</w:t>
      </w:r>
      <w:r>
        <w:rPr>
          <w:rFonts w:hint="default" w:ascii="Times New Roman" w:hAnsi="Times New Roman" w:eastAsia="仿宋_GB2312" w:cs="Times New Roman"/>
          <w:b w:val="0"/>
          <w:bCs w:val="0"/>
          <w:iCs w:val="0"/>
          <w:color w:val="auto"/>
          <w:kern w:val="2"/>
          <w:sz w:val="32"/>
          <w:szCs w:val="22"/>
          <w:lang w:val="en-US" w:eastAsia="zh-CN" w:bidi="ar-SA"/>
        </w:rPr>
        <w:t>。在下一年度预算安排时，按规定给予绩效评级为优的部门（单位）及项目财政资金重点支持，评级为良的，督促改进，评级为中的，扣减不高于10%的预算资金额度，评级为差的，取消资金安排</w:t>
      </w:r>
      <w:bookmarkStart w:id="0" w:name="_GoBack"/>
      <w:bookmarkEnd w:id="0"/>
      <w:r>
        <w:rPr>
          <w:rFonts w:hint="default" w:ascii="Times New Roman" w:hAnsi="Times New Roman" w:eastAsia="仿宋_GB2312" w:cs="Times New Roman"/>
          <w:b w:val="0"/>
          <w:bCs w:val="0"/>
          <w:iCs w:val="0"/>
          <w:color w:val="auto"/>
          <w:kern w:val="2"/>
          <w:sz w:val="32"/>
          <w:szCs w:val="32"/>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textAlignment w:val="auto"/>
        <w:rPr>
          <w:rFonts w:hint="default" w:ascii="Times New Roman" w:hAnsi="Times New Roman" w:eastAsia="仿宋_GB2312" w:cs="Times New Roman"/>
          <w:b w:val="0"/>
          <w:bCs w:val="0"/>
          <w:iCs w:val="0"/>
          <w:color w:val="auto"/>
          <w:kern w:val="2"/>
          <w:sz w:val="32"/>
          <w:szCs w:val="32"/>
          <w:lang w:val="en-US" w:eastAsia="zh-CN" w:bidi="ar-SA"/>
        </w:rPr>
      </w:pPr>
    </w:p>
    <w:p>
      <w:pPr>
        <w:pStyle w:val="4"/>
        <w:keepNext w:val="0"/>
        <w:keepLines w:val="0"/>
        <w:pageBreakBefore w:val="0"/>
        <w:widowControl w:val="0"/>
        <w:numPr>
          <w:ilvl w:val="0"/>
          <w:numId w:val="0"/>
        </w:numPr>
        <w:kinsoku/>
        <w:wordWrap/>
        <w:overflowPunct/>
        <w:topLinePunct w:val="0"/>
        <w:autoSpaceDE/>
        <w:bidi w:val="0"/>
        <w:snapToGrid/>
        <w:spacing w:before="0" w:after="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w:t>
      </w:r>
    </w:p>
    <w:p>
      <w:pPr>
        <w:pStyle w:val="4"/>
        <w:keepNext w:val="0"/>
        <w:keepLines w:val="0"/>
        <w:pageBreakBefore w:val="0"/>
        <w:widowControl w:val="0"/>
        <w:numPr>
          <w:ilvl w:val="0"/>
          <w:numId w:val="0"/>
        </w:numPr>
        <w:kinsoku/>
        <w:wordWrap/>
        <w:overflowPunct/>
        <w:topLinePunct w:val="0"/>
        <w:autoSpaceDE/>
        <w:bidi w:val="0"/>
        <w:snapToGrid/>
        <w:spacing w:before="0" w:beforeLines="0" w:after="0" w:afterLines="0" w:line="560" w:lineRule="exact"/>
        <w:ind w:right="0" w:rightChars="0"/>
        <w:textAlignment w:val="auto"/>
        <w:rPr>
          <w:rFonts w:hint="default" w:ascii="Times New Roman" w:hAnsi="Times New Roman" w:eastAsia="仿宋_GB2312" w:cs="Times New Roman"/>
          <w:b w:val="0"/>
          <w:bCs w:val="0"/>
          <w:iCs w:val="0"/>
          <w:color w:val="auto"/>
          <w:kern w:val="2"/>
          <w:sz w:val="32"/>
          <w:szCs w:val="32"/>
          <w:lang w:val="en-US" w:eastAsia="zh-CN" w:bidi="ar-SA"/>
        </w:rPr>
      </w:pPr>
      <w:r>
        <w:rPr>
          <w:rFonts w:hint="default" w:ascii="Times New Roman" w:hAnsi="Times New Roman" w:eastAsia="仿宋_GB2312" w:cs="Times New Roman"/>
          <w:b w:val="0"/>
          <w:bCs w:val="0"/>
          <w:iCs w:val="0"/>
          <w:color w:val="auto"/>
          <w:kern w:val="2"/>
          <w:sz w:val="32"/>
          <w:szCs w:val="32"/>
          <w:lang w:val="en-US" w:eastAsia="zh-CN" w:bidi="ar-SA"/>
        </w:rPr>
        <w:t xml:space="preserve">    </w:t>
      </w:r>
    </w:p>
    <w:p>
      <w:pPr>
        <w:pStyle w:val="4"/>
        <w:ind w:firstLine="640"/>
        <w:rPr>
          <w:rFonts w:hint="eastAsia" w:ascii="仿宋_GB2312" w:hAnsi="仿宋_GB2312" w:eastAsia="仿宋_GB2312" w:cs="仿宋_GB2312"/>
          <w:color w:val="333333"/>
          <w:kern w:val="2"/>
          <w:sz w:val="32"/>
          <w:szCs w:val="32"/>
          <w:shd w:val="clear" w:color="auto" w:fill="FFFFFF"/>
          <w:lang w:val="en-US" w:eastAsia="zh-CN" w:bidi="ar-SA"/>
        </w:rPr>
      </w:pPr>
    </w:p>
    <w:p>
      <w:pPr>
        <w:pStyle w:val="4"/>
        <w:ind w:firstLine="640"/>
        <w:rPr>
          <w:rFonts w:hint="default" w:ascii="Times New Roman" w:hAnsi="Times New Roman" w:eastAsia="仿宋_GB2312" w:cs="Times New Roman"/>
          <w:color w:val="333333"/>
          <w:kern w:val="2"/>
          <w:sz w:val="32"/>
          <w:szCs w:val="32"/>
          <w:shd w:val="clear" w:color="auto" w:fill="FFFFFF"/>
          <w:lang w:val="en-US" w:eastAsia="zh-CN" w:bidi="ar-SA"/>
        </w:rPr>
      </w:pPr>
    </w:p>
    <w:p>
      <w:pPr>
        <w:pStyle w:val="4"/>
        <w:numPr>
          <w:ilvl w:val="0"/>
          <w:numId w:val="0"/>
        </w:numPr>
        <w:rPr>
          <w:rFonts w:hint="default" w:ascii="楷体_GB2312" w:hAnsi="楷体_GB2312" w:eastAsia="楷体_GB2312" w:cs="楷体_GB2312"/>
          <w:kern w:val="2"/>
          <w:sz w:val="32"/>
          <w:szCs w:val="32"/>
          <w:lang w:val="en-US" w:eastAsia="zh-CN" w:bidi="ar"/>
        </w:rPr>
      </w:pPr>
    </w:p>
    <w:p>
      <w:pPr>
        <w:pStyle w:val="4"/>
        <w:numPr>
          <w:ilvl w:val="0"/>
          <w:numId w:val="0"/>
        </w:numPr>
        <w:ind w:left="320" w:leftChars="0"/>
        <w:rPr>
          <w:rFonts w:hint="default" w:eastAsia="仿宋_GB2312" w:cs="Times New Roman"/>
          <w:kern w:val="2"/>
          <w:sz w:val="32"/>
          <w:szCs w:val="32"/>
          <w:lang w:val="en-US" w:eastAsia="zh-CN" w:bidi="ar"/>
        </w:rPr>
      </w:pPr>
    </w:p>
    <w:p>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
        </w:rPr>
      </w:pPr>
    </w:p>
    <w:p>
      <w:pPr>
        <w:pStyle w:val="4"/>
        <w:numPr>
          <w:ilvl w:val="0"/>
          <w:numId w:val="0"/>
        </w:numPr>
        <w:ind w:firstLine="640" w:firstLineChars="200"/>
        <w:rPr>
          <w:rFonts w:hint="default" w:ascii="Times New Roman" w:hAnsi="Times New Roman" w:eastAsia="仿宋_GB2312" w:cs="Times New Roman"/>
          <w:kern w:val="2"/>
          <w:sz w:val="32"/>
          <w:szCs w:val="32"/>
          <w:lang w:val="en-US" w:eastAsia="zh-CN" w:bidi="ar"/>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9CEF3"/>
    <w:multiLevelType w:val="singleLevel"/>
    <w:tmpl w:val="55B9CEF3"/>
    <w:lvl w:ilvl="0" w:tentative="0">
      <w:start w:val="2"/>
      <w:numFmt w:val="chineseCounting"/>
      <w:suff w:val="nothing"/>
      <w:lvlText w:val="（%1）"/>
      <w:lvlJc w:val="left"/>
      <w:rPr>
        <w:rFonts w:hint="eastAsia"/>
      </w:rPr>
    </w:lvl>
  </w:abstractNum>
  <w:abstractNum w:abstractNumId="1">
    <w:nsid w:val="6B3230C9"/>
    <w:multiLevelType w:val="singleLevel"/>
    <w:tmpl w:val="6B3230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351DC"/>
    <w:rsid w:val="02AD1871"/>
    <w:rsid w:val="030D5B84"/>
    <w:rsid w:val="03560D95"/>
    <w:rsid w:val="048B01F5"/>
    <w:rsid w:val="06312473"/>
    <w:rsid w:val="07166AA2"/>
    <w:rsid w:val="07871A93"/>
    <w:rsid w:val="093D1475"/>
    <w:rsid w:val="0BAB0558"/>
    <w:rsid w:val="0D6E60A1"/>
    <w:rsid w:val="0E042561"/>
    <w:rsid w:val="0E3177FA"/>
    <w:rsid w:val="13AE71F7"/>
    <w:rsid w:val="148E43C3"/>
    <w:rsid w:val="14A30D26"/>
    <w:rsid w:val="15233C15"/>
    <w:rsid w:val="18E92A80"/>
    <w:rsid w:val="19C71013"/>
    <w:rsid w:val="19E971DB"/>
    <w:rsid w:val="1AB23A71"/>
    <w:rsid w:val="1AE54751"/>
    <w:rsid w:val="1CCC4B92"/>
    <w:rsid w:val="1DE2263A"/>
    <w:rsid w:val="1DE859FC"/>
    <w:rsid w:val="1E685864"/>
    <w:rsid w:val="201F4F04"/>
    <w:rsid w:val="216602B3"/>
    <w:rsid w:val="2208041A"/>
    <w:rsid w:val="226E387B"/>
    <w:rsid w:val="233D0598"/>
    <w:rsid w:val="237C10C0"/>
    <w:rsid w:val="23DF6B60"/>
    <w:rsid w:val="24C462E8"/>
    <w:rsid w:val="25777D91"/>
    <w:rsid w:val="25B17BC0"/>
    <w:rsid w:val="280478D6"/>
    <w:rsid w:val="2BCE22CC"/>
    <w:rsid w:val="2ED33016"/>
    <w:rsid w:val="2F7D2448"/>
    <w:rsid w:val="3030735E"/>
    <w:rsid w:val="312C0EDD"/>
    <w:rsid w:val="31B41A25"/>
    <w:rsid w:val="31DD71CE"/>
    <w:rsid w:val="33A32862"/>
    <w:rsid w:val="33BD3E0E"/>
    <w:rsid w:val="35246EC1"/>
    <w:rsid w:val="37CD0F4E"/>
    <w:rsid w:val="37E2346C"/>
    <w:rsid w:val="383C34D3"/>
    <w:rsid w:val="38A5656B"/>
    <w:rsid w:val="38A95732"/>
    <w:rsid w:val="3AC727C9"/>
    <w:rsid w:val="3BDA3E9D"/>
    <w:rsid w:val="3C3814A4"/>
    <w:rsid w:val="3D6C7658"/>
    <w:rsid w:val="3E1A160D"/>
    <w:rsid w:val="3F03223E"/>
    <w:rsid w:val="3FE46026"/>
    <w:rsid w:val="401A08A4"/>
    <w:rsid w:val="40B44660"/>
    <w:rsid w:val="41406E34"/>
    <w:rsid w:val="434370AD"/>
    <w:rsid w:val="440B5E1C"/>
    <w:rsid w:val="44F468B0"/>
    <w:rsid w:val="45372C41"/>
    <w:rsid w:val="456B456B"/>
    <w:rsid w:val="4A9E19BF"/>
    <w:rsid w:val="4D970721"/>
    <w:rsid w:val="4E08517B"/>
    <w:rsid w:val="4E7D7917"/>
    <w:rsid w:val="4FB530E0"/>
    <w:rsid w:val="51AC6BF8"/>
    <w:rsid w:val="51C967A7"/>
    <w:rsid w:val="537D0649"/>
    <w:rsid w:val="559838E9"/>
    <w:rsid w:val="55C027DF"/>
    <w:rsid w:val="56071D00"/>
    <w:rsid w:val="562C1C22"/>
    <w:rsid w:val="563D798B"/>
    <w:rsid w:val="57811AFA"/>
    <w:rsid w:val="59AC5554"/>
    <w:rsid w:val="59F2455A"/>
    <w:rsid w:val="5B4E6197"/>
    <w:rsid w:val="5C5617A7"/>
    <w:rsid w:val="5C7659A5"/>
    <w:rsid w:val="5E1B2CA8"/>
    <w:rsid w:val="5ED03A93"/>
    <w:rsid w:val="5F090D52"/>
    <w:rsid w:val="5FAB3BB8"/>
    <w:rsid w:val="60C06369"/>
    <w:rsid w:val="62127F1E"/>
    <w:rsid w:val="64D920C2"/>
    <w:rsid w:val="675F3C06"/>
    <w:rsid w:val="69177307"/>
    <w:rsid w:val="69335CA3"/>
    <w:rsid w:val="69EB1CDC"/>
    <w:rsid w:val="6AD77F57"/>
    <w:rsid w:val="6B661582"/>
    <w:rsid w:val="6B6E00B6"/>
    <w:rsid w:val="6C7D6C05"/>
    <w:rsid w:val="6CDB1F80"/>
    <w:rsid w:val="6E0C797B"/>
    <w:rsid w:val="6E601FD8"/>
    <w:rsid w:val="70422316"/>
    <w:rsid w:val="709F5073"/>
    <w:rsid w:val="749F7D37"/>
    <w:rsid w:val="7AF21520"/>
    <w:rsid w:val="7C6F6241"/>
    <w:rsid w:val="7D292894"/>
    <w:rsid w:val="7D95230D"/>
    <w:rsid w:val="7E7933A7"/>
    <w:rsid w:val="7EDB7B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keepNext/>
      <w:keepLines/>
      <w:widowControl/>
      <w:spacing w:line="560" w:lineRule="exact"/>
      <w:ind w:firstLine="200"/>
      <w:jc w:val="left"/>
      <w:outlineLvl w:val="1"/>
    </w:pPr>
    <w:rPr>
      <w:rFonts w:ascii="Cambria" w:hAnsi="Cambria" w:eastAsia="楷体_GB2312" w:cs="宋体"/>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cs="Courier New"/>
      <w:sz w:val="21"/>
      <w:szCs w:val="21"/>
    </w:rPr>
  </w:style>
  <w:style w:type="paragraph" w:styleId="4">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2021-12-22T02:10:00Z</dcterms:created>
  <dc:creator>Administrator.ZXT-02107181225</dc:creator>
  <cp:lastModifiedBy>伏佳</cp:lastModifiedBy>
  <cp:lastPrinted>2021-12-24T02:18:00Z</cp:lastPrinted>
  <dcterms:modified xsi:type="dcterms:W3CDTF">2024-09-10T06:43:40Z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069B128689B6477B95B1A2E59B11FD53</vt:lpwstr>
  </property>
</Properties>
</file>