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271" w:leftChars="129"/>
        <w:jc w:val="center"/>
        <w:textAlignment w:val="auto"/>
        <w:rPr>
          <w:rFonts w:hint="eastAsia" w:ascii="方正小标宋_GBK" w:eastAsia="方正小标宋_GBK"/>
          <w:color w:val="FF0000"/>
          <w:w w:val="50"/>
          <w:sz w:val="120"/>
          <w:szCs w:val="1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271" w:leftChars="129"/>
        <w:jc w:val="center"/>
        <w:textAlignment w:val="auto"/>
        <w:rPr>
          <w:rFonts w:hint="eastAsia" w:ascii="方正小标宋_GBK" w:eastAsia="方正小标宋_GBK"/>
          <w:color w:val="FF0000"/>
          <w:w w:val="50"/>
          <w:sz w:val="120"/>
          <w:szCs w:val="120"/>
        </w:rPr>
      </w:pPr>
      <w:bookmarkStart w:id="3" w:name="_GoBack"/>
      <w:bookmarkEnd w:id="3"/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昆经开生环复</w:t>
      </w:r>
      <w:r>
        <w:rPr>
          <w:rFonts w:hint="default" w:ascii="Times New Roman" w:hAnsi="Times New Roman" w:cs="Times New Roman"/>
          <w:sz w:val="32"/>
          <w:szCs w:val="32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《</w:t>
      </w:r>
      <w:bookmarkStart w:id="0" w:name="_Hlk4157862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鸿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翔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中药有限公司—鸿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翔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中药饮片数字化智能制造基地项目（中药饮片扩产能二期）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环境影响报告</w:t>
      </w:r>
      <w:bookmarkEnd w:id="0"/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表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中药有限公司：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你单位委托云南六方合源环保科技有限公司编制的《鸿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中药有限公司—鸿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中药饮片数字化智能制造基地项目（中药饮片扩产能二期）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环境影响报告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》（以下简称《环评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》）已收悉。根据《中华人民共和国环境影响评价法》第二十二条和《建设项目环境保护管理条例》第九条的规定，批复如下：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位于云南省昆明经济技术开发区大冲工业片区KCJ2021-19号地块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总占地面积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31150.13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平方米，总建筑面积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约126000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平方米，总投资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35524.88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万元（其中环保投资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692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中药饮片数字化智能制造基地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。生产规模为：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统中药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饮片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11500吨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年，毒性中药饮片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年，中药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清洗精制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等1000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年，维生素E软胶囊40吨/年，大健康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代用茶、汤料、蔬菜制品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1200吨/年，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鲜食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100吨/年，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饮用水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约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2000吨/年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植物饮料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约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2000吨/年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，中药制剂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2652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立方米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。项目主要建设内容包括：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2栋云检楼、1栋生产综合楼（包括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数字化物流配送中心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中药饮片智能制造生产中心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大健康产品数字化生产中心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、食品饮料生产区、质量部、智慧中药代煎、仓库等）、锅炉房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同时配套建设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污水处理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、废气治理设施、危废暂存间等环保工程。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根据《昆明市生态环境工程评估中心关于对&lt;鸿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中药饮片数字化智能制造基地项目（中药饮片扩产能二期）环境影响报告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&gt;的技术评估意见》（昆环评估意见 经开〔202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号）所述结论，项目建设从环境影响评价角度可行，同意项目按照《环评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》内容、规模、功能以及环保对策措施进行建设。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须作为项目环境保护设计、建设及运行管理的依据，工程建设中必须全面落实各项环保对策及污染防治措施，严格执行污染防治设施和生态保护措施与主体工程同时设计、同时施工、同时投入使用的环境保护“三同时”制度。</w:t>
      </w:r>
      <w:r>
        <w:rPr>
          <w:rFonts w:hint="default" w:ascii="Times New Roman" w:hAnsi="Times New Roman" w:eastAsia="方正仿宋_GB18030" w:cs="Times New Roman"/>
          <w:color w:val="auto"/>
          <w:spacing w:val="0"/>
          <w:kern w:val="2"/>
          <w:sz w:val="32"/>
          <w:szCs w:val="24"/>
          <w:lang w:val="en-US" w:eastAsia="zh-CN" w:bidi="ar-SA"/>
        </w:rPr>
        <w:t>在建设项目实际排污前，应按照《排污许可管理条例》和《固定污染源排污许可分类管理名录》依法申请取得排污许可手续，未取得排污许可手续不得排放污染物。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严格遵守《建设项目环境保护管理条例》（国务院第682号令），建设项目竣工后，建设单位须按照《建设项目竣工环境保护验收暂行办法》（国环规环评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4号）规定的标准和程序，对配套建设的环境保护设施进行竣工验收。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项目运营过程中必须达到以下环保要求：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项目应建设完善的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“雨污分流”排水系统。生产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废水经自建污水处理设施处理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后汇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办公废水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和地面清洁废水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，外排浓度须达到《中药类制药工业水污染排放限值》（DB5301/T 52-2021）表1中三级、《工业企业废水氮、磷污染物间接排放限值》（DB5301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T 49-2021）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表1、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《中药类制药工业水污染物排放标准》（GB21906-2008）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表2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标准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，即：pH值6.5-9.5、COD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cr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≤500mg/L、BOD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≤350mg/L、动植物油≤100mg/L、SS≤400mg/L、氨氮≤25mg/L、总磷（以P计）≤7mg/L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总氮≤45mg/L、色度≤64倍，总有机碳≤25mg/L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急性毒性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氯HgCL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毒性当量）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≤0.07mg/L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市政污水管网最终进入洛龙河水质净化厂处理。项目限设一个规范化的排污口，并设立明显标志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bookmarkStart w:id="1" w:name="_Hlk497817737"/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pacing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项目须采取有效的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污染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防治措施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使外排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废气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达标排放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，并确保各环节生产工艺废气经充分收集后，处理设施达到《报告表》提出的处理能力及效率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不得出现污染扰民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green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传统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中药饮片生产线炒药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炙药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废气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收集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处理后，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须达到《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制药工业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大气污染物排放标准》（GB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37823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发酵尾气及其他制药工艺废气、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《大气污染物综合排放标准》（GB16297-1996）表2二级标准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要求，即：有组织颗粒物排放浓度≤30mg/m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、非甲烷总烃排放浓度≤100mg/m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，二氧化硫排放浓度≤550mg/m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，氮氧化物排放浓度≤240mg/m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排气筒高度和排放速率满足标准要求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；传统中药饮片生产、毒性中药饮片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蒸煮、干燥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环节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产生的异味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排放浓度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须达到《恶臭污染物排放标准》（GB14554-93）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2中标准限值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，即：有组织臭气浓度≤6000（无量纲）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云检中心产生的废气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收集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处理后，须达到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《大气污染物综合排放标准》（GB16297-1996）表2二级标准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即：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有组织非甲烷总烃排放浓度≤120mg/m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，硫酸雾排放浓度≤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45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，氯化氢排放浓度≤100mg/m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，氮氧化物排放浓度≤240mg/m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，甲醇排放浓度≤190mg/m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苯排放浓度≤12mg/m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，甲苯排放浓度≤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40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，排气筒高度和排放速率满足标准要求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质量部质检产生的废气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收集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处理后，须达到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《制药工业大气污染物排放标准》（GB 37823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2019）表1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发酵尾气及其他制药工艺废气、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《大气污染物综合排放标准》（GB16297-1996）表2二级标准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即：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有组织非甲烷总烃排放浓度≤100mg/m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，硫酸雾排放浓度≤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45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，氯化氢排放浓度≤100mg/m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，甲醇排放浓度≤190mg/m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，苯排放浓度≤12mg/m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，甲苯排放浓度≤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40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二甲苯排放浓度≤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70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，排气筒高度和排放速率满足标准要求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燃气锅炉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燃烧外排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废气须达到《锅炉大气污染物排放标准》（GB13271-2014）中表2新建燃气锅炉污染物排放限值要求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即：颗粒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物排放浓度≤20mg/m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，二氧化硫排放浓度≤50mg/m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，氮氧化物排放浓度≤200mg/m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，烟气黑度（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林格曼黑度，级）≤1（级），排气筒高度满足标准要求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鲜食烹调产生的油烟经油烟净化设施处理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须达到《餐饮业油烟污染物排放要求》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DB5301/T 50-2021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表2的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I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型标准，即：油烟最高允许排放浓度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1.0mg/m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，非甲烷总烃排放浓度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≤10.0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mg/m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厂界无组织废气须达到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《大气污染物综合排放标准》（GB16297-1996）表2二级标准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；厂区内</w:t>
      </w:r>
      <w:r>
        <w:rPr>
          <w:rFonts w:hint="default" w:eastAsia="方正仿宋_GBK" w:cs="Times New Roman"/>
          <w:color w:val="auto"/>
          <w:sz w:val="32"/>
          <w:szCs w:val="32"/>
          <w:highlight w:val="none"/>
          <w:lang w:val="zh-CN" w:eastAsia="zh-CN"/>
        </w:rPr>
        <w:t>无组织VOCs排放浓度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zh-CN" w:eastAsia="zh-CN"/>
        </w:rPr>
        <w:t>须达到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zh-CN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制药工业大气污染物排放标准》（GB 37823—2019）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表4、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附录C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要求；厂界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无组织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恶臭污染物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须达到《恶臭污染物排放标准》（GB14554-93）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表1二级标准要求，即：臭气污染物浓度≤20（无量纲），氨浓度≤1.5mg/m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，硫化氢浓度≤0.06mg/m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有组织污染物控制排放总量为：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挥发性有机物（以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非甲烷总烃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0.2137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吨/年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，氮氧化物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1.173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吨/年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项目应合理布置噪声源并采取隔声、降噪及减震等措施，保证厂界噪声达到《工业企业厂界环境噪声排放标准》（GB12348-2008）中的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类标准，即：昼间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dB(A)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夜间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dB(A)，并不得扰民。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</w:t>
      </w:r>
      <w:r>
        <w:rPr>
          <w:rFonts w:hint="eastAsia" w:eastAsia="方正楷体_GBK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项目运营时产生的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实验室废液、实验室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1-2次清洗废水、报废的化学品及化学品废弃容器、废活性炭、废酸性废气吸附剂、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废紫外灯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毒性中药生产固废及有毒药渣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属于危险废物的，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必须分类收集后按照《危险废物贮存污染控制标准》（GB18597-20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）和《危险废物转移联单管理办法》的规定进行收集、贮存和管理，并委托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有资质的单位定期清运、妥善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处置；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生活垃圾、化粪池污泥、污水处理站污泥、废弃原材料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杂质、中药药渣、布袋除尘器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收集的粉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尘、废超滤膜、废离子树脂、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不合格产品、实验一般固废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废弃样品、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破碎玻璃、废包装品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废弃帽子、口罩及手套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、灭活的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废培养基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、鲜食固废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等应分类收集，并交有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资质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的单位集中收集回收利用或委托环卫部门定期清运。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严格落实地下水及土壤污染防治措施、和环境风险应急管理的要求，切实做好环境风险防范。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禁止使用高污染燃料、含磷洗涤用品、一次性不可降解泡沫塑料餐饮具和不可自然降解塑料袋。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昆明市建设工程文明施工管理办法》（昆明市人民政府令第84号）和《〈昆明市城市建筑垃圾管理实施办法〉实施细则》（昆政办〔2011〕88号）的相关规定加强施工期环境管理，合理安排施工时间，做到文明施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采取科学有效的污染防治措施，确保各项污染物达标排放，并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防止扬尘污染和噪声扰民。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排污单位应当按照排污许可证规定、有关标准规范及《报告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》监测计划，依法定期开展废水、废气、噪声等污染物的监测。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建设项目的性质、规模、地点、采用的生产工艺或者防治污染、防治生态破坏的措施发生重大变动的，应当重新报批建设项目的环境影响评价文件。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自本批复之日起超过五年，方决定该项目开工建设的，环境影响评价文件应当报我局重新审核。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项目建设及运营期间，请昆明经济技术开发区环境监察执法大队做好监督管理工作。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七、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依法到其他部门办理相关手续。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82" w:afterLines="90" w:line="520" w:lineRule="exact"/>
        <w:ind w:right="0" w:rightChars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4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ind w:left="-315" w:leftChars="-150" w:right="231" w:rightChars="110" w:firstLine="28" w:firstLineChars="9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抄送：昆明经济技术开发区环境监察执法大队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315" w:leftChars="-150" w:right="231" w:rightChars="110"/>
        <w:jc w:val="distribute"/>
        <w:textAlignment w:val="auto"/>
      </w:pPr>
      <w:r>
        <w:rPr>
          <w:rFonts w:hint="default" w:ascii="Times New Roman" w:hAnsi="Times New Roman" w:eastAsia="方正仿宋_GBK" w:cs="Times New Roman"/>
          <w:sz w:val="32"/>
          <w:u w:val="single"/>
          <w:lang w:eastAsia="zh-CN"/>
        </w:rPr>
        <w:t>昆明市生态环境局经开分局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</w:t>
      </w:r>
      <w:bookmarkStart w:id="2" w:name="_Hlk11080785"/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32"/>
          <w:u w:val="singl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月</w:t>
      </w:r>
      <w:r>
        <w:rPr>
          <w:rFonts w:hint="eastAsia" w:eastAsia="方正仿宋_GBK" w:cs="Times New Roman"/>
          <w:sz w:val="32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日</w:t>
      </w:r>
      <w:bookmarkEnd w:id="2"/>
      <w:r>
        <w:rPr>
          <w:rFonts w:hint="default" w:ascii="Times New Roman" w:hAnsi="Times New Roman" w:eastAsia="方正仿宋_GBK" w:cs="Times New Roman"/>
          <w:sz w:val="32"/>
          <w:u w:val="single"/>
        </w:rPr>
        <w:t>印发</w:t>
      </w:r>
    </w:p>
    <w:sectPr>
      <w:footerReference r:id="rId3" w:type="default"/>
      <w:pgSz w:w="11906" w:h="16838"/>
      <w:pgMar w:top="1984" w:right="1417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12AE1"/>
    <w:rsid w:val="01541FBE"/>
    <w:rsid w:val="018E75D6"/>
    <w:rsid w:val="07B64236"/>
    <w:rsid w:val="089F41B4"/>
    <w:rsid w:val="0E7C43F9"/>
    <w:rsid w:val="0F200EDF"/>
    <w:rsid w:val="0FBC45E1"/>
    <w:rsid w:val="106F4084"/>
    <w:rsid w:val="108465A8"/>
    <w:rsid w:val="10F442DE"/>
    <w:rsid w:val="130A724C"/>
    <w:rsid w:val="161E2FD6"/>
    <w:rsid w:val="17363AA3"/>
    <w:rsid w:val="180C6085"/>
    <w:rsid w:val="191775ED"/>
    <w:rsid w:val="1A81100C"/>
    <w:rsid w:val="1B884CB7"/>
    <w:rsid w:val="1BDF0F49"/>
    <w:rsid w:val="1D6F55A4"/>
    <w:rsid w:val="1DDC0E05"/>
    <w:rsid w:val="1E4A0464"/>
    <w:rsid w:val="1EF614DB"/>
    <w:rsid w:val="20112F2C"/>
    <w:rsid w:val="219707AA"/>
    <w:rsid w:val="240308A3"/>
    <w:rsid w:val="24832476"/>
    <w:rsid w:val="25780405"/>
    <w:rsid w:val="25C81489"/>
    <w:rsid w:val="27DA63B5"/>
    <w:rsid w:val="2F0E473E"/>
    <w:rsid w:val="33C323F3"/>
    <w:rsid w:val="34CC5FFC"/>
    <w:rsid w:val="36414B11"/>
    <w:rsid w:val="38D160C4"/>
    <w:rsid w:val="38EA4A6F"/>
    <w:rsid w:val="396024B0"/>
    <w:rsid w:val="3BD10C2F"/>
    <w:rsid w:val="43087A08"/>
    <w:rsid w:val="463830C3"/>
    <w:rsid w:val="47783A4F"/>
    <w:rsid w:val="49E4194A"/>
    <w:rsid w:val="4D3651B9"/>
    <w:rsid w:val="4D386F9E"/>
    <w:rsid w:val="4EB54731"/>
    <w:rsid w:val="4ECB68D5"/>
    <w:rsid w:val="4EDC0D6D"/>
    <w:rsid w:val="504F7091"/>
    <w:rsid w:val="51235908"/>
    <w:rsid w:val="520C4428"/>
    <w:rsid w:val="54BF0519"/>
    <w:rsid w:val="56356D29"/>
    <w:rsid w:val="58FB7589"/>
    <w:rsid w:val="596D705C"/>
    <w:rsid w:val="5A780BE7"/>
    <w:rsid w:val="5A97282E"/>
    <w:rsid w:val="5AF041C1"/>
    <w:rsid w:val="5B1B5005"/>
    <w:rsid w:val="5C836B56"/>
    <w:rsid w:val="5CBF0F39"/>
    <w:rsid w:val="5EFE39E7"/>
    <w:rsid w:val="62456CC6"/>
    <w:rsid w:val="62CC2423"/>
    <w:rsid w:val="64326656"/>
    <w:rsid w:val="648669A1"/>
    <w:rsid w:val="68837DA9"/>
    <w:rsid w:val="69FA2AEA"/>
    <w:rsid w:val="6A2A10BB"/>
    <w:rsid w:val="6AD76C55"/>
    <w:rsid w:val="6C4819A0"/>
    <w:rsid w:val="6F372A02"/>
    <w:rsid w:val="71152CAD"/>
    <w:rsid w:val="721553B9"/>
    <w:rsid w:val="734D0939"/>
    <w:rsid w:val="73B72566"/>
    <w:rsid w:val="73BC418E"/>
    <w:rsid w:val="74512AE1"/>
    <w:rsid w:val="750C1C31"/>
    <w:rsid w:val="77B77146"/>
    <w:rsid w:val="786A251A"/>
    <w:rsid w:val="7B035A61"/>
    <w:rsid w:val="7C704411"/>
    <w:rsid w:val="7D9B661F"/>
    <w:rsid w:val="7E0A7F58"/>
    <w:rsid w:val="7E1110D6"/>
    <w:rsid w:val="7E70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四号 段前: 0 磅 段后: 0 磅 行距: 1.5 倍行距"/>
    <w:basedOn w:val="3"/>
    <w:next w:val="4"/>
    <w:qFormat/>
    <w:uiPriority w:val="0"/>
    <w:pPr>
      <w:adjustRightInd/>
      <w:spacing w:before="340" w:beforeLines="0" w:after="330" w:afterLines="0" w:line="360" w:lineRule="auto"/>
      <w:jc w:val="center"/>
      <w:textAlignment w:val="auto"/>
    </w:pPr>
    <w:rPr>
      <w:rFonts w:ascii="Calibri" w:hAnsi="黑体" w:eastAsia="宋体" w:cs="Times New Roman"/>
      <w:b/>
      <w:sz w:val="21"/>
      <w:szCs w:val="24"/>
      <w:lang w:val="en-US" w:eastAsia="zh-CN"/>
    </w:rPr>
  </w:style>
  <w:style w:type="paragraph" w:customStyle="1" w:styleId="3">
    <w:name w:val="1正文"/>
    <w:basedOn w:val="1"/>
    <w:qFormat/>
    <w:uiPriority w:val="0"/>
    <w:pPr>
      <w:spacing w:line="500" w:lineRule="exact"/>
      <w:ind w:firstLine="588" w:firstLineChars="196"/>
    </w:pPr>
    <w:rPr>
      <w:rFonts w:eastAsia="楷体_GB2312"/>
      <w:sz w:val="30"/>
      <w:szCs w:val="30"/>
    </w:rPr>
  </w:style>
  <w:style w:type="paragraph" w:customStyle="1" w:styleId="4">
    <w:name w:val="文本正文"/>
    <w:basedOn w:val="1"/>
    <w:qFormat/>
    <w:uiPriority w:val="0"/>
    <w:pPr>
      <w:snapToGrid w:val="0"/>
      <w:spacing w:line="360" w:lineRule="auto"/>
      <w:ind w:firstLine="510"/>
      <w:jc w:val="left"/>
    </w:pPr>
    <w:rPr>
      <w:spacing w:val="4"/>
      <w:kern w:val="24"/>
      <w:szCs w:val="24"/>
      <w:lang w:val="zh-CN"/>
    </w:rPr>
  </w:style>
  <w:style w:type="paragraph" w:styleId="5">
    <w:name w:val="Normal Indent"/>
    <w:basedOn w:val="1"/>
    <w:qFormat/>
    <w:uiPriority w:val="0"/>
    <w:pPr>
      <w:spacing w:line="300" w:lineRule="auto"/>
      <w:ind w:firstLine="200" w:firstLineChars="200"/>
      <w:jc w:val="left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2024-12-04T07:23:00Z</dcterms:created>
  <dc:creator>风山木子</dc:creator>
  <cp:lastModifiedBy>风山木子</cp:lastModifiedBy>
  <cp:lastPrinted>2024-12-09T02:38:00Z</cp:lastPrinted>
  <dcterms:modified xsi:type="dcterms:W3CDTF">2024-12-19T07:21:07Z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7917D1A8C3764A3A9BAC3F01247B35CB</vt:lpwstr>
  </property>
</Properties>
</file>