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47930">
      <w:pPr>
        <w:pStyle w:val="2"/>
        <w:keepNext w:val="0"/>
        <w:keepLines w:val="0"/>
        <w:widowControl/>
        <w:suppressLineNumbers w:val="0"/>
        <w:spacing w:before="800" w:beforeAutospacing="0" w:after="400" w:afterAutospacing="0" w:line="1000" w:lineRule="atLeast"/>
        <w:ind w:left="0" w:right="0"/>
        <w:jc w:val="both"/>
        <w:rPr>
          <w:color w:val="1A5BA9"/>
          <w:sz w:val="60"/>
          <w:szCs w:val="60"/>
        </w:rPr>
      </w:pPr>
      <w:r>
        <w:rPr>
          <w:i w:val="0"/>
          <w:iCs w:val="0"/>
          <w:caps w:val="0"/>
          <w:color w:val="1A5BA9"/>
          <w:spacing w:val="0"/>
          <w:sz w:val="60"/>
          <w:szCs w:val="60"/>
          <w:u w:val="none"/>
        </w:rPr>
        <w:t>财政部 税务总局关于延</w:t>
      </w:r>
      <w:bookmarkStart w:id="0" w:name="_GoBack"/>
      <w:bookmarkEnd w:id="0"/>
      <w:r>
        <w:rPr>
          <w:i w:val="0"/>
          <w:iCs w:val="0"/>
          <w:caps w:val="0"/>
          <w:color w:val="1A5BA9"/>
          <w:spacing w:val="0"/>
          <w:sz w:val="60"/>
          <w:szCs w:val="60"/>
          <w:u w:val="none"/>
        </w:rPr>
        <w:t>续实施全国中小企业股份转让系统挂牌公司股息红利差别化个人所得税政策的公告</w:t>
      </w:r>
    </w:p>
    <w:p w14:paraId="6ECE6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sz w:val="30"/>
          <w:szCs w:val="30"/>
          <w:u w:val="none"/>
          <w:bdr w:val="none" w:color="auto" w:sz="0" w:space="0"/>
          <w:shd w:val="clear" w:fill="FFFFFF"/>
        </w:rPr>
        <w:t>财政部 税务总局公告2024年第8号</w:t>
      </w:r>
    </w:p>
    <w:p w14:paraId="50CE5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hint="default" w:ascii="楷体_GB2312" w:hAnsi="Helvetica Neue" w:eastAsia="楷体_GB2312" w:cs="楷体_GB2312"/>
          <w:b w:val="0"/>
          <w:bCs w:val="0"/>
          <w:i w:val="0"/>
          <w:iCs w:val="0"/>
          <w:caps w:val="0"/>
          <w:color w:val="212529"/>
          <w:spacing w:val="0"/>
          <w:sz w:val="30"/>
          <w:szCs w:val="30"/>
          <w:u w:val="none"/>
          <w:bdr w:val="none" w:color="auto" w:sz="0" w:space="0"/>
          <w:shd w:val="clear" w:fill="FFFFFF"/>
        </w:rPr>
        <w:t> </w:t>
      </w:r>
    </w:p>
    <w:p w14:paraId="7A874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ascii="仿宋_GB2312" w:hAnsi="Helvetica Neue" w:eastAsia="仿宋_GB2312" w:cs="仿宋_GB2312"/>
          <w:b w:val="0"/>
          <w:bCs w:val="0"/>
          <w:i w:val="0"/>
          <w:iCs w:val="0"/>
          <w:caps w:val="0"/>
          <w:color w:val="212529"/>
          <w:spacing w:val="0"/>
          <w:sz w:val="30"/>
          <w:szCs w:val="30"/>
          <w:u w:val="none"/>
          <w:bdr w:val="none" w:color="auto" w:sz="0" w:space="0"/>
          <w:shd w:val="clear" w:fill="FFFFFF"/>
        </w:rPr>
        <w:t>为促进资本市场平稳健康发展，支持中小微企业成长，现就继续实施全国中小企业股份转让系统挂牌公司（以下简称挂牌公司）股息红利差别化个人所得税政策公告如下：</w:t>
      </w:r>
    </w:p>
    <w:p w14:paraId="44A2D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一、个人持有挂牌公司的股票，持股期限超过1年的，对股息红利所得暂免征收个人所得税。</w:t>
      </w:r>
    </w:p>
    <w:p w14:paraId="486FE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w:t>
      </w:r>
    </w:p>
    <w:p w14:paraId="3483A9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本公告所称挂牌公司是指股票在全国中小企业股份转让系统公开转让的非上市公众公司；持股期限是指个人取得挂牌公司股票之日至转让交割该股票之日前一日的持有时间。</w:t>
      </w:r>
    </w:p>
    <w:p w14:paraId="6B216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二、挂牌公司派发股息红利时，对截至股权登记日个人持股1年以内（含1年）且尚未转让的，挂牌公司暂不扣缴个人所得税；待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并应办理全员全额扣缴申报。</w:t>
      </w:r>
    </w:p>
    <w:p w14:paraId="11575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个人应在资金账户留足资金，依法履行纳税义务。证券公司等股票托管机构应依法划扣税款，对个人资金账户暂无资金或资金不足的，证券公司等股票托管机构应当及时通知个人补足资金，并划扣税款。</w:t>
      </w:r>
    </w:p>
    <w:p w14:paraId="70C6F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三、个人转让股票时，按照先进先出的原则计算持股期限，即证券账户中先取得的股票视为先转让。</w:t>
      </w:r>
    </w:p>
    <w:p w14:paraId="7F433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应纳税所得额以个人投资者证券账户为单位计算，持股数量以每日日终结算后个人投资者证券账户的持有记录为准，证券账户取得或转让的股票数为每日日终结算后的净增（减）股票数。</w:t>
      </w:r>
    </w:p>
    <w:p w14:paraId="1AD5B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四、对证券投资基金从挂牌公司取得的股息红利所得，按照本公告规定计征个人所得税。</w:t>
      </w:r>
    </w:p>
    <w:p w14:paraId="3D4B0E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五、本公告所称个人持有挂牌公司的股票包括：</w:t>
      </w:r>
    </w:p>
    <w:p w14:paraId="51A56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（一）在全国中小企业股份转让系统挂牌前取得的股票；</w:t>
      </w:r>
    </w:p>
    <w:p w14:paraId="6DC7D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（二）通过全国中小企业股份转让系统转让取得的股票；</w:t>
      </w:r>
    </w:p>
    <w:p w14:paraId="0EBCE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（三）因司法扣划取得的股票；</w:t>
      </w:r>
    </w:p>
    <w:p w14:paraId="3CBED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（四）因依法继承或家庭财产分割取得的股票；</w:t>
      </w:r>
    </w:p>
    <w:p w14:paraId="31801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（五）通过收购取得的股票；</w:t>
      </w:r>
    </w:p>
    <w:p w14:paraId="68DC5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（六）权证行权取得的股票；</w:t>
      </w:r>
    </w:p>
    <w:p w14:paraId="6FC85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（七）使用附认股权、可转换成股份条款的公司债券认购或者转换的股票；</w:t>
      </w:r>
    </w:p>
    <w:p w14:paraId="5CEB1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（八）取得发行的股票、配股、股票股利及公积金转增股本；</w:t>
      </w:r>
    </w:p>
    <w:p w14:paraId="55943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（九）挂牌公司合并，个人持有的被合并公司股票转换的合并后公司股票；</w:t>
      </w:r>
    </w:p>
    <w:p w14:paraId="0CB9E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（十）挂牌公司分立，个人持有的被分立公司股票转换的分立后公司股票；</w:t>
      </w:r>
    </w:p>
    <w:p w14:paraId="0866D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（十一）其他从全国中小企业股份转让系统取得的股票。</w:t>
      </w:r>
    </w:p>
    <w:p w14:paraId="2610C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六、本公告所称转让股票包括下列情形：</w:t>
      </w:r>
    </w:p>
    <w:p w14:paraId="73E44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（一）通过全国中小企业股份转让系统转让股票；</w:t>
      </w:r>
    </w:p>
    <w:p w14:paraId="3C6C5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（二）持有的股票被司法扣划；</w:t>
      </w:r>
    </w:p>
    <w:p w14:paraId="0FE19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（三）因依法继承、捐赠或家庭财产分割让渡股票所有权；</w:t>
      </w:r>
    </w:p>
    <w:p w14:paraId="47A48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（四）用股票接受要约收购；</w:t>
      </w:r>
    </w:p>
    <w:p w14:paraId="569B1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（五）行使现金选择权将股票转让给提供现金选择权的第三方；</w:t>
      </w:r>
    </w:p>
    <w:p w14:paraId="660D83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（六）用股票认购或申购交易型开放式指数基金（ETF）份额；</w:t>
      </w:r>
    </w:p>
    <w:p w14:paraId="37D23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（七）其他具有转让实质的情形。</w:t>
      </w:r>
    </w:p>
    <w:p w14:paraId="7C13E1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七、对个人和证券投资基金从全国中小企业股份转让系统挂牌的原STAQ、NET系统挂牌公司（以下统称两网公司）以及全国中小企业股份转让系统挂牌的退市公司取得的股息红利所得，按照本公告规定计征个人所得税，但退市公司的限售股按照《财政部 国家税务总局 证监会关于实施上市公司股息红利差别化个人所得税政策有关问题的通知》（财税〔2012〕85号）第四条规定执行。</w:t>
      </w:r>
    </w:p>
    <w:p w14:paraId="08CBB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八、本公告所称年（月）是指自然年（月），即持股一年是指从上一年某月某日至本年同月同日的前一日连续持股，持股一个月是指从上月某日至本月同日的前一日连续持股。</w:t>
      </w:r>
    </w:p>
    <w:p w14:paraId="71228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九、财政、税务、证监等部门要加强协调、通力合作，切实做好政策实施的各项工作。</w:t>
      </w:r>
    </w:p>
    <w:p w14:paraId="40AC6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挂牌公司、两网公司、退市公司，证券登记结算公司以及证券公司等股票托管机构应积极配合税务机关做好股息红利个人所得税征收管理工作。</w:t>
      </w:r>
    </w:p>
    <w:p w14:paraId="0CD88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十、本公告自2024年7月1日起至2027年12月31日执行，挂牌公司、两网公司、退市公司派发股息红利，股权登记日在2024年7月1日起至2027年12月31日的，股息红利所得按照本公告的规定执行。本公告实施之日个人投资者证券账户已持有的挂牌公司、两网公司、退市公司股票，其持股时间自取得之日起计算。</w:t>
      </w:r>
    </w:p>
    <w:p w14:paraId="65A80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特此公告。</w:t>
      </w:r>
    </w:p>
    <w:p w14:paraId="4D6F0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 </w:t>
      </w:r>
    </w:p>
    <w:p w14:paraId="6E08F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 </w:t>
      </w:r>
    </w:p>
    <w:p w14:paraId="1A090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 </w:t>
      </w:r>
    </w:p>
    <w:p w14:paraId="138EF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righ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财政部 税务总局</w:t>
      </w:r>
    </w:p>
    <w:p w14:paraId="7E05D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right"/>
      </w:pPr>
      <w:r>
        <w:rPr>
          <w:rFonts w:hint="default" w:ascii="仿宋_GB2312" w:hAnsi="Helvetica Neue" w:eastAsia="仿宋_GB2312" w:cs="仿宋_GB2312"/>
          <w:b w:val="0"/>
          <w:bCs w:val="0"/>
          <w:i w:val="0"/>
          <w:iCs w:val="0"/>
          <w:caps w:val="0"/>
          <w:color w:val="212529"/>
          <w:spacing w:val="0"/>
          <w:sz w:val="30"/>
          <w:szCs w:val="30"/>
          <w:u w:val="none"/>
          <w:bdr w:val="none" w:color="auto" w:sz="0" w:space="0"/>
          <w:shd w:val="clear" w:fill="FFFFFF"/>
        </w:rPr>
        <w:t>2024年6月28日</w:t>
      </w:r>
    </w:p>
    <w:p w14:paraId="618F6BEA">
      <w:pPr>
        <w:keepNext w:val="0"/>
        <w:keepLines w:val="0"/>
        <w:widowControl/>
        <w:suppressLineNumbers w:val="0"/>
        <w:jc w:val="left"/>
      </w:pPr>
    </w:p>
    <w:p w14:paraId="65123638">
      <w:pPr>
        <w:tabs>
          <w:tab w:val="left" w:pos="4707"/>
        </w:tabs>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7BDFBAA2"/>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2024-10-29T18:50:00Z</dcterms:created>
  <dc:creator>逗比并排北边跑</dc:creator>
  <cp:lastModifiedBy>逗比并排北边跑</cp:lastModifiedBy>
  <dcterms:modified xsi:type="dcterms:W3CDTF">2025-03-20T10:08:09Z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