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FE8D1">
      <w:pPr>
        <w:pStyle w:val="2"/>
        <w:keepNext w:val="0"/>
        <w:keepLines w:val="0"/>
        <w:widowControl/>
        <w:suppressLineNumbers w:val="0"/>
        <w:spacing w:before="800" w:beforeAutospacing="0" w:after="400" w:afterAutospacing="0" w:line="1000" w:lineRule="atLeast"/>
        <w:ind w:left="0" w:right="0"/>
        <w:jc w:val="center"/>
        <w:rPr>
          <w:color w:val="1A5BA9"/>
          <w:sz w:val="60"/>
          <w:szCs w:val="60"/>
        </w:rPr>
      </w:pPr>
      <w:bookmarkStart w:id="0" w:name="_GoBack"/>
      <w:r>
        <w:rPr>
          <w:i w:val="0"/>
          <w:iCs w:val="0"/>
          <w:caps w:val="0"/>
          <w:color w:val="1A5BA9"/>
          <w:spacing w:val="0"/>
          <w:sz w:val="60"/>
          <w:szCs w:val="60"/>
          <w:u w:val="none"/>
        </w:rPr>
        <w:t>财政部 税务总局关于企业改制重组及事业单位改制有关印花税政策的公告</w:t>
      </w:r>
    </w:p>
    <w:bookmarkEnd w:id="0"/>
    <w:p w14:paraId="7B9CF8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00" w:beforeAutospacing="0" w:after="0" w:afterAutospacing="1"/>
        <w:ind w:left="0" w:right="0"/>
        <w:jc w:val="center"/>
      </w:pPr>
      <w:r>
        <w:rPr>
          <w:rFonts w:ascii="楷体_GB2312" w:hAnsi="Helvetica Neue" w:eastAsia="楷体_GB2312" w:cs="楷体_GB2312"/>
          <w:b w:val="0"/>
          <w:bCs w:val="0"/>
          <w:i w:val="0"/>
          <w:iCs w:val="0"/>
          <w:caps w:val="0"/>
          <w:color w:val="212529"/>
          <w:spacing w:val="0"/>
          <w:kern w:val="0"/>
          <w:sz w:val="30"/>
          <w:szCs w:val="30"/>
          <w:u w:val="none"/>
          <w:bdr w:val="none" w:color="auto" w:sz="0" w:space="0"/>
          <w:shd w:val="clear" w:fill="FFFFFF"/>
          <w:lang w:val="en-US" w:eastAsia="zh-CN" w:bidi="ar"/>
        </w:rPr>
        <w:t>财政部 税务总局公告2024年第14号</w:t>
      </w:r>
    </w:p>
    <w:p w14:paraId="1D9512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00" w:beforeAutospacing="0" w:after="0" w:afterAutospacing="1"/>
        <w:ind w:left="0" w:right="0"/>
        <w:jc w:val="center"/>
      </w:pPr>
      <w:r>
        <w:rPr>
          <w:rFonts w:hint="eastAsia" w:ascii="宋体" w:hAnsi="宋体" w:eastAsia="宋体" w:cs="宋体"/>
          <w:b w:val="0"/>
          <w:bCs w:val="0"/>
          <w:i w:val="0"/>
          <w:iCs w:val="0"/>
          <w:caps w:val="0"/>
          <w:color w:val="212529"/>
          <w:spacing w:val="0"/>
          <w:kern w:val="0"/>
          <w:sz w:val="24"/>
          <w:szCs w:val="24"/>
          <w:u w:val="none"/>
          <w:bdr w:val="none" w:color="auto" w:sz="0" w:space="0"/>
          <w:shd w:val="clear" w:fill="FFFFFF"/>
          <w:lang w:val="en-US" w:eastAsia="zh-CN" w:bidi="ar"/>
        </w:rPr>
        <w:t> </w:t>
      </w:r>
    </w:p>
    <w:p w14:paraId="633AF7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00" w:beforeAutospacing="0" w:after="0" w:afterAutospacing="1"/>
        <w:ind w:left="0" w:right="0" w:firstLine="600"/>
        <w:jc w:val="both"/>
      </w:pPr>
      <w:r>
        <w:rPr>
          <w:rFonts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为支持企业改制重组及事业单位改制，进一步激发各类经营主体内生动力和创新活力，促进经济社会高质量发展，现就有关印花税政策公告如下：</w:t>
      </w:r>
    </w:p>
    <w:p w14:paraId="6AB8E2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00" w:beforeAutospacing="0" w:after="0" w:afterAutospacing="1"/>
        <w:ind w:left="0" w:right="0" w:firstLine="6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一、关于营业账簿的印花税</w:t>
      </w:r>
    </w:p>
    <w:p w14:paraId="5B1DF7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00" w:beforeAutospacing="0" w:after="0" w:afterAutospacing="1"/>
        <w:ind w:left="0" w:right="0" w:firstLine="6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一）企业改制重组以及事业单位改制过程中成立的新企业，其新启用营业账簿记载的实收资本（股本）、资本公积合计金额，原已缴纳印花税的部分不再缴纳印花税，未缴纳印花税的部分和以后新增加的部分应当按规定缴纳印花税。</w:t>
      </w:r>
    </w:p>
    <w:p w14:paraId="3CF431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00" w:beforeAutospacing="0" w:after="0" w:afterAutospacing="1"/>
        <w:ind w:left="0" w:right="0" w:firstLine="6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二）企业债权转股权新增加的实收资本（股本）、资本公积合计金额，应当按规定缴纳印花税。对经国务院批准实施的重组项目中发生的债权转股权，债务人因债务转为资本而增加的实收资本（股本）、资本公积合计金额，免征印花税。</w:t>
      </w:r>
    </w:p>
    <w:p w14:paraId="6E3436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00" w:beforeAutospacing="0" w:after="0" w:afterAutospacing="1"/>
        <w:ind w:left="0" w:right="0" w:firstLine="6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（三）企业改制重组以及事业单位改制过程中，经评估增加的实收资本（股本）、资本公积合计金额，应当按规定缴纳印花税。</w:t>
      </w:r>
    </w:p>
    <w:p w14:paraId="643E08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00" w:beforeAutospacing="0" w:after="0" w:afterAutospacing="1"/>
        <w:ind w:left="0" w:right="0" w:firstLine="6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（四）企业其他会计科目记载的资金转为实收资本（股本）或者资本公积的，应当按规定缴纳印花税。</w:t>
      </w:r>
    </w:p>
    <w:p w14:paraId="3CD490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00" w:beforeAutospacing="0" w:after="0" w:afterAutospacing="1"/>
        <w:ind w:left="0" w:right="0" w:firstLine="6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二、关于各类应税合同的印花税</w:t>
      </w:r>
    </w:p>
    <w:p w14:paraId="706584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00" w:beforeAutospacing="0" w:after="0" w:afterAutospacing="1"/>
        <w:ind w:left="0" w:right="0" w:firstLine="6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企业改制重组以及事业单位改制前书立但尚未履行完毕的各类应税合同，由改制重组后的主体承继原合同权利和义务且未变更原合同计税依据的，改制重组前已缴纳印花税的，不再缴纳印花税。</w:t>
      </w:r>
    </w:p>
    <w:p w14:paraId="26E9E5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00" w:beforeAutospacing="0" w:after="0" w:afterAutospacing="1"/>
        <w:ind w:left="0" w:right="0" w:firstLine="6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三、关于产权转移书据的印花税</w:t>
      </w:r>
    </w:p>
    <w:p w14:paraId="09C48E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00" w:beforeAutospacing="0" w:after="0" w:afterAutospacing="1"/>
        <w:ind w:left="0" w:right="0" w:firstLine="6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对企业改制、合并、分立、破产清算以及事业单位改制书立的产权转移书据，免征印花税。</w:t>
      </w:r>
    </w:p>
    <w:p w14:paraId="608C32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00" w:beforeAutospacing="0" w:after="0" w:afterAutospacing="1"/>
        <w:ind w:left="0" w:right="0" w:firstLine="6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对县级以上人民政府或者其所属具有国有资产管理职责的部门按规定对土地使用权、房屋等建筑物和构筑物所有权、股权进行行政性调整书立的产权转移书据，免征印花税。</w:t>
      </w:r>
    </w:p>
    <w:p w14:paraId="0B6BC6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00" w:beforeAutospacing="0" w:after="0" w:afterAutospacing="1"/>
        <w:ind w:left="0" w:right="0" w:firstLine="6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对同一投资主体内部划转土地使用权、房屋等建筑物和构筑物所有权、股权书立的产权转移书据，免征印花税。</w:t>
      </w:r>
    </w:p>
    <w:p w14:paraId="746066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00" w:beforeAutospacing="0" w:after="0" w:afterAutospacing="1"/>
        <w:ind w:left="0" w:right="0" w:firstLine="6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四、关于政策适用的范围</w:t>
      </w:r>
    </w:p>
    <w:p w14:paraId="3E4F98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00" w:beforeAutospacing="0" w:after="0" w:afterAutospacing="1"/>
        <w:ind w:left="0" w:right="0" w:firstLine="6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一）本公告所称企业改制，具体包括非公司制企业改制为有限责任公司或者股份有限公司，有限责任公司变更为股份有限公司，股份有限公司变更为有限责任公司。同时，原企业投资主体存续并在改制（变更）后的公司中所持股权（股份）比例超过75%，且改制（变更）后公司承继原企业权利、义务。</w:t>
      </w:r>
    </w:p>
    <w:p w14:paraId="7B2FAB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00" w:beforeAutospacing="0" w:after="0" w:afterAutospacing="1"/>
        <w:ind w:left="0" w:right="0" w:firstLine="6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（二）本公告所称企业重组，包括合并、分立、其他资产或股权出资和划转、债务重组等。</w:t>
      </w:r>
    </w:p>
    <w:p w14:paraId="37294A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00" w:beforeAutospacing="0" w:after="0" w:afterAutospacing="1"/>
        <w:ind w:left="0" w:right="0" w:firstLine="6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合并，是指两个或两个以上的公司，依照法律规定、合同约定，合并为一个公司，且原投资主体存续。母公司与其全资子公司相互吸收合并的，适用该款规定。</w:t>
      </w:r>
    </w:p>
    <w:p w14:paraId="504251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00" w:beforeAutospacing="0" w:after="0" w:afterAutospacing="1"/>
        <w:ind w:left="0" w:right="0" w:firstLine="6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分立，是指公司依照法律规定、合同约定分立为两个或两个以上与原公司投资主体相同的公司。</w:t>
      </w:r>
    </w:p>
    <w:p w14:paraId="6BFD83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00" w:beforeAutospacing="0" w:after="0" w:afterAutospacing="1"/>
        <w:ind w:left="0" w:right="0" w:firstLine="6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（三）本公告所称投资主体存续，是指原改制、重组企业出资人必须存在于改制、重组后的企业，出资人的出资比例可以发生变动。</w:t>
      </w:r>
    </w:p>
    <w:p w14:paraId="2B8835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00" w:beforeAutospacing="0" w:after="0" w:afterAutospacing="1"/>
        <w:ind w:left="0" w:right="0" w:firstLine="6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本公告所称投资主体相同，是指公司分立前后出资人不发生变动，出资人的出资比例可以发生变动。</w:t>
      </w:r>
    </w:p>
    <w:p w14:paraId="494578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00" w:beforeAutospacing="0" w:after="0" w:afterAutospacing="1"/>
        <w:ind w:left="0" w:right="0" w:firstLine="6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（四）本公告所称事业单位改制，是指事业单位按照国家有关规定改制为企业，原出资人（包括履行国有资产出资人职责的单位）存续并在改制后的企业中出资（股权、股份）比例超过50%。</w:t>
      </w:r>
    </w:p>
    <w:p w14:paraId="1B7B1D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00" w:beforeAutospacing="0" w:after="0" w:afterAutospacing="1"/>
        <w:ind w:left="0" w:right="0" w:firstLine="6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（五）本公告所称同一投资主体内部，包括母公司与其全资子公司之间，同一公司所属全资子公司之间，同一自然人与其设立的个人独资企业、一人有限公司、个体工商户之间。</w:t>
      </w:r>
    </w:p>
    <w:p w14:paraId="263DB9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00" w:beforeAutospacing="0" w:after="0" w:afterAutospacing="1"/>
        <w:ind w:left="0" w:right="0" w:firstLine="6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（六）本公告所称企业、公司，是指依照我国有关法律法规设立并在中国境内注册的企业、公司。</w:t>
      </w:r>
    </w:p>
    <w:p w14:paraId="4B8A1D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00" w:beforeAutospacing="0" w:after="0" w:afterAutospacing="1"/>
        <w:ind w:left="0" w:right="0" w:firstLine="6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本公告自2024年10月1日起执行至2027年12月31日。《财政部 国家税务总局关于企业改制过程中有关印花税政策的通知》（财税〔2003〕183号）同时废止。</w:t>
      </w:r>
    </w:p>
    <w:p w14:paraId="44B148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00" w:beforeAutospacing="0" w:after="0" w:afterAutospacing="1"/>
        <w:ind w:left="0" w:right="0" w:firstLine="6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特此公告。</w:t>
      </w:r>
    </w:p>
    <w:p w14:paraId="0911FE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00" w:beforeAutospacing="0" w:after="0" w:afterAutospacing="1"/>
        <w:ind w:left="0" w:right="0" w:firstLine="6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 </w:t>
      </w:r>
    </w:p>
    <w:p w14:paraId="7C82F5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00" w:beforeAutospacing="0" w:after="0" w:afterAutospacing="1"/>
        <w:ind w:left="0" w:right="0" w:firstLine="6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 </w:t>
      </w:r>
    </w:p>
    <w:p w14:paraId="6216FB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00" w:beforeAutospacing="0" w:after="0" w:afterAutospacing="1"/>
        <w:ind w:left="0" w:right="0" w:firstLine="600"/>
        <w:jc w:val="both"/>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 </w:t>
      </w:r>
    </w:p>
    <w:p w14:paraId="3816F7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00" w:beforeAutospacing="0" w:after="0" w:afterAutospacing="1"/>
        <w:ind w:left="0" w:right="0"/>
        <w:jc w:val="right"/>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财政部 税务总局</w:t>
      </w:r>
    </w:p>
    <w:p w14:paraId="1AE72E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0" w:beforeAutospacing="0" w:after="0" w:afterAutospacing="1"/>
        <w:ind w:left="0" w:right="0" w:firstLine="0"/>
        <w:jc w:val="right"/>
      </w:pPr>
      <w:r>
        <w:rPr>
          <w:rFonts w:hint="default" w:ascii="仿宋_GB2312" w:hAnsi="Helvetica Neue" w:eastAsia="仿宋_GB2312" w:cs="仿宋_GB2312"/>
          <w:b w:val="0"/>
          <w:bCs w:val="0"/>
          <w:i w:val="0"/>
          <w:iCs w:val="0"/>
          <w:caps w:val="0"/>
          <w:color w:val="212529"/>
          <w:spacing w:val="0"/>
          <w:kern w:val="0"/>
          <w:sz w:val="30"/>
          <w:szCs w:val="30"/>
          <w:u w:val="none"/>
          <w:bdr w:val="none" w:color="auto" w:sz="0" w:space="0"/>
          <w:shd w:val="clear" w:fill="FFFFFF"/>
          <w:lang w:val="en-US" w:eastAsia="zh-CN" w:bidi="ar"/>
        </w:rPr>
        <w:t>2024年8月27日</w:t>
      </w:r>
    </w:p>
    <w:p w14:paraId="0A60FA9F">
      <w:pPr>
        <w:keepNext w:val="0"/>
        <w:keepLines w:val="0"/>
        <w:widowControl/>
        <w:suppressLineNumbers w:val="0"/>
        <w:jc w:val="left"/>
      </w:pPr>
    </w:p>
    <w:p w14:paraId="65123638">
      <w:pPr>
        <w:tabs>
          <w:tab w:val="left" w:pos="4707"/>
        </w:tabs>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altName w:val="汉仪楷体简"/>
    <w:panose1 w:val="00000000000000000000"/>
    <w:charset w:val="00"/>
    <w:family w:val="auto"/>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 w:name="仿宋_GB2312">
    <w:altName w:val="方正仿宋_GBK"/>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4ZDhhM2UzNTE5OGY1Njc0YmNlZTk3NjMwZTdlMzUifQ=="/>
  </w:docVars>
  <w:rsids>
    <w:rsidRoot w:val="EF1F5F8C"/>
    <w:rsid w:val="7BDFBAA2"/>
    <w:rsid w:val="7FFF5DD0"/>
    <w:rsid w:val="EF1F5F8C"/>
    <w:rsid w:val="FE6FF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166</TotalTime>
  <ScaleCrop>false</ScaleCrop>
  <LinksUpToDate>false</LinksUpToDate>
  <CharactersWithSpaces>0</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2024-10-30T10:50:00Z</dcterms:created>
  <dc:creator>逗比并排北边跑</dc:creator>
  <cp:lastModifiedBy>逗比并排北边跑</cp:lastModifiedBy>
  <dcterms:modified xsi:type="dcterms:W3CDTF">2025-03-20T10:34:20Z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915D643D5FBD298E864D2067F493F6E9_41</vt:lpwstr>
  </property>
</Properties>
</file>