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管理，合理安排施工时间，做到文明施工，合理处置废水和固废，防止扬尘污染和噪声扰民。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严格落实地下水、土壤污染防治措施和环境风险应急管理的要求，切实做好环境风险防范。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jc w:val="center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禁止使用高污染燃料、含磷洗涤用品、一次性不可降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解泡沫塑料餐饮具和不可自然降解塑料袋。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方正仿宋_GBK" w:hAnsi="宋体" w:eastAsia="方正仿宋_GBK" w:cs="Times New Roman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项目应当按照排污许可手续的规定、有关标准规范及《报告表》监测计划，依法定期开展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废水、废气、噪声等污染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物的监测。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建设项目的性质、规模、地点、采用的生产工艺或者防治污染、防治生态破坏的措施发生重大变动的，应当重新报批建设项目的环境影响评价文件。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项目建设及运营期间，请昆明经济技术开发区环境监察执法大队做好监督管理工作。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6" w:rightChars="8"/>
        <w:textAlignment w:val="auto"/>
        <w:rPr>
          <w:rFonts w:hint="eastAsia" w:ascii="方正仿宋_GBK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6" w:rightChars="8"/>
        <w:textAlignment w:val="auto"/>
        <w:rPr>
          <w:rFonts w:hint="eastAsia" w:ascii="方正仿宋_GBK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 xml:space="preserve"> 202</w:t>
      </w:r>
      <w:r>
        <w:rPr>
          <w:rFonts w:hint="eastAsia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年</w:t>
      </w:r>
      <w:r>
        <w:rPr>
          <w:rFonts w:hint="eastAsia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月</w:t>
      </w:r>
      <w:r>
        <w:rPr>
          <w:rFonts w:hint="eastAsia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13</w:t>
      </w:r>
      <w:r>
        <w:rPr>
          <w:rFonts w:hint="eastAsia" w:ascii="Times New Roman" w:hAnsi="Times New Roman" w:eastAsia="方正仿宋_GB18030" w:cs="Times New Roman"/>
          <w:bCs/>
          <w:color w:val="auto"/>
          <w:spacing w:val="0"/>
          <w:kern w:val="2"/>
          <w:sz w:val="32"/>
          <w:szCs w:val="18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6" w:rightChars="8" w:firstLine="640" w:firstLineChars="200"/>
        <w:textAlignment w:val="auto"/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6" w:rightChars="8"/>
        <w:textAlignment w:val="auto"/>
        <w:rPr>
          <w:rFonts w:hint="eastAsia" w:ascii="Times New Roman" w:hAnsi="Times New Roman" w:eastAsia="宋体" w:cs="Times New Roman"/>
          <w:snapToGrid w:val="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eastAsia" w:ascii="Times New Roman" w:hAnsi="Times New Roman" w:eastAsia="宋体" w:cs="Times New Roman"/>
          <w:snapToGrid w:val="0"/>
          <w:kern w:val="0"/>
          <w:sz w:val="32"/>
          <w:szCs w:val="32"/>
        </w:rPr>
      </w:pPr>
    </w:p>
    <w:p>
      <w:pPr>
        <w:pStyle w:val="6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/>
        </w:rPr>
      </w:pPr>
    </w:p>
    <w:p>
      <w:pPr>
        <w:pBdr>
          <w:top w:val="single" w:color="auto" w:sz="6" w:space="4"/>
          <w:bottom w:val="single" w:color="auto" w:sz="6" w:space="1"/>
        </w:pBdr>
        <w:spacing w:before="208" w:beforeLines="50" w:line="500" w:lineRule="exact"/>
        <w:ind w:right="231" w:rightChars="110"/>
        <w:rPr>
          <w:rFonts w:hint="eastAsia" w:ascii="方正仿宋_GBK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抄送：昆明经济技术开发区环境监察执法大队。</w:t>
      </w:r>
    </w:p>
    <w:p>
      <w:pPr>
        <w:spacing w:line="580" w:lineRule="exact"/>
        <w:ind w:right="231" w:rightChars="110"/>
        <w:jc w:val="distribute"/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8.45pt;height:0pt;width:430.5pt;z-index:251659264;mso-width-relative:page;mso-height-relative:page;" filled="f" stroked="t" coordsize="21600,21600" o:gfxdata="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yvDf0wAAAAYBAAAPAAAAAAAAAAEAIAAAACIAAABkcnMvZG93bnJldi54bWxQ&#10;SwECFAAUAAAACACHTuJANoUfcfwBAADuAw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昆明市生态环境局经开分局    202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13</w:t>
      </w:r>
      <w:bookmarkStart w:id="0" w:name="_GoBack"/>
      <w:bookmarkEnd w:id="0"/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日印发</w:t>
      </w:r>
    </w:p>
    <w:p>
      <w:pPr>
        <w:jc w:val="center"/>
        <w:rPr>
          <w:rFonts w:hint="eastAsia" w:ascii="方正仿宋_GBK" w:hAnsi="Times New Roman" w:eastAsia="方正仿宋_GBK" w:cs="Times New Roman"/>
          <w:sz w:val="48"/>
          <w:szCs w:val="48"/>
        </w:rPr>
      </w:pPr>
    </w:p>
    <w:p>
      <w:pPr>
        <w:jc w:val="center"/>
        <w:rPr>
          <w:rFonts w:hint="eastAsia" w:ascii="方正小标宋_GBK" w:hAnsi="Times New Roman" w:eastAsia="方正小标宋_GBK" w:cs="Times New Roman"/>
          <w:w w:val="50"/>
          <w:sz w:val="120"/>
          <w:szCs w:val="120"/>
        </w:rPr>
      </w:pPr>
    </w:p>
    <w:p>
      <w:pP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" w:rightChars="8" w:firstLine="640" w:firstLineChars="200"/>
        <w:jc w:val="center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昆经开生环复〔202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18 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号</w:t>
      </w:r>
    </w:p>
    <w:p>
      <w:pPr>
        <w:pStyle w:val="6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jc w:val="center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right="16" w:rightChars="8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  <w:t>关于对《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臻冠义齿生产线建设项目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  <w:t>环境影响报告表》的批复</w:t>
      </w:r>
    </w:p>
    <w:p>
      <w:pPr>
        <w:pStyle w:val="4"/>
        <w:spacing w:line="530" w:lineRule="exact"/>
        <w:ind w:right="16" w:rightChars="8"/>
        <w:jc w:val="both"/>
        <w:rPr>
          <w:rFonts w:hint="eastAsia" w:ascii="方正小标宋_GBK" w:hAnsi="Times New Roman" w:eastAsia="方正小标宋_GBK" w:cs="Times New Roman"/>
          <w:b w:val="0"/>
          <w:spacing w:val="-6"/>
          <w:sz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昆明臻冠义齿技术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你单位委托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云南六方合源环保科技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有限公司编制的《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臻冠义齿生产线建设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项目环境影响报告表》（以下简称《环评表》）已收悉。根据《中华人民共和国环境影响评价法》第二十二条和《建设项目环境保护管理条例》第九条的规定，批复如下：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租赁云南自由贸易试验区昆明片区经开区阿拉街道顺通社区经景路38号浩宏产业园A7幢5楼整层，总建筑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面积为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2079.58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平方米，总投资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500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万元（其中环保投资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18.61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万元）建设3条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义齿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产线（其中包括固定类义齿、活动类义齿及正畸矫正器生产线各一条）。生产规模为：固定类义齿65500颗/年（其中全瓷冠（桥）26000颗/年、金属烤瓷冠（桥）38000颗/年、金属冠（桥）1500颗/年）；活动类义齿40000件/年（其中钢托支架类16000件/年、胶托类24000件/年）；正畸矫治器12000件/年。建设内容主要包括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设置车金部、车瓷部、上瓷/烧结区、金属打印、切削室、树脂打印室、喷砂室、铸造室、活动排牙室、正畸部、石膏部、水磨房等主体工程，及办公室区、库房区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其他辅助工程及废水、废气、固体废弃物（危险废物）处置等环保工程。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根据《昆明市生态环境工程评估中心关于对&lt;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臻冠义齿生产线建设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环境影响报告表&gt;的技术评估意见》（昆环评估意见 经开〔202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号）所述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结论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，项目建设从环境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影响评价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角度可行，同意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按照《环评表》内容、规模、功能以及环保对策措施进行建设。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环评表》应当作为项目环境保护设计、建设及运行管理的依据，工程建设中必须全面落实各项环保对策及污染防治措施，严格执行污染防治设施和生态保护措施与主体工程同时设计、同时施工、同时投入使用的环境保护“三同时”制度。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在建设项目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实际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排污前，应按照《排污许可管理条例》和《固定污染源排污许可分类管理名录》依法申请取得排污许可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手续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，未取得排污许可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手续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不得排放污染物。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遵守《建设项目环境保护管理条例》（国务院第682号令），建设项目竣工后，建设单位须按照《建设项目竣工环境保护验收暂行办法》（国环规环评﹝2017﹞4号）规定的标准和程序，对配套建设的环境保护设施进行竣工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项目建设和运营过程中必须依法达到以下环保要求：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项目内不得设置食宿等生活服务设施，且生产加工过程必须符合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生态环境部门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对昆明谨浦仓储物流有限公司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谨浦现代仓储物流园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蔬菜、鲜花精加工及仓储服务建设项目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的统一要求。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项目应建设完善的排水系统。生产过程产生的废水，经预处理后必须达到《污水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综合排放标准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》（GB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8978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1996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）表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级标准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要求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，即pH值6-9、化学需氧量（COD）≤500mg/L、五日生化需氧量（BOD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32"/>
          <w:szCs w:val="32"/>
          <w:vertAlign w:val="subscript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）≤350mg/L、悬浮物（SS）≤400mg/L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后，汇同办公生活废水进入公共化粪池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处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理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排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市政污水管网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，最终进入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普照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水质净化厂处理，项目不得设置单独的污水外排口。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在运营过程中产生的粉尘和有机废气，须经废气处理系统收集净化后通过专设的排气筒至楼顶排放，废气达到《大气污染物综合排放标准》（GB16297-1996）表2中二级标准要求，即：有组织非甲烷总烃最高允许排放浓度≤120mg/m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 颗粒物最高允许排放浓度≤120mg/m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，排气筒高度和排放速率满足标准要求；无组织非甲烷总烃周界外浓度最高点≤4.0mg/m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 颗粒物周界外浓度最高点≤1.0mg/m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 并不得出现污染扰民。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本项目污染物控制排放总量为：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挥发性有机物（VOCs）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0.017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吨/年。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 w:firstLine="640" w:firstLineChars="200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项目应合理布置产生的噪声源并采取隔声、降噪及减震等措施，保证厂界噪声达到《工业企业厂界环境噪声排放标准》（GB12348-2008）中的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类标准，即：昼间≤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dB(A)；夜间≤5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dB(A)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并不得扰民。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产生的废活性炭、废紫外灯管等属于危险废物的，必须按照《危险废物贮存污染控制标准》（GB18597-2023）和《危险废物转移联单管理办法》的规定进行收集、贮存和管理，并委托有资质的单位定期清运、妥善处置；产生的</w:t>
      </w:r>
      <w:r>
        <w:rPr>
          <w:rFonts w:hint="eastAsia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废石膏、废氧化锆边角、废包装材料、废琼脂、废胶托、废砂、废蜡、污泥、不合格产品、</w:t>
      </w:r>
      <w:r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生活垃圾等应分类收集，并交有资质的单位集中收集回收利用或委托环卫部门定期清运。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/>
        <w:jc w:val="both"/>
        <w:textAlignment w:val="auto"/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按照《昆明市建设工程文明施工管理办法》（昆明市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</w:pP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人民政府令第84号）和《〈昆明市城市建筑垃圾管理实施办法〉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85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6" w:rightChars="8"/>
        <w:textAlignment w:val="auto"/>
        <w:rPr>
          <w:rFonts w:hint="eastAsia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实施细则》（昆政办〔2011〕88号）的相关规定加强施工期环境</w:t>
      </w:r>
    </w:p>
    <w:sectPr>
      <w:footerReference r:id="rId4" w:type="first"/>
      <w:footerReference r:id="rId3" w:type="default"/>
      <w:pgSz w:w="23814" w:h="16840" w:orient="landscape"/>
      <w:pgMar w:top="1869" w:right="1531" w:bottom="1311" w:left="903" w:header="851" w:footer="992" w:gutter="567"/>
      <w:pgBorders>
        <w:top w:val="none" w:sz="0" w:space="0"/>
        <w:left w:val="none" w:sz="0" w:space="0"/>
        <w:bottom w:val="none" w:sz="0" w:space="0"/>
        <w:right w:val="none" w:sz="0" w:space="0"/>
      </w:pgBorders>
      <w:cols w:space="2917" w:num="2"/>
      <w:titlePg/>
      <w:docGrid w:type="linesAndChar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Times New Roman" w:hAnsi="Times New Roman" w:eastAsia="宋体" w:cs="Times New Roman"/>
      </w:rPr>
    </w:pPr>
    <w:r>
      <w:rPr>
        <w:rStyle w:val="10"/>
        <w:rFonts w:hint="eastAsia" w:ascii="Times New Roman" w:hAnsi="Times New Roman" w:eastAsia="宋体" w:cs="Times New Roman"/>
      </w:rPr>
      <w:t>2                                                                                                                                                                                                                                     3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Times New Roman" w:hAnsi="Times New Roman" w:eastAsia="宋体" w:cs="Times New Roman"/>
      </w:rPr>
    </w:pPr>
    <w:r>
      <w:rPr>
        <w:rFonts w:hint="eastAsia" w:ascii="Times New Roman" w:hAnsi="Times New Roman" w:eastAsia="宋体" w:cs="Times New Roman"/>
      </w:rPr>
      <w:t>4                                                                                                                                                                                                                                     1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7A31"/>
    <w:rsid w:val="001E1F60"/>
    <w:rsid w:val="02823F93"/>
    <w:rsid w:val="02C75D98"/>
    <w:rsid w:val="02DC6EEE"/>
    <w:rsid w:val="033F2EE2"/>
    <w:rsid w:val="08260C8A"/>
    <w:rsid w:val="094F5E69"/>
    <w:rsid w:val="0CE051C0"/>
    <w:rsid w:val="121F31FD"/>
    <w:rsid w:val="14B12641"/>
    <w:rsid w:val="14C06D4B"/>
    <w:rsid w:val="16A64C5D"/>
    <w:rsid w:val="1A42497D"/>
    <w:rsid w:val="1E071FA8"/>
    <w:rsid w:val="1F80415E"/>
    <w:rsid w:val="1FD150E8"/>
    <w:rsid w:val="20FA55D2"/>
    <w:rsid w:val="25566D13"/>
    <w:rsid w:val="28050929"/>
    <w:rsid w:val="2A442E9F"/>
    <w:rsid w:val="2AE938A8"/>
    <w:rsid w:val="2CFB185B"/>
    <w:rsid w:val="2F30015E"/>
    <w:rsid w:val="30977A31"/>
    <w:rsid w:val="39462A2A"/>
    <w:rsid w:val="3BCB5559"/>
    <w:rsid w:val="3C382833"/>
    <w:rsid w:val="493406A8"/>
    <w:rsid w:val="4C6F479C"/>
    <w:rsid w:val="4EC14C74"/>
    <w:rsid w:val="50381284"/>
    <w:rsid w:val="51514EBD"/>
    <w:rsid w:val="5421367B"/>
    <w:rsid w:val="552C0842"/>
    <w:rsid w:val="5558466F"/>
    <w:rsid w:val="57CE2F91"/>
    <w:rsid w:val="5B206125"/>
    <w:rsid w:val="5C862191"/>
    <w:rsid w:val="5DD525EF"/>
    <w:rsid w:val="5E2A1589"/>
    <w:rsid w:val="5F685614"/>
    <w:rsid w:val="5F9266DC"/>
    <w:rsid w:val="673E153C"/>
    <w:rsid w:val="69075B15"/>
    <w:rsid w:val="6BCF07A3"/>
    <w:rsid w:val="78AA5C16"/>
    <w:rsid w:val="78B3063D"/>
    <w:rsid w:val="78FC5E42"/>
    <w:rsid w:val="7CD541C1"/>
    <w:rsid w:val="7E0B2BB8"/>
    <w:rsid w:val="7E875E83"/>
    <w:rsid w:val="7F2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3">
    <w:name w:val="正文(首行缩进)"/>
    <w:basedOn w:val="1"/>
    <w:qFormat/>
    <w:uiPriority w:val="99"/>
  </w:style>
  <w:style w:type="paragraph" w:styleId="4">
    <w:name w:val="Body Text"/>
    <w:basedOn w:val="1"/>
    <w:next w:val="1"/>
    <w:qFormat/>
    <w:uiPriority w:val="0"/>
    <w:pPr>
      <w:widowControl w:val="0"/>
      <w:tabs>
        <w:tab w:val="center" w:pos="5040"/>
        <w:tab w:val="left" w:pos="6405"/>
      </w:tabs>
      <w:spacing w:line="240" w:lineRule="atLeast"/>
      <w:jc w:val="center"/>
    </w:pPr>
    <w:rPr>
      <w:rFonts w:ascii="仿宋_GB2312" w:hAnsi="Times New Roman" w:eastAsia="仿宋_GB2312" w:cs="Times New Roman"/>
      <w:b/>
      <w:bCs/>
      <w:kern w:val="2"/>
      <w:sz w:val="32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760" w:firstLineChars="200"/>
    </w:pPr>
    <w:rPr>
      <w:rFonts w:ascii="仿宋_GB2312" w:eastAsia="仿宋_GB2312"/>
      <w:spacing w:val="30"/>
      <w:sz w:val="32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2023-02-02T03:24:00Z</dcterms:created>
  <dc:creator>Administrator</dc:creator>
  <cp:lastModifiedBy>Administrator</cp:lastModifiedBy>
  <cp:lastPrinted>2025-05-13T02:42:52Z</cp:lastPrinted>
  <dcterms:modified xsi:type="dcterms:W3CDTF">2025-05-13T03:06:47Z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101904751DF748F9AF7ECF7CCA5C25E9</vt:lpwstr>
  </property>
</Properties>
</file>