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仿宋" w:hAnsi="仿宋" w:eastAsia="仿宋" w:cs="仿宋"/>
          <w:color w:val="000000"/>
          <w:sz w:val="32"/>
          <w:szCs w:val="32"/>
          <w:lang w:val="en-US" w:eastAsia="zh-CN"/>
        </w:rPr>
      </w:pPr>
      <w:r>
        <w:rPr>
          <w:rFonts w:hint="default" w:ascii="Times New Roman" w:hAnsi="Times New Roman" w:eastAsia="黑体" w:cs="Times New Roman"/>
          <w:color w:val="000000"/>
          <w:sz w:val="32"/>
          <w:szCs w:val="32"/>
        </w:rPr>
        <w:t>附件1</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昆明经开区企业经营类专利导航</w:t>
      </w:r>
      <w:r>
        <w:rPr>
          <w:rFonts w:hint="eastAsia" w:ascii="方正小标宋_GBK" w:hAnsi="方正小标宋_GBK" w:eastAsia="方正小标宋_GBK" w:cs="方正小标宋_GBK"/>
          <w:b w:val="0"/>
          <w:bCs/>
          <w:sz w:val="44"/>
          <w:szCs w:val="44"/>
        </w:rPr>
        <w:t>项目申报指南</w:t>
      </w:r>
    </w:p>
    <w:p>
      <w:pPr>
        <w:spacing w:line="560" w:lineRule="exact"/>
        <w:rPr>
          <w:rFonts w:ascii="仿宋" w:hAnsi="仿宋" w:eastAsia="仿宋"/>
          <w:sz w:val="30"/>
          <w:szCs w:val="30"/>
        </w:rPr>
      </w:pPr>
    </w:p>
    <w:p>
      <w:pPr>
        <w:adjustRightInd w:val="0"/>
        <w:snapToGrid w:val="0"/>
        <w:spacing w:line="56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为加强企业知识产权导航能力建设，提升技术创新</w:t>
      </w:r>
      <w:r>
        <w:rPr>
          <w:rFonts w:hint="default" w:ascii="Times New Roman" w:hAnsi="Times New Roman" w:eastAsia="仿宋_GB2312" w:cs="Times New Roman"/>
          <w:color w:val="000000"/>
          <w:sz w:val="32"/>
          <w:szCs w:val="32"/>
          <w:lang w:val="en-US" w:eastAsia="zh-CN"/>
        </w:rPr>
        <w:t>质量效益</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助推企业创新发展，</w:t>
      </w:r>
      <w:r>
        <w:rPr>
          <w:rFonts w:hint="default" w:ascii="Times New Roman" w:hAnsi="Times New Roman" w:eastAsia="仿宋_GB2312" w:cs="Times New Roman"/>
          <w:color w:val="000000"/>
          <w:sz w:val="32"/>
          <w:szCs w:val="32"/>
        </w:rPr>
        <w:t>根据</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关于印发昆明经开区落实云南省专利转化促进项目实施方案的通知</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昆经开管笺〔2024〕10号</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，决定组织开展昆明经开</w:t>
      </w:r>
      <w:r>
        <w:rPr>
          <w:rFonts w:hint="eastAsia" w:ascii="Times New Roman" w:hAnsi="Times New Roman" w:eastAsia="仿宋_GB2312" w:cs="Times New Roman"/>
          <w:color w:val="000000"/>
          <w:sz w:val="32"/>
          <w:szCs w:val="32"/>
          <w:lang w:val="en-US" w:eastAsia="zh-CN"/>
        </w:rPr>
        <w:t>区企业经营类</w:t>
      </w:r>
      <w:r>
        <w:rPr>
          <w:rFonts w:hint="default" w:ascii="Times New Roman" w:hAnsi="Times New Roman" w:eastAsia="仿宋_GB2312" w:cs="Times New Roman"/>
          <w:color w:val="000000"/>
          <w:sz w:val="32"/>
          <w:szCs w:val="32"/>
          <w:lang w:val="en-US" w:eastAsia="zh-CN"/>
        </w:rPr>
        <w:t>专利导航项目申报及实施工作，现制定项目申报指南如下：</w:t>
      </w:r>
    </w:p>
    <w:p>
      <w:pPr>
        <w:adjustRightInd w:val="0"/>
        <w:snapToGrid w:val="0"/>
        <w:spacing w:line="56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一、项目类别</w:t>
      </w:r>
    </w:p>
    <w:p>
      <w:pPr>
        <w:spacing w:line="56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财政补助类。</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14:textFill>
            <w14:solidFill>
              <w14:schemeClr w14:val="tx1"/>
            </w14:solidFill>
          </w14:textFill>
        </w:rPr>
      </w:pPr>
      <w:r>
        <w:rPr>
          <w:rFonts w:hint="default" w:ascii="黑体" w:hAnsi="黑体" w:eastAsia="黑体" w:cs="黑体"/>
          <w:b w:val="0"/>
          <w:bCs/>
          <w:color w:val="000000" w:themeColor="text1"/>
          <w:sz w:val="32"/>
          <w:szCs w:val="32"/>
          <w14:textFill>
            <w14:solidFill>
              <w14:schemeClr w14:val="tx1"/>
            </w14:solidFill>
          </w14:textFill>
        </w:rPr>
        <w:t>二、项目范围</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围绕装备制造、数字经济、生物医药、新材料、现代物流重点产业核心关键技术领域，</w:t>
      </w:r>
      <w:r>
        <w:rPr>
          <w:rFonts w:hint="eastAsia" w:ascii="仿宋_GB2312" w:hAnsi="仿宋_GB2312" w:eastAsia="仿宋_GB2312" w:cs="仿宋_GB2312"/>
          <w:sz w:val="32"/>
          <w:szCs w:val="32"/>
          <w:lang w:val="en-US" w:eastAsia="zh-CN"/>
        </w:rPr>
        <w:t>开展以</w:t>
      </w:r>
      <w:r>
        <w:rPr>
          <w:rFonts w:hint="eastAsia" w:ascii="仿宋_GB2312" w:hAnsi="仿宋_GB2312" w:eastAsia="仿宋_GB2312" w:cs="仿宋_GB2312"/>
          <w:b/>
          <w:bCs/>
          <w:sz w:val="32"/>
          <w:szCs w:val="32"/>
        </w:rPr>
        <w:t>企业经营类</w:t>
      </w:r>
      <w:r>
        <w:rPr>
          <w:rFonts w:hint="eastAsia" w:ascii="仿宋_GB2312" w:hAnsi="仿宋_GB2312" w:eastAsia="仿宋_GB2312" w:cs="仿宋_GB2312"/>
          <w:sz w:val="32"/>
          <w:szCs w:val="32"/>
          <w:lang w:val="en-US" w:eastAsia="zh-CN"/>
        </w:rPr>
        <w:t>为目标的专利导航，</w:t>
      </w:r>
      <w:r>
        <w:rPr>
          <w:rFonts w:hint="default" w:ascii="Times New Roman" w:hAnsi="Times New Roman" w:eastAsia="仿宋_GB2312" w:cs="Times New Roman"/>
          <w:sz w:val="32"/>
          <w:szCs w:val="32"/>
          <w:lang w:val="en-US" w:eastAsia="zh-CN"/>
        </w:rPr>
        <w:t>培育转化高价值专利组合。</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default" w:ascii="黑体" w:hAnsi="黑体" w:eastAsia="黑体" w:cs="黑体"/>
          <w:b w:val="0"/>
          <w:bCs/>
          <w:color w:val="000000" w:themeColor="text1"/>
          <w:sz w:val="32"/>
          <w:szCs w:val="32"/>
          <w14:textFill>
            <w14:solidFill>
              <w14:schemeClr w14:val="tx1"/>
            </w14:solidFill>
          </w14:textFill>
        </w:rPr>
        <w:t>三、</w:t>
      </w:r>
      <w:r>
        <w:rPr>
          <w:rFonts w:hint="default" w:ascii="黑体" w:hAnsi="黑体" w:eastAsia="黑体" w:cs="黑体"/>
          <w:b w:val="0"/>
          <w:bCs/>
          <w:color w:val="000000" w:themeColor="text1"/>
          <w:sz w:val="32"/>
          <w:szCs w:val="32"/>
          <w:lang w:val="en-US" w:eastAsia="zh-CN"/>
          <w14:textFill>
            <w14:solidFill>
              <w14:schemeClr w14:val="tx1"/>
            </w14:solidFill>
          </w14:textFill>
        </w:rPr>
        <w:t>项目数量及金额</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本次</w:t>
      </w:r>
      <w:r>
        <w:rPr>
          <w:rFonts w:hint="default" w:ascii="Times New Roman" w:hAnsi="Times New Roman" w:eastAsia="仿宋_GB2312" w:cs="Times New Roman"/>
          <w:sz w:val="32"/>
          <w:szCs w:val="32"/>
        </w:rPr>
        <w:t>企业经营类</w:t>
      </w:r>
      <w:r>
        <w:rPr>
          <w:rFonts w:hint="default" w:ascii="Times New Roman" w:hAnsi="Times New Roman" w:eastAsia="仿宋_GB2312" w:cs="Times New Roman"/>
          <w:sz w:val="32"/>
          <w:szCs w:val="32"/>
          <w:lang w:val="en-US" w:eastAsia="zh-CN"/>
        </w:rPr>
        <w:t>专利导航项目计划支持立项</w:t>
      </w:r>
      <w:r>
        <w:rPr>
          <w:rFonts w:hint="eastAsia" w:ascii="Times New Roman" w:hAnsi="Times New Roman" w:eastAsia="仿宋_GB2312" w:cs="Times New Roman"/>
          <w:sz w:val="32"/>
          <w:szCs w:val="32"/>
          <w:lang w:val="en-US" w:eastAsia="zh-CN"/>
        </w:rPr>
        <w:t>3项</w:t>
      </w:r>
      <w:r>
        <w:rPr>
          <w:rFonts w:hint="default" w:ascii="Times New Roman" w:hAnsi="Times New Roman" w:eastAsia="仿宋_GB2312" w:cs="Times New Roman"/>
          <w:sz w:val="32"/>
          <w:szCs w:val="32"/>
          <w:lang w:val="en-US" w:eastAsia="zh-CN"/>
        </w:rPr>
        <w:t>。每个项目财政资金支持10万元</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14:textFill>
            <w14:solidFill>
              <w14:schemeClr w14:val="tx1"/>
            </w14:solidFill>
          </w14:textFill>
        </w:rPr>
      </w:pPr>
      <w:r>
        <w:rPr>
          <w:rFonts w:hint="default" w:ascii="黑体" w:hAnsi="黑体" w:eastAsia="黑体" w:cs="黑体"/>
          <w:b w:val="0"/>
          <w:bCs/>
          <w:color w:val="000000" w:themeColor="text1"/>
          <w:sz w:val="32"/>
          <w:szCs w:val="32"/>
          <w:lang w:val="en-US" w:eastAsia="zh-CN"/>
          <w14:textFill>
            <w14:solidFill>
              <w14:schemeClr w14:val="tx1"/>
            </w14:solidFill>
          </w14:textFill>
        </w:rPr>
        <w:t>四</w:t>
      </w:r>
      <w:r>
        <w:rPr>
          <w:rFonts w:hint="default" w:ascii="黑体" w:hAnsi="黑体" w:eastAsia="黑体" w:cs="黑体"/>
          <w:b w:val="0"/>
          <w:bCs/>
          <w:color w:val="000000" w:themeColor="text1"/>
          <w:sz w:val="32"/>
          <w:szCs w:val="32"/>
          <w14:textFill>
            <w14:solidFill>
              <w14:schemeClr w14:val="tx1"/>
            </w14:solidFill>
          </w14:textFill>
        </w:rPr>
        <w:t>、</w:t>
      </w:r>
      <w:r>
        <w:rPr>
          <w:rFonts w:hint="default" w:ascii="黑体" w:hAnsi="黑体" w:eastAsia="黑体" w:cs="黑体"/>
          <w:b w:val="0"/>
          <w:bCs/>
          <w:color w:val="000000" w:themeColor="text1"/>
          <w:sz w:val="32"/>
          <w:szCs w:val="32"/>
          <w:lang w:val="en-US" w:eastAsia="zh-CN"/>
          <w14:textFill>
            <w14:solidFill>
              <w14:schemeClr w14:val="tx1"/>
            </w14:solidFill>
          </w14:textFill>
        </w:rPr>
        <w:t>项目</w:t>
      </w:r>
      <w:r>
        <w:rPr>
          <w:rFonts w:hint="default" w:ascii="黑体" w:hAnsi="黑体" w:eastAsia="黑体" w:cs="黑体"/>
          <w:b w:val="0"/>
          <w:bCs/>
          <w:color w:val="000000" w:themeColor="text1"/>
          <w:sz w:val="32"/>
          <w:szCs w:val="32"/>
          <w14:textFill>
            <w14:solidFill>
              <w14:schemeClr w14:val="tx1"/>
            </w14:solidFill>
          </w14:textFill>
        </w:rPr>
        <w:t>申报主体</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w:t>
      </w:r>
      <w:r>
        <w:rPr>
          <w:rFonts w:hint="default" w:ascii="Times New Roman" w:hAnsi="Times New Roman" w:eastAsia="仿宋_GB2312" w:cs="Times New Roman"/>
          <w:sz w:val="32"/>
          <w:szCs w:val="32"/>
          <w:lang w:val="en-US" w:eastAsia="zh-CN"/>
        </w:rPr>
        <w:t>经济技术开发区辖区</w:t>
      </w:r>
      <w:r>
        <w:rPr>
          <w:rFonts w:hint="default" w:ascii="Times New Roman" w:hAnsi="Times New Roman" w:eastAsia="仿宋_GB2312" w:cs="Times New Roman"/>
          <w:sz w:val="32"/>
          <w:szCs w:val="32"/>
        </w:rPr>
        <w:t>内登记注册的具有独立法人资格的企业</w:t>
      </w:r>
      <w:r>
        <w:rPr>
          <w:rFonts w:hint="eastAsia" w:ascii="Times New Roman" w:hAnsi="Times New Roman" w:eastAsia="仿宋_GB2312" w:cs="Times New Roman"/>
          <w:sz w:val="32"/>
          <w:szCs w:val="32"/>
          <w:lang w:eastAsia="zh-CN"/>
        </w:rPr>
        <w:t>法人</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default" w:ascii="黑体" w:hAnsi="黑体" w:eastAsia="黑体" w:cs="黑体"/>
          <w:b w:val="0"/>
          <w:bCs/>
          <w:color w:val="000000" w:themeColor="text1"/>
          <w:sz w:val="32"/>
          <w:szCs w:val="32"/>
          <w:lang w:val="en-US" w:eastAsia="zh-CN"/>
          <w14:textFill>
            <w14:solidFill>
              <w14:schemeClr w14:val="tx1"/>
            </w14:solidFill>
          </w14:textFill>
        </w:rPr>
        <w:t>五、项目实施周期</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实施期限不超过</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个月。</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六</w:t>
      </w:r>
      <w:r>
        <w:rPr>
          <w:rFonts w:hint="default" w:ascii="黑体" w:hAnsi="黑体" w:eastAsia="黑体" w:cs="黑体"/>
          <w:b w:val="0"/>
          <w:bCs/>
          <w:color w:val="000000" w:themeColor="text1"/>
          <w:sz w:val="32"/>
          <w:szCs w:val="32"/>
          <w:lang w:val="en-US" w:eastAsia="zh-CN"/>
          <w14:textFill>
            <w14:solidFill>
              <w14:schemeClr w14:val="tx1"/>
            </w14:solidFill>
          </w14:textFill>
        </w:rPr>
        <w:t>、项目申报条件</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w:t>
      </w:r>
      <w:r>
        <w:rPr>
          <w:rFonts w:hint="default" w:ascii="Times New Roman" w:hAnsi="Times New Roman" w:eastAsia="仿宋_GB2312" w:cs="Times New Roman"/>
          <w:spacing w:val="-2"/>
          <w:sz w:val="32"/>
          <w:szCs w:val="32"/>
        </w:rPr>
        <w:t>连续经营3年及以上</w:t>
      </w:r>
      <w:r>
        <w:rPr>
          <w:rFonts w:hint="default" w:ascii="Times New Roman" w:hAnsi="Times New Roman" w:eastAsia="仿宋_GB2312" w:cs="Times New Roman"/>
          <w:sz w:val="32"/>
          <w:szCs w:val="32"/>
        </w:rPr>
        <w:t>，可以独立或联合知识产权服务机构申报，每家知识产权服务机构最多可以参与</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个项目的联合申报。</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eastAsia="zh-CN"/>
        </w:rPr>
        <w:t>申报单位两年内无违法违规记录。</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（三）申报单位创新能力强且拥有一定数量的发明专利等核心知识产权，在细分行业中具有引领性，具有承担专利导航分析的能力和</w:t>
      </w:r>
      <w:r>
        <w:rPr>
          <w:rFonts w:hint="default" w:ascii="Times New Roman" w:hAnsi="Times New Roman" w:eastAsia="仿宋_GB2312" w:cs="Times New Roman"/>
          <w:sz w:val="32"/>
          <w:szCs w:val="32"/>
          <w:lang w:val="en-US" w:eastAsia="zh-CN"/>
        </w:rPr>
        <w:t>分析工具等配套</w:t>
      </w:r>
      <w:r>
        <w:rPr>
          <w:rFonts w:hint="default" w:ascii="Times New Roman" w:hAnsi="Times New Roman" w:eastAsia="仿宋_GB2312" w:cs="Times New Roman"/>
          <w:sz w:val="32"/>
          <w:szCs w:val="32"/>
        </w:rPr>
        <w:t>条件。</w:t>
      </w:r>
    </w:p>
    <w:p>
      <w:pPr>
        <w:adjustRightInd w:val="0"/>
        <w:snapToGrid w:val="0"/>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符合国家产业政策方向，主营产品销售有一定市场规模和市场占有率，产品技术在所属行业和地区处于领先或先进水平，具有较强影响力和带动作用</w:t>
      </w:r>
      <w:r>
        <w:rPr>
          <w:rFonts w:hint="default" w:ascii="Times New Roman" w:hAnsi="Times New Roman" w:eastAsia="仿宋_GB2312" w:cs="Times New Roman"/>
          <w:sz w:val="32"/>
          <w:szCs w:val="32"/>
          <w:lang w:eastAsia="zh-CN"/>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val="en-US" w:eastAsia="zh-CN"/>
        </w:rPr>
        <w:t>创造和</w:t>
      </w:r>
      <w:r>
        <w:rPr>
          <w:rFonts w:hint="default" w:ascii="Times New Roman" w:hAnsi="Times New Roman" w:eastAsia="仿宋_GB2312" w:cs="Times New Roman"/>
          <w:sz w:val="32"/>
          <w:szCs w:val="32"/>
        </w:rPr>
        <w:t>转化运用能力较强，</w:t>
      </w:r>
      <w:r>
        <w:rPr>
          <w:rFonts w:hint="default" w:ascii="Times New Roman" w:hAnsi="Times New Roman" w:eastAsia="仿宋_GB2312" w:cs="Times New Roman"/>
          <w:spacing w:val="-1"/>
          <w:sz w:val="32"/>
          <w:szCs w:val="32"/>
        </w:rPr>
        <w:t>研发投入占年销售总收入的</w:t>
      </w:r>
      <w:r>
        <w:rPr>
          <w:rFonts w:hint="default" w:ascii="Times New Roman" w:hAnsi="Times New Roman" w:eastAsia="仿宋_GB2312" w:cs="Times New Roman"/>
          <w:sz w:val="32"/>
          <w:szCs w:val="32"/>
        </w:rPr>
        <w:t>3%以上，专利产品销售收入在总销售收入中占有较高比例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有专利导航目标产品和技术开发的明确需求和所形成技术成果高价值专利组合的转化实施计划</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申报单位</w:t>
      </w:r>
      <w:r>
        <w:rPr>
          <w:rFonts w:hint="default" w:ascii="Times New Roman" w:hAnsi="Times New Roman" w:eastAsia="仿宋_GB2312" w:cs="Times New Roman"/>
          <w:sz w:val="32"/>
          <w:szCs w:val="32"/>
        </w:rPr>
        <w:t>知识产权工作基础</w:t>
      </w:r>
      <w:r>
        <w:rPr>
          <w:rFonts w:hint="default" w:ascii="Times New Roman" w:hAnsi="Times New Roman" w:eastAsia="仿宋_GB2312" w:cs="Times New Roman"/>
          <w:sz w:val="32"/>
          <w:szCs w:val="32"/>
          <w:lang w:val="en-US" w:eastAsia="zh-CN"/>
        </w:rPr>
        <w:t>良</w:t>
      </w:r>
      <w:r>
        <w:rPr>
          <w:rFonts w:hint="default" w:ascii="Times New Roman" w:hAnsi="Times New Roman" w:eastAsia="仿宋_GB2312" w:cs="Times New Roman"/>
          <w:sz w:val="32"/>
          <w:szCs w:val="32"/>
        </w:rPr>
        <w:t>好，有专门的知识产权管理部门及人员，知识产权制度体系健全，开展了专利信息利用工作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能够将</w:t>
      </w:r>
      <w:r>
        <w:rPr>
          <w:rFonts w:hint="default" w:ascii="Times New Roman" w:hAnsi="Times New Roman" w:eastAsia="仿宋_GB2312" w:cs="Times New Roman"/>
          <w:sz w:val="32"/>
          <w:szCs w:val="32"/>
          <w:lang w:val="en-US" w:eastAsia="zh-CN"/>
        </w:rPr>
        <w:t>专利</w:t>
      </w:r>
      <w:r>
        <w:rPr>
          <w:rFonts w:hint="default" w:ascii="Times New Roman" w:hAnsi="Times New Roman" w:eastAsia="仿宋_GB2312" w:cs="Times New Roman"/>
          <w:sz w:val="32"/>
          <w:szCs w:val="32"/>
        </w:rPr>
        <w:t>战略融入</w:t>
      </w:r>
      <w:r>
        <w:rPr>
          <w:rFonts w:hint="default" w:ascii="Times New Roman" w:hAnsi="Times New Roman" w:eastAsia="仿宋_GB2312" w:cs="Times New Roman"/>
          <w:sz w:val="32"/>
          <w:szCs w:val="32"/>
          <w:lang w:val="en-US" w:eastAsia="zh-CN"/>
        </w:rPr>
        <w:t>生产经营各环节</w:t>
      </w:r>
      <w:r>
        <w:rPr>
          <w:rFonts w:hint="default" w:ascii="Times New Roman" w:hAnsi="Times New Roman" w:eastAsia="仿宋_GB2312" w:cs="Times New Roman"/>
          <w:sz w:val="32"/>
          <w:szCs w:val="32"/>
        </w:rPr>
        <w:t>，并为本项目的实施提供可靠的经费、人员和物质保障。</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lang w:val="en-US" w:eastAsia="zh-CN"/>
        </w:rPr>
        <w:t>专利导航</w:t>
      </w:r>
      <w:r>
        <w:rPr>
          <w:rFonts w:hint="default" w:ascii="Times New Roman" w:hAnsi="Times New Roman" w:eastAsia="仿宋_GB2312" w:cs="Times New Roman"/>
          <w:sz w:val="32"/>
          <w:szCs w:val="32"/>
        </w:rPr>
        <w:t>项目由本产业领域高级专业技术职称人员领衔负责</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项目团队包括</w:t>
      </w:r>
      <w:r>
        <w:rPr>
          <w:rFonts w:hint="default" w:ascii="Times New Roman" w:hAnsi="Times New Roman" w:eastAsia="仿宋_GB2312" w:cs="Times New Roman"/>
          <w:sz w:val="32"/>
          <w:szCs w:val="32"/>
        </w:rPr>
        <w:t>至少2名高级专业技术职称人员</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1名专利代理师或知识产权师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2名</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rPr>
        <w:t>具备3年以上专利信息分析实务经验的成员。</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七</w:t>
      </w:r>
      <w:r>
        <w:rPr>
          <w:rFonts w:hint="default" w:ascii="黑体" w:hAnsi="黑体" w:eastAsia="黑体" w:cs="黑体"/>
          <w:b w:val="0"/>
          <w:bCs/>
          <w:color w:val="000000" w:themeColor="text1"/>
          <w:sz w:val="32"/>
          <w:szCs w:val="32"/>
          <w:lang w:val="en-US" w:eastAsia="zh-CN"/>
          <w14:textFill>
            <w14:solidFill>
              <w14:schemeClr w14:val="tx1"/>
            </w14:solidFill>
          </w14:textFill>
        </w:rPr>
        <w:t>、项目任务</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按照国家标准《专利导航（GB/T 39551-2020）》的要求，以提升企业</w:t>
      </w:r>
      <w:r>
        <w:rPr>
          <w:rFonts w:hint="default" w:ascii="Times New Roman" w:hAnsi="Times New Roman" w:eastAsia="仿宋_GB2312" w:cs="Times New Roman"/>
          <w:sz w:val="32"/>
          <w:szCs w:val="32"/>
          <w:lang w:val="en-US" w:eastAsia="zh-CN"/>
        </w:rPr>
        <w:t>主导产品</w:t>
      </w:r>
      <w:r>
        <w:rPr>
          <w:rFonts w:hint="default" w:ascii="Times New Roman" w:hAnsi="Times New Roman" w:eastAsia="仿宋_GB2312" w:cs="Times New Roman"/>
          <w:sz w:val="32"/>
          <w:szCs w:val="32"/>
        </w:rPr>
        <w:t>竞争力</w:t>
      </w:r>
      <w:r>
        <w:rPr>
          <w:rFonts w:hint="default" w:ascii="Times New Roman" w:hAnsi="Times New Roman" w:eastAsia="仿宋_GB2312" w:cs="Times New Roman"/>
          <w:sz w:val="32"/>
          <w:szCs w:val="32"/>
          <w:lang w:val="en-US" w:eastAsia="zh-CN"/>
        </w:rPr>
        <w:t>和技术</w:t>
      </w:r>
      <w:r>
        <w:rPr>
          <w:rFonts w:hint="default" w:ascii="Times New Roman" w:hAnsi="Times New Roman" w:eastAsia="仿宋_GB2312" w:cs="Times New Roman"/>
          <w:sz w:val="32"/>
          <w:szCs w:val="32"/>
        </w:rPr>
        <w:t>研发路径效率为核心，以企业</w:t>
      </w:r>
      <w:r>
        <w:rPr>
          <w:rFonts w:hint="default" w:ascii="Times New Roman" w:hAnsi="Times New Roman" w:eastAsia="仿宋_GB2312" w:cs="Times New Roman"/>
          <w:sz w:val="32"/>
          <w:szCs w:val="32"/>
          <w:lang w:val="en-US" w:eastAsia="zh-CN"/>
        </w:rPr>
        <w:t>新产品开发</w:t>
      </w:r>
      <w:r>
        <w:rPr>
          <w:rFonts w:hint="default" w:ascii="Times New Roman" w:hAnsi="Times New Roman" w:eastAsia="仿宋_GB2312" w:cs="Times New Roman"/>
          <w:sz w:val="32"/>
          <w:szCs w:val="32"/>
        </w:rPr>
        <w:t>为目标，通过专利信息分析，</w:t>
      </w:r>
      <w:r>
        <w:rPr>
          <w:rFonts w:hint="default" w:ascii="Times New Roman" w:hAnsi="Times New Roman" w:eastAsia="仿宋_GB2312" w:cs="Times New Roman"/>
          <w:sz w:val="32"/>
          <w:szCs w:val="32"/>
          <w:lang w:val="en-US" w:eastAsia="zh-CN"/>
        </w:rPr>
        <w:t>把握相关技术发展趋势，优化技术路径和方案，开展专利布局与风险评价，培育转化高价值专利组合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促进市场</w:t>
      </w:r>
      <w:r>
        <w:rPr>
          <w:rFonts w:hint="default" w:ascii="Times New Roman" w:hAnsi="Times New Roman" w:eastAsia="仿宋_GB2312" w:cs="Times New Roman"/>
          <w:sz w:val="32"/>
          <w:szCs w:val="32"/>
        </w:rPr>
        <w:t>主体创新</w:t>
      </w:r>
      <w:r>
        <w:rPr>
          <w:rFonts w:hint="default" w:ascii="Times New Roman" w:hAnsi="Times New Roman" w:eastAsia="仿宋_GB2312" w:cs="Times New Roman"/>
          <w:sz w:val="32"/>
          <w:szCs w:val="32"/>
          <w:lang w:val="en-US" w:eastAsia="zh-CN"/>
        </w:rPr>
        <w:t>质量效益</w:t>
      </w:r>
      <w:r>
        <w:rPr>
          <w:rFonts w:hint="default" w:ascii="Times New Roman" w:hAnsi="Times New Roman" w:eastAsia="仿宋_GB2312" w:cs="Times New Roman"/>
          <w:sz w:val="32"/>
          <w:szCs w:val="32"/>
        </w:rPr>
        <w:t>提升，培养储备专利导航人才，取得明显经济和社会效益。</w:t>
      </w:r>
      <w:bookmarkStart w:id="0" w:name="_GoBack"/>
      <w:bookmarkEnd w:id="0"/>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八</w:t>
      </w:r>
      <w:r>
        <w:rPr>
          <w:rFonts w:hint="default" w:ascii="黑体" w:hAnsi="黑体" w:eastAsia="黑体" w:cs="黑体"/>
          <w:b w:val="0"/>
          <w:bCs/>
          <w:color w:val="000000" w:themeColor="text1"/>
          <w:sz w:val="32"/>
          <w:szCs w:val="32"/>
          <w:lang w:val="en-US" w:eastAsia="zh-CN"/>
          <w14:textFill>
            <w14:solidFill>
              <w14:schemeClr w14:val="tx1"/>
            </w14:solidFill>
          </w14:textFill>
        </w:rPr>
        <w:t>、项目申报要求</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（一）申报单位按要求填写并提交《昆明</w:t>
      </w:r>
      <w:r>
        <w:rPr>
          <w:rFonts w:hint="default" w:ascii="Times New Roman" w:hAnsi="Times New Roman" w:eastAsia="仿宋_GB2312" w:cs="Times New Roman"/>
          <w:sz w:val="32"/>
          <w:szCs w:val="32"/>
          <w:lang w:val="en-US" w:eastAsia="zh-CN"/>
        </w:rPr>
        <w:t>经开</w:t>
      </w:r>
      <w:r>
        <w:rPr>
          <w:rFonts w:hint="eastAsia" w:ascii="Times New Roman" w:hAnsi="Times New Roman" w:eastAsia="仿宋_GB2312" w:cs="Times New Roman"/>
          <w:sz w:val="32"/>
          <w:szCs w:val="32"/>
          <w:lang w:val="en-US" w:eastAsia="zh-CN"/>
        </w:rPr>
        <w:t>区企业经营类</w:t>
      </w:r>
      <w:r>
        <w:rPr>
          <w:rFonts w:hint="default" w:ascii="Times New Roman" w:hAnsi="Times New Roman" w:eastAsia="仿宋_GB2312" w:cs="Times New Roman"/>
          <w:sz w:val="32"/>
          <w:szCs w:val="32"/>
        </w:rPr>
        <w:t>专利导航项目申报书》及相关附件材料。</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（二）项目申报书由单位负责人签字确认并加盖单位公章后，连同相关</w:t>
      </w:r>
      <w:r>
        <w:rPr>
          <w:rFonts w:hint="default" w:ascii="Times New Roman" w:hAnsi="Times New Roman" w:eastAsia="仿宋_GB2312" w:cs="Times New Roman"/>
          <w:sz w:val="32"/>
          <w:szCs w:val="32"/>
          <w:lang w:val="en-US" w:eastAsia="zh-CN"/>
        </w:rPr>
        <w:t>附件</w:t>
      </w:r>
      <w:r>
        <w:rPr>
          <w:rFonts w:hint="default" w:ascii="Times New Roman" w:hAnsi="Times New Roman" w:eastAsia="仿宋_GB2312" w:cs="Times New Roman"/>
          <w:sz w:val="32"/>
          <w:szCs w:val="32"/>
        </w:rPr>
        <w:t>材料装订成册一式六份，报送</w:t>
      </w:r>
      <w:r>
        <w:rPr>
          <w:rFonts w:hint="eastAsia" w:ascii="Times New Roman" w:hAnsi="Times New Roman" w:eastAsia="仿宋_GB2312" w:cs="Times New Roman"/>
          <w:sz w:val="32"/>
          <w:szCs w:val="32"/>
          <w:lang w:val="en-US" w:eastAsia="zh-CN"/>
        </w:rPr>
        <w:t>昆明市市场监督管理局</w:t>
      </w:r>
      <w:r>
        <w:rPr>
          <w:rFonts w:hint="default" w:ascii="Times New Roman" w:hAnsi="Times New Roman" w:eastAsia="仿宋_GB2312" w:cs="Times New Roman"/>
          <w:sz w:val="32"/>
          <w:szCs w:val="32"/>
          <w:lang w:val="en-US" w:eastAsia="zh-CN"/>
        </w:rPr>
        <w:t>经开分局</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申报材料应真实、准确、规范，如发现相关责任主体在项目申报和立项过程中有弄虚作假、侵犯他人知识产权等不良行为的，一经查实，将取消项目申报及立项资格并记入信用档案。</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（四）申报单位在项目获批立项后，承担项目</w:t>
      </w:r>
      <w:r>
        <w:rPr>
          <w:rFonts w:hint="default"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管理、经费使用、目标任务达成的主体责任。</w:t>
      </w:r>
    </w:p>
    <w:p>
      <w:pPr>
        <w:adjustRightInd w:val="0"/>
        <w:snapToGrid w:val="0"/>
        <w:spacing w:line="560" w:lineRule="exact"/>
        <w:ind w:firstLine="640" w:firstLineChars="200"/>
        <w:rPr>
          <w:rFonts w:hint="default"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九</w:t>
      </w:r>
      <w:r>
        <w:rPr>
          <w:rFonts w:hint="default" w:ascii="黑体" w:hAnsi="黑体" w:eastAsia="黑体" w:cs="黑体"/>
          <w:b w:val="0"/>
          <w:bCs/>
          <w:color w:val="000000" w:themeColor="text1"/>
          <w:sz w:val="32"/>
          <w:szCs w:val="32"/>
          <w:lang w:val="en-US" w:eastAsia="zh-CN"/>
          <w14:textFill>
            <w14:solidFill>
              <w14:schemeClr w14:val="tx1"/>
            </w14:solidFill>
          </w14:textFill>
        </w:rPr>
        <w:t>、其他注意事项</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（一）优先支持</w:t>
      </w:r>
      <w:r>
        <w:rPr>
          <w:rFonts w:hint="default" w:ascii="Times New Roman" w:hAnsi="Times New Roman" w:eastAsia="仿宋_GB2312" w:cs="Times New Roman"/>
          <w:sz w:val="32"/>
          <w:szCs w:val="32"/>
          <w:lang w:val="en-US" w:eastAsia="zh-CN"/>
        </w:rPr>
        <w:t>智能制造及数字经济产业领域的申报项目。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val="en-US" w:eastAsia="zh-CN"/>
        </w:rPr>
        <w:t>外向型企业（有产品或服务出口）的申报</w:t>
      </w:r>
      <w:r>
        <w:rPr>
          <w:rFonts w:hint="default" w:ascii="Times New Roman" w:hAnsi="Times New Roman" w:eastAsia="仿宋_GB2312" w:cs="Times New Roman"/>
          <w:sz w:val="32"/>
          <w:szCs w:val="32"/>
        </w:rPr>
        <w:t>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val="en-US" w:eastAsia="zh-CN"/>
        </w:rPr>
        <w:t>有自筹配套资金的申报</w:t>
      </w:r>
      <w:r>
        <w:rPr>
          <w:rFonts w:hint="default" w:ascii="Times New Roman" w:hAnsi="Times New Roman" w:eastAsia="仿宋_GB2312" w:cs="Times New Roman"/>
          <w:sz w:val="32"/>
          <w:szCs w:val="32"/>
        </w:rPr>
        <w:t>项目。</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项目承担单位应为项目实施提供必要条件，保证配套资金</w:t>
      </w:r>
      <w:r>
        <w:rPr>
          <w:rFonts w:hint="default" w:ascii="Times New Roman" w:hAnsi="Times New Roman" w:eastAsia="仿宋_GB2312" w:cs="Times New Roman"/>
          <w:sz w:val="32"/>
          <w:szCs w:val="32"/>
          <w:lang w:val="en-US" w:eastAsia="zh-CN"/>
        </w:rPr>
        <w:t>等条件</w:t>
      </w:r>
      <w:r>
        <w:rPr>
          <w:rFonts w:hint="default" w:ascii="Times New Roman" w:hAnsi="Times New Roman" w:eastAsia="仿宋_GB2312" w:cs="Times New Roman"/>
          <w:sz w:val="32"/>
          <w:szCs w:val="32"/>
        </w:rPr>
        <w:t>投入到位和项目验收通过。</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w:t>
      </w:r>
      <w:r>
        <w:rPr>
          <w:rFonts w:hint="default" w:ascii="Times New Roman" w:hAnsi="Times New Roman" w:eastAsia="仿宋_GB2312" w:cs="Times New Roman"/>
          <w:sz w:val="32"/>
          <w:szCs w:val="32"/>
          <w:lang w:val="en-US" w:eastAsia="zh-CN"/>
        </w:rPr>
        <w:t>结合</w:t>
      </w:r>
      <w:r>
        <w:rPr>
          <w:rFonts w:hint="default" w:ascii="Times New Roman" w:hAnsi="Times New Roman" w:eastAsia="仿宋_GB2312" w:cs="Times New Roman"/>
          <w:sz w:val="32"/>
          <w:szCs w:val="32"/>
        </w:rPr>
        <w:t>项目实施，</w:t>
      </w:r>
      <w:r>
        <w:rPr>
          <w:rFonts w:hint="default" w:ascii="Times New Roman" w:hAnsi="Times New Roman" w:eastAsia="仿宋_GB2312" w:cs="Times New Roman"/>
          <w:sz w:val="32"/>
          <w:szCs w:val="32"/>
          <w:lang w:val="en-US" w:eastAsia="zh-CN"/>
        </w:rPr>
        <w:t>制定相关制度办法，建立企业专利导航机制和工作支持体系，将专利导航纳入企业经营战略，形成专利导航与企业技术创新及生产经营的良性互动机制</w:t>
      </w:r>
      <w:r>
        <w:rPr>
          <w:rFonts w:hint="default" w:ascii="Times New Roman" w:hAnsi="Times New Roman" w:eastAsia="仿宋_GB2312" w:cs="Times New Roman"/>
          <w:sz w:val="32"/>
          <w:szCs w:val="32"/>
        </w:rPr>
        <w:t>。</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项目承担单位应</w:t>
      </w:r>
      <w:r>
        <w:rPr>
          <w:rFonts w:hint="default" w:ascii="Times New Roman" w:hAnsi="Times New Roman" w:eastAsia="仿宋_GB2312" w:cs="Times New Roman"/>
          <w:sz w:val="32"/>
          <w:szCs w:val="32"/>
          <w:lang w:val="en-US" w:eastAsia="zh-CN"/>
        </w:rPr>
        <w:t>定期报送项目实施进展情况，配合项目主管部门和管理单位对项目实施工作的检查指导，积极参与相关培训交流等活动，如实统计报送项目实施效益等相关数据材料。</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）项目承担单位以弄虚作假、虚报冒领等手段骗取项目资金或挤占、挪用项目资金的，一经查实即全额收回项目补助资金，并按有关规定处理。</w:t>
      </w:r>
    </w:p>
    <w:p>
      <w:pPr>
        <w:adjustRightInd w:val="0"/>
        <w:snapToGrid w:val="0"/>
        <w:spacing w:line="56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财政</w:t>
      </w:r>
      <w:r>
        <w:rPr>
          <w:rFonts w:hint="default" w:ascii="Times New Roman" w:hAnsi="Times New Roman" w:eastAsia="仿宋_GB2312" w:cs="Times New Roman"/>
          <w:sz w:val="32"/>
          <w:szCs w:val="32"/>
          <w:lang w:val="en-US" w:eastAsia="zh-CN"/>
        </w:rPr>
        <w:t>补助</w:t>
      </w:r>
      <w:r>
        <w:rPr>
          <w:rFonts w:hint="default" w:ascii="Times New Roman" w:hAnsi="Times New Roman" w:eastAsia="仿宋_GB2312" w:cs="Times New Roman"/>
          <w:sz w:val="32"/>
          <w:szCs w:val="32"/>
        </w:rPr>
        <w:t>资金不得用于房屋装修、征地拆迁、人员经费等经常性开支以及提取工作经费。</w:t>
      </w:r>
    </w:p>
    <w:p>
      <w:pPr>
        <w:tabs>
          <w:tab w:val="left" w:pos="2158"/>
        </w:tabs>
        <w:spacing w:line="60" w:lineRule="exact"/>
        <w:ind w:right="-210" w:rightChars="-100"/>
        <w:jc w:val="both"/>
        <w:rPr>
          <w:rFonts w:hint="eastAsia" w:ascii="仿宋" w:hAnsi="仿宋" w:eastAsia="仿宋"/>
          <w:sz w:val="32"/>
          <w:szCs w:val="32"/>
        </w:rPr>
      </w:pPr>
    </w:p>
    <w:sectPr>
      <w:footerReference r:id="rId3" w:type="default"/>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OGFjNGJkMWZhNjc0NDg1OGI5ZGFjNzE1ZjFhZTIifQ=="/>
  </w:docVars>
  <w:rsids>
    <w:rsidRoot w:val="340C05A1"/>
    <w:rsid w:val="001C1657"/>
    <w:rsid w:val="00267D17"/>
    <w:rsid w:val="004A3368"/>
    <w:rsid w:val="00702870"/>
    <w:rsid w:val="028B483E"/>
    <w:rsid w:val="072F27F4"/>
    <w:rsid w:val="090B4EFE"/>
    <w:rsid w:val="0F544B86"/>
    <w:rsid w:val="15977DE6"/>
    <w:rsid w:val="16F63F87"/>
    <w:rsid w:val="171C3CB5"/>
    <w:rsid w:val="194224BC"/>
    <w:rsid w:val="1E170801"/>
    <w:rsid w:val="1EB21E80"/>
    <w:rsid w:val="1FF37588"/>
    <w:rsid w:val="20AE48ED"/>
    <w:rsid w:val="21080221"/>
    <w:rsid w:val="28552771"/>
    <w:rsid w:val="2A9A0436"/>
    <w:rsid w:val="340C05A1"/>
    <w:rsid w:val="351E2AB9"/>
    <w:rsid w:val="35474529"/>
    <w:rsid w:val="3A1B4167"/>
    <w:rsid w:val="3B8A7CCC"/>
    <w:rsid w:val="3BC046A9"/>
    <w:rsid w:val="3D684847"/>
    <w:rsid w:val="424A5148"/>
    <w:rsid w:val="45302A8A"/>
    <w:rsid w:val="47802144"/>
    <w:rsid w:val="4D123956"/>
    <w:rsid w:val="50EF7224"/>
    <w:rsid w:val="52CD2E88"/>
    <w:rsid w:val="538A793A"/>
    <w:rsid w:val="55D01C98"/>
    <w:rsid w:val="573D6AD0"/>
    <w:rsid w:val="575E23B6"/>
    <w:rsid w:val="57FB7AFE"/>
    <w:rsid w:val="5C3E0CC0"/>
    <w:rsid w:val="5F5358DD"/>
    <w:rsid w:val="5FC55442"/>
    <w:rsid w:val="620F5FE9"/>
    <w:rsid w:val="67E247E8"/>
    <w:rsid w:val="68260326"/>
    <w:rsid w:val="6B47294E"/>
    <w:rsid w:val="6B6E1680"/>
    <w:rsid w:val="6C1338EE"/>
    <w:rsid w:val="6DDD45E2"/>
    <w:rsid w:val="70230F84"/>
    <w:rsid w:val="70744BA6"/>
    <w:rsid w:val="70DC5653"/>
    <w:rsid w:val="712330CA"/>
    <w:rsid w:val="71894260"/>
    <w:rsid w:val="71C807F4"/>
    <w:rsid w:val="7784279C"/>
    <w:rsid w:val="77C40B60"/>
    <w:rsid w:val="79BD7B3E"/>
    <w:rsid w:val="7B3510AB"/>
    <w:rsid w:val="7C983D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customStyle="1" w:styleId="8">
    <w:name w:val="纯文本1"/>
    <w:basedOn w:val="1"/>
    <w:qFormat/>
    <w:uiPriority w:val="0"/>
    <w:rPr>
      <w:rFonts w:ascii="宋体" w:hAnsi="Courier New" w:cs="Courier New"/>
      <w:szCs w:val="21"/>
    </w:rPr>
  </w:style>
  <w:style w:type="character" w:customStyle="1" w:styleId="9">
    <w:name w:val="页眉 Char"/>
    <w:basedOn w:val="7"/>
    <w:link w:val="4"/>
    <w:qFormat/>
    <w:uiPriority w:val="0"/>
    <w:rPr>
      <w:rFonts w:ascii="Calibri" w:hAnsi="Calibri" w:cs="宋体"/>
      <w:kern w:val="2"/>
      <w:sz w:val="18"/>
      <w:szCs w:val="18"/>
    </w:rPr>
  </w:style>
  <w:style w:type="character" w:customStyle="1" w:styleId="10">
    <w:name w:val="批注框文本 Char"/>
    <w:basedOn w:val="7"/>
    <w:link w:val="2"/>
    <w:qFormat/>
    <w:uiPriority w:val="0"/>
    <w:rPr>
      <w:rFonts w:ascii="Calibri" w:hAnsi="Calibri"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昆明市直属党政机关单位</Company>
  <Pages>20</Pages>
  <Words>5082</Words>
  <Characters>1084</Characters>
  <Lines>9</Lines>
  <Paragraphs>12</Paragraphs>
  <TotalTime>8</TotalTime>
  <ScaleCrop>false</ScaleCrop>
  <LinksUpToDate>false</LinksUpToDate>
  <CharactersWithSpaces>6154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2021-05-31T08:06:00Z</dcterms:created>
  <dc:creator>lll</dc:creator>
  <cp:lastModifiedBy>杨晓雯</cp:lastModifiedBy>
  <cp:lastPrinted>2021-08-12T02:42:00Z</cp:lastPrinted>
  <dcterms:modified xsi:type="dcterms:W3CDTF">2025-10-11T07:02:12Z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68C583FAC6CE480E881D4EA464969948_13</vt:lpwstr>
  </property>
</Properties>
</file>